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288b72befeb4fa2"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48226</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POVJERENIK ZA INFORMIRANJE</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12</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440.388,94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490.677,06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503.850,06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492.932,87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63.461,12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2.255,81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PRIHODA OD NEFINANCIJSKE IMOVINE (šifre 7-4,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X002, 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63.461,12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2.255,81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3,6</w:t>
            </w:r>
          </w:p>
        </w:tc>
      </w:tr>
    </w:tbl>
    <w:p>
      <w:pPr>
        <w:spacing w:before="0" w:after="0"/>
      </w:pPr>
    </w:p>
    <w:p>
      <w:r>
        <w:t xml:space="preserve">Ukupni rashodi za zaposlene manji su od rashoda za zaposlene u protekloj godini unatoč povećanja osnovice za obračun plaća državnih službenika i državnih dužnosnika te generalnog povećanja troškova za plaće zbog ukidanja podskupine 193 Kontinuirani rashodi budućih razdoblja prema novom Pravilniku o proračunskom računovodstvu i Računskom planu, čl.233, koji je u primjeni od 1.1.2025. godine. Iz tog razloga na kraju razdoblja 2025. godine imamo rashode koji uključuju sedam plaća umjesto šest kako je bilo dosadašnjih godina.  Do povećanja materijalnih rashoda na stavci 32 došlo je iz razloga što je u 2025. godini bilo više aktivnosti Ureda, a i zbog porasta inflacije. Vezano za poziciju 32 Materijalni rashodi aktivnost A874001, bitno je napomenuti da je došlo do značajnog povećanja izvršenja i to pogotovo na stavci 3296 Sudski troškovi. Navedeno povećanje je bilo nemoguće predvidjeti, a odnosi se na naknadu troškova upravnog spora povodom tužbi radi šutnje uprave, a do kojih dolazi kako zbog nemogućnosti utjecaja na broj podnesenih žalbi (koji je svake godine sve veći), tako i zbog nedostavljanja spisa od strane prvostupanjskih tijela u roku, a da bi Povjerenik u zakonom propisanom roku mogao riješiti žalbu. Utjecaja na navedeno ima i neujednačenost prakse Visokog upravnog suda RH u odnosu na računanje početka roka za rješavanje žalbe, a koja može dovesti do toga da Povjerenik snosi troškove upravnog spora povodom tužbi radi šutnje uprave, iako ne postoji propust Povjerenika koji bez spisa predmeta prvostupanjskog tijela ne može donijeti odluku o žalbi korisnika.  Zbog većeg obujma posla vidljivo je povećanje i na stavci 3231 Usluge telefona, pošte i prijevoza, kako zbog povećanja cijena vanjskih pružatelja usluga, do kojih je došlo nakon planiranja proračuna za razdoblje 2026.-2028. godine, tako su i zbog povećanog broja predmeta troškovi poštarine i ispisa veći u odnosu na prethodnu godinu (do 14.7.2026. godine broj otvorenih predmeta u 2026. godini je blizu broju predmeta koji su bili otvoreni za cijelu 2025. godinu). Vezano za stavku 3234 Komunalne usluge izvršenje je veće iz razloga što je od Povjerenika za informiranje, nakon izrade financijskog plana za 2026. godinu, Ministarstvo prostornog uređenja, graditeljstva i državne imovine zatražilo refundaciju sredstava na ime troškova pričuve za korištenje poslovnog prostora, a što ranijih godina nije traženo i nije plaćano.</w:t>
      </w:r>
    </w:p>
    <w:p>
      <w:r>
        <w:br/>
      </w:r>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Sve dospjele obveze su pomirene.</w:t>
      </w:r>
      <w:r>
        <w:br/>
      </w:r>
      <w:r>
        <w:t xml:space="preserve">Nedospjele obveze sastoje se od plaće za 6. mjesec 2026. godine i materijalne troškove</w:t>
      </w:r>
      <w:r>
        <w:br/>
      </w:r>
      <w:r>
        <w:t xml:space="preserve">koji nisu dospjeli na naplatu, računi dobavljača iz 5. i 6. mjeseca koji će biti plaćeni u idućim</w:t>
      </w:r>
      <w:r>
        <w:br/>
      </w:r>
      <w:r>
        <w:t xml:space="preserve">mjesecima u 2026. godini u ukupnom iznosu od 82.913,15 EUR.</w:t>
      </w:r>
    </w:p>
    <w:p/>
    <w:p>
      <w:pPr>
        <w:jc w:val="center"/>
        <w:pStyle w:val="Normal"/>
        <w:spacing w:line="240" w:lineRule="auto"/>
        <w:keepNext/>
      </w:pPr>
      <w:r>
        <w:rPr>
          <w:sz w:val="28"/>
          <w:rFonts w:ascii="Times New Roman" w:hAnsi="Times New Roman"/>
        </w:rPr>
        <w:t xml:space="preserve">Bilješka 3.</w:t>
      </w:r>
    </w:p>
    <w:p>
      <w:pPr>
        <w:jc w:val="both"/>
        <w:pStyle w:val="Normal"/>
        <w:spacing w:line="240" w:lineRule="auto"/>
      </w:pPr>
      <w:r>
        <w:rPr>
          <w:b/>
          <w:sz w:val="24"/>
          <w:rFonts w:ascii="Times New Roman" w:hAnsi="Times New Roman"/>
        </w:rPr>
        <w:t xml:space="preserve">Unutargrupne transakcije koje su u izvještajima eliminirane</w:t>
      </w:r>
    </w:p>
    <w:p>
      <w:r>
        <w:t xml:space="preserve">Nema unutargrupnih transakcija.</w:t>
      </w:r>
    </w:p>
    <w:p/>
    <w:p>
      <w:pPr>
        <w:jc w:val="center"/>
        <w:pStyle w:val="Normal"/>
        <w:spacing w:line="240" w:lineRule="auto"/>
        <w:keepNext/>
      </w:pPr>
      <w:r>
        <w:rPr>
          <w:sz w:val="28"/>
          <w:rFonts w:ascii="Times New Roman" w:hAnsi="Times New Roman"/>
        </w:rPr>
        <w:t xml:space="preserve">Bilješka 4.</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Nema grupe.</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6fc0768ea9c64569" /></Relationships>
</file>