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DB7B1" w14:textId="1C9B2D8E" w:rsidR="00C86404" w:rsidRPr="00C86404" w:rsidRDefault="00C86404" w:rsidP="001F7977">
      <w:pPr>
        <w:pStyle w:val="TekstNaslovnice"/>
        <w:pBdr>
          <w:bottom w:val="single" w:sz="18" w:space="1" w:color="auto"/>
        </w:pBdr>
        <w:spacing w:after="120" w:line="276" w:lineRule="auto"/>
        <w:rPr>
          <w:rFonts w:ascii="Roboto" w:hAnsi="Roboto"/>
          <w:sz w:val="22"/>
          <w:szCs w:val="22"/>
        </w:rPr>
      </w:pPr>
      <w:r w:rsidRPr="00C86404">
        <w:rPr>
          <w:rFonts w:ascii="Roboto" w:hAnsi="Roboto"/>
          <w:noProof/>
          <w:sz w:val="30"/>
          <w:szCs w:val="30"/>
        </w:rPr>
        <w:drawing>
          <wp:anchor distT="0" distB="0" distL="114300" distR="114300" simplePos="0" relativeHeight="251658240" behindDoc="0" locked="0" layoutInCell="1" allowOverlap="1" wp14:anchorId="59FFFABC" wp14:editId="21445772">
            <wp:simplePos x="0" y="0"/>
            <wp:positionH relativeFrom="margin">
              <wp:posOffset>2726690</wp:posOffset>
            </wp:positionH>
            <wp:positionV relativeFrom="paragraph">
              <wp:posOffset>3175</wp:posOffset>
            </wp:positionV>
            <wp:extent cx="515620" cy="685800"/>
            <wp:effectExtent l="0" t="0" r="0" b="0"/>
            <wp:wrapTopAndBottom/>
            <wp:docPr id="1983037023" name="Picture 1" descr="A red and white checkered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037023" name="Picture 1" descr="A red and white checkered coat of arm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5620"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Roboto" w:hAnsi="Roboto"/>
          <w:sz w:val="30"/>
          <w:szCs w:val="30"/>
        </w:rPr>
        <w:t>REPUBLIKA HRVATSKA</w:t>
      </w:r>
    </w:p>
    <w:p w14:paraId="2CBD0181" w14:textId="77777777" w:rsidR="00C86404" w:rsidRDefault="00C86404" w:rsidP="001F7977">
      <w:pPr>
        <w:pStyle w:val="TekstNaslovnice"/>
        <w:pBdr>
          <w:bottom w:val="single" w:sz="18" w:space="1" w:color="auto"/>
        </w:pBdr>
        <w:spacing w:after="120" w:line="276" w:lineRule="auto"/>
        <w:rPr>
          <w:rFonts w:ascii="Roboto" w:hAnsi="Roboto"/>
          <w:b w:val="0"/>
          <w:bCs/>
          <w:szCs w:val="28"/>
        </w:rPr>
      </w:pPr>
      <w:r>
        <w:rPr>
          <w:rFonts w:ascii="Roboto" w:hAnsi="Roboto"/>
          <w:b w:val="0"/>
          <w:bCs/>
          <w:szCs w:val="28"/>
        </w:rPr>
        <w:t>Povjerenik za informiranje</w:t>
      </w:r>
    </w:p>
    <w:p w14:paraId="69EF839C" w14:textId="77777777" w:rsidR="00C86404" w:rsidRDefault="00C86404" w:rsidP="001F7977">
      <w:pPr>
        <w:pStyle w:val="TekstNaslovnice"/>
        <w:pBdr>
          <w:bottom w:val="single" w:sz="18" w:space="1" w:color="auto"/>
        </w:pBdr>
        <w:spacing w:after="120" w:line="276" w:lineRule="auto"/>
        <w:jc w:val="both"/>
        <w:rPr>
          <w:rFonts w:ascii="Roboto" w:hAnsi="Roboto"/>
          <w:b w:val="0"/>
          <w:sz w:val="22"/>
          <w:szCs w:val="22"/>
        </w:rPr>
      </w:pPr>
    </w:p>
    <w:p w14:paraId="2498D808" w14:textId="77777777" w:rsidR="00C86404" w:rsidRDefault="00C86404" w:rsidP="001F7977">
      <w:pPr>
        <w:rPr>
          <w:rFonts w:ascii="Roboto" w:hAnsi="Roboto" w:cs="Arial"/>
          <w:sz w:val="22"/>
          <w:szCs w:val="22"/>
        </w:rPr>
      </w:pPr>
    </w:p>
    <w:p w14:paraId="16A47503" w14:textId="77777777" w:rsidR="00C86404" w:rsidRDefault="00C86404" w:rsidP="001F7977">
      <w:pPr>
        <w:rPr>
          <w:rFonts w:ascii="Roboto" w:hAnsi="Roboto" w:cs="Arial"/>
          <w:szCs w:val="22"/>
        </w:rPr>
      </w:pPr>
    </w:p>
    <w:p w14:paraId="3E29C038" w14:textId="77777777" w:rsidR="00C86404" w:rsidRDefault="00C86404" w:rsidP="001F7977">
      <w:pPr>
        <w:rPr>
          <w:rFonts w:ascii="Roboto" w:hAnsi="Roboto" w:cs="Arial"/>
          <w:szCs w:val="22"/>
        </w:rPr>
      </w:pPr>
    </w:p>
    <w:p w14:paraId="62BFECCC" w14:textId="77777777" w:rsidR="00C86404" w:rsidRDefault="00C86404" w:rsidP="001F7977">
      <w:pPr>
        <w:rPr>
          <w:rFonts w:ascii="Roboto" w:hAnsi="Roboto" w:cs="Arial"/>
          <w:szCs w:val="22"/>
        </w:rPr>
      </w:pPr>
    </w:p>
    <w:p w14:paraId="77EC40BF" w14:textId="77777777" w:rsidR="00C86404" w:rsidRDefault="00C86404" w:rsidP="001F7977">
      <w:pPr>
        <w:rPr>
          <w:rFonts w:ascii="Roboto" w:hAnsi="Roboto" w:cs="Arial"/>
          <w:szCs w:val="22"/>
          <w:lang w:eastAsia="en-US"/>
        </w:rPr>
      </w:pPr>
    </w:p>
    <w:p w14:paraId="3D7CDC25" w14:textId="77777777" w:rsidR="00C86404" w:rsidRDefault="00C86404" w:rsidP="001F7977">
      <w:pPr>
        <w:rPr>
          <w:rFonts w:ascii="Roboto" w:hAnsi="Roboto" w:cs="Arial"/>
          <w:szCs w:val="22"/>
          <w:lang w:eastAsia="en-US"/>
        </w:rPr>
      </w:pPr>
    </w:p>
    <w:p w14:paraId="7A163B8C" w14:textId="77777777" w:rsidR="00C86404" w:rsidRDefault="00C86404" w:rsidP="001F7977">
      <w:pPr>
        <w:rPr>
          <w:rFonts w:ascii="Roboto" w:hAnsi="Roboto" w:cs="Arial"/>
          <w:szCs w:val="22"/>
          <w:lang w:eastAsia="en-US"/>
        </w:rPr>
      </w:pPr>
    </w:p>
    <w:p w14:paraId="41F76E55" w14:textId="4A68641D" w:rsidR="00C86404" w:rsidRDefault="00C86404" w:rsidP="001F7977">
      <w:pPr>
        <w:pStyle w:val="TekstNaslovnice"/>
        <w:spacing w:after="120" w:line="276" w:lineRule="auto"/>
        <w:rPr>
          <w:rFonts w:ascii="Roboto Medium" w:hAnsi="Roboto Medium"/>
          <w:b w:val="0"/>
          <w:bCs/>
          <w:sz w:val="36"/>
          <w:szCs w:val="36"/>
        </w:rPr>
      </w:pPr>
      <w:r>
        <w:rPr>
          <w:rFonts w:ascii="Roboto Medium" w:hAnsi="Roboto Medium"/>
          <w:b w:val="0"/>
          <w:bCs/>
          <w:sz w:val="36"/>
          <w:szCs w:val="36"/>
        </w:rPr>
        <w:t>SAŽETAK IZVJEŠĆA O PROVEDBI</w:t>
      </w:r>
    </w:p>
    <w:p w14:paraId="4C50921D" w14:textId="77777777" w:rsidR="00C86404" w:rsidRPr="007D2D86" w:rsidRDefault="00C86404" w:rsidP="001F7977">
      <w:pPr>
        <w:pStyle w:val="TekstNaslovnice"/>
        <w:spacing w:after="120" w:line="276" w:lineRule="auto"/>
        <w:rPr>
          <w:rFonts w:ascii="Roboto Medium" w:hAnsi="Roboto Medium"/>
          <w:b w:val="0"/>
          <w:bCs/>
          <w:sz w:val="36"/>
          <w:szCs w:val="36"/>
        </w:rPr>
      </w:pPr>
      <w:r>
        <w:rPr>
          <w:rFonts w:ascii="Roboto Medium" w:hAnsi="Roboto Medium"/>
          <w:b w:val="0"/>
          <w:bCs/>
          <w:sz w:val="36"/>
          <w:szCs w:val="36"/>
        </w:rPr>
        <w:t>ZAKONA O PRAVU NA PRISTUP INFORMACIJAMA</w:t>
      </w:r>
    </w:p>
    <w:p w14:paraId="4A023734" w14:textId="1F1E8C21" w:rsidR="00C86404" w:rsidRDefault="00C86404" w:rsidP="001F7977">
      <w:pPr>
        <w:pStyle w:val="TekstNaslovnice"/>
        <w:spacing w:after="120" w:line="276" w:lineRule="auto"/>
        <w:rPr>
          <w:rFonts w:ascii="Roboto Medium" w:hAnsi="Roboto Medium"/>
          <w:b w:val="0"/>
          <w:bCs/>
          <w:sz w:val="36"/>
          <w:szCs w:val="36"/>
        </w:rPr>
      </w:pPr>
      <w:r>
        <w:rPr>
          <w:rFonts w:ascii="Roboto Medium" w:hAnsi="Roboto Medium"/>
          <w:b w:val="0"/>
          <w:bCs/>
          <w:sz w:val="36"/>
          <w:szCs w:val="36"/>
        </w:rPr>
        <w:t>ZA 2025. GODINU</w:t>
      </w:r>
    </w:p>
    <w:p w14:paraId="520CA978" w14:textId="77777777" w:rsidR="00C86404" w:rsidRDefault="00C86404" w:rsidP="001F7977">
      <w:pPr>
        <w:rPr>
          <w:rFonts w:ascii="Roboto" w:hAnsi="Roboto" w:cs="Arial"/>
          <w:sz w:val="22"/>
          <w:szCs w:val="22"/>
          <w:lang w:eastAsia="en-US"/>
        </w:rPr>
      </w:pPr>
    </w:p>
    <w:p w14:paraId="4ACE49CB" w14:textId="77777777" w:rsidR="00C86404" w:rsidRDefault="00C86404" w:rsidP="001F7977">
      <w:pPr>
        <w:rPr>
          <w:rFonts w:ascii="Roboto" w:hAnsi="Roboto" w:cs="Arial"/>
          <w:szCs w:val="22"/>
          <w:lang w:eastAsia="en-US"/>
        </w:rPr>
      </w:pPr>
    </w:p>
    <w:p w14:paraId="66F1CB7B" w14:textId="77777777" w:rsidR="00C86404" w:rsidRDefault="00C86404" w:rsidP="001F7977">
      <w:pPr>
        <w:rPr>
          <w:rFonts w:ascii="Roboto" w:hAnsi="Roboto" w:cs="Arial"/>
          <w:szCs w:val="22"/>
          <w:lang w:eastAsia="en-US"/>
        </w:rPr>
      </w:pPr>
    </w:p>
    <w:p w14:paraId="65182C9C" w14:textId="77777777" w:rsidR="00C86404" w:rsidRDefault="00C86404" w:rsidP="001F7977">
      <w:pPr>
        <w:rPr>
          <w:rFonts w:ascii="Roboto" w:hAnsi="Roboto" w:cs="Arial"/>
          <w:szCs w:val="22"/>
          <w:lang w:eastAsia="en-US"/>
        </w:rPr>
      </w:pPr>
    </w:p>
    <w:p w14:paraId="6B745155" w14:textId="77777777" w:rsidR="00C86404" w:rsidRDefault="00C86404" w:rsidP="001F7977">
      <w:pPr>
        <w:rPr>
          <w:rFonts w:ascii="Roboto" w:hAnsi="Roboto" w:cs="Arial"/>
          <w:szCs w:val="22"/>
          <w:lang w:eastAsia="en-US"/>
        </w:rPr>
      </w:pPr>
    </w:p>
    <w:p w14:paraId="686122F6" w14:textId="77777777" w:rsidR="00C86404" w:rsidRDefault="00C86404" w:rsidP="001F7977">
      <w:pPr>
        <w:rPr>
          <w:rFonts w:ascii="Roboto" w:hAnsi="Roboto" w:cs="Arial"/>
          <w:szCs w:val="22"/>
          <w:lang w:eastAsia="en-US"/>
        </w:rPr>
      </w:pPr>
    </w:p>
    <w:p w14:paraId="71872596" w14:textId="77777777" w:rsidR="00C86404" w:rsidRDefault="00C86404" w:rsidP="001F7977">
      <w:pPr>
        <w:rPr>
          <w:rFonts w:ascii="Roboto" w:hAnsi="Roboto" w:cs="Arial"/>
          <w:szCs w:val="22"/>
          <w:lang w:eastAsia="en-US"/>
        </w:rPr>
      </w:pPr>
    </w:p>
    <w:p w14:paraId="68B9CCBF" w14:textId="77777777" w:rsidR="00C86404" w:rsidRDefault="00C86404" w:rsidP="001F7977">
      <w:pPr>
        <w:rPr>
          <w:rFonts w:ascii="Roboto" w:hAnsi="Roboto" w:cs="Arial"/>
          <w:szCs w:val="22"/>
          <w:lang w:eastAsia="en-US"/>
        </w:rPr>
      </w:pPr>
    </w:p>
    <w:p w14:paraId="3AF0B2E6" w14:textId="77777777" w:rsidR="00C86404" w:rsidRDefault="00C86404" w:rsidP="001F7977">
      <w:pPr>
        <w:rPr>
          <w:rFonts w:ascii="Roboto" w:hAnsi="Roboto" w:cs="Arial"/>
          <w:szCs w:val="22"/>
          <w:lang w:eastAsia="en-US"/>
        </w:rPr>
      </w:pPr>
    </w:p>
    <w:p w14:paraId="3F0BF088" w14:textId="77777777" w:rsidR="00C86404" w:rsidRDefault="00C86404" w:rsidP="001F7977">
      <w:pPr>
        <w:rPr>
          <w:rFonts w:ascii="Roboto" w:hAnsi="Roboto" w:cs="Arial"/>
          <w:szCs w:val="22"/>
          <w:lang w:eastAsia="en-US"/>
        </w:rPr>
      </w:pPr>
    </w:p>
    <w:p w14:paraId="4817561E" w14:textId="77777777" w:rsidR="00C86404" w:rsidRDefault="00C86404" w:rsidP="001F7977">
      <w:pPr>
        <w:rPr>
          <w:rFonts w:ascii="Roboto" w:hAnsi="Roboto" w:cs="Arial"/>
          <w:szCs w:val="22"/>
          <w:lang w:eastAsia="en-US"/>
        </w:rPr>
      </w:pPr>
    </w:p>
    <w:p w14:paraId="424F8607" w14:textId="77777777" w:rsidR="00C86404" w:rsidRDefault="00C86404" w:rsidP="001F7977">
      <w:pPr>
        <w:rPr>
          <w:rFonts w:ascii="Roboto" w:hAnsi="Roboto" w:cs="Arial"/>
          <w:szCs w:val="22"/>
          <w:lang w:eastAsia="en-US"/>
        </w:rPr>
      </w:pPr>
    </w:p>
    <w:p w14:paraId="414832A7" w14:textId="77777777" w:rsidR="00C86404" w:rsidRDefault="00C86404" w:rsidP="001F7977">
      <w:pPr>
        <w:rPr>
          <w:rFonts w:ascii="Roboto" w:hAnsi="Roboto" w:cs="Arial"/>
          <w:szCs w:val="22"/>
          <w:lang w:eastAsia="en-US"/>
        </w:rPr>
      </w:pPr>
    </w:p>
    <w:p w14:paraId="09CBF83A" w14:textId="77777777" w:rsidR="00C86404" w:rsidRDefault="00C86404" w:rsidP="001F7977">
      <w:pPr>
        <w:rPr>
          <w:rFonts w:ascii="Roboto" w:hAnsi="Roboto" w:cs="Arial"/>
          <w:szCs w:val="22"/>
          <w:lang w:eastAsia="en-US"/>
        </w:rPr>
      </w:pPr>
    </w:p>
    <w:p w14:paraId="70FE8E74" w14:textId="77777777" w:rsidR="00C86404" w:rsidRDefault="00C86404" w:rsidP="001F7977">
      <w:pPr>
        <w:rPr>
          <w:rFonts w:ascii="Roboto" w:hAnsi="Roboto" w:cs="Arial"/>
          <w:szCs w:val="22"/>
          <w:lang w:eastAsia="en-US"/>
        </w:rPr>
      </w:pPr>
    </w:p>
    <w:p w14:paraId="3FB73E6C" w14:textId="77777777" w:rsidR="00C86404" w:rsidRDefault="00C86404" w:rsidP="001F7977">
      <w:pPr>
        <w:pStyle w:val="TekstNaslovnice"/>
        <w:pBdr>
          <w:top w:val="single" w:sz="18" w:space="1" w:color="auto"/>
        </w:pBdr>
        <w:spacing w:after="120" w:line="276" w:lineRule="auto"/>
        <w:jc w:val="both"/>
        <w:rPr>
          <w:rFonts w:ascii="Roboto" w:hAnsi="Roboto"/>
          <w:b w:val="0"/>
          <w:bCs/>
          <w:sz w:val="22"/>
          <w:szCs w:val="22"/>
          <w:lang w:eastAsia="en-US"/>
        </w:rPr>
      </w:pPr>
    </w:p>
    <w:p w14:paraId="5239445F" w14:textId="4D152ACB" w:rsidR="00C86404" w:rsidRDefault="00C86404" w:rsidP="001F7977">
      <w:pPr>
        <w:pStyle w:val="TekstNaslovnice"/>
        <w:pBdr>
          <w:top w:val="single" w:sz="18" w:space="1" w:color="auto"/>
        </w:pBdr>
        <w:spacing w:after="120" w:line="276" w:lineRule="auto"/>
        <w:rPr>
          <w:rFonts w:ascii="Roboto" w:hAnsi="Roboto"/>
          <w:sz w:val="22"/>
          <w:szCs w:val="22"/>
          <w:lang w:eastAsia="en-US"/>
        </w:rPr>
      </w:pPr>
      <w:r>
        <w:rPr>
          <w:rFonts w:ascii="Roboto" w:hAnsi="Roboto"/>
          <w:b w:val="0"/>
          <w:bCs/>
          <w:sz w:val="22"/>
          <w:szCs w:val="22"/>
          <w:lang w:eastAsia="en-US"/>
        </w:rPr>
        <w:t>Zagreb, ožujak 2026.</w:t>
      </w:r>
    </w:p>
    <w:p w14:paraId="5E9EEE5B" w14:textId="77777777" w:rsidR="0040151D" w:rsidRPr="006D3E56" w:rsidRDefault="0040151D" w:rsidP="001F7977">
      <w:pPr>
        <w:rPr>
          <w:rFonts w:ascii="Roboto" w:hAnsi="Roboto" w:cs="Arial"/>
          <w:color w:val="EE0000"/>
          <w:sz w:val="22"/>
          <w:szCs w:val="22"/>
          <w:lang w:eastAsia="en-US"/>
        </w:rPr>
        <w:sectPr w:rsidR="0040151D" w:rsidRPr="006D3E56" w:rsidSect="007C2B47">
          <w:pgSz w:w="11906" w:h="16838"/>
          <w:pgMar w:top="1135" w:right="1361" w:bottom="851" w:left="1361" w:header="709" w:footer="709" w:gutter="0"/>
          <w:pgNumType w:start="1"/>
          <w:cols w:space="708"/>
          <w:docGrid w:linePitch="360"/>
        </w:sectPr>
      </w:pPr>
    </w:p>
    <w:p w14:paraId="122B149E" w14:textId="2F010EAA" w:rsidR="001D77FC" w:rsidRPr="00C07555" w:rsidRDefault="00D13F59" w:rsidP="001F7977">
      <w:pPr>
        <w:tabs>
          <w:tab w:val="left" w:pos="2070"/>
        </w:tabs>
        <w:rPr>
          <w:rFonts w:ascii="Roboto" w:hAnsi="Roboto" w:cs="Arial"/>
          <w:b/>
          <w:color w:val="000000" w:themeColor="text1"/>
          <w:sz w:val="22"/>
          <w:szCs w:val="22"/>
        </w:rPr>
      </w:pPr>
      <w:r w:rsidRPr="00C07555">
        <w:rPr>
          <w:rFonts w:ascii="Roboto" w:hAnsi="Roboto" w:cs="Arial"/>
          <w:b/>
          <w:color w:val="000000" w:themeColor="text1"/>
          <w:sz w:val="22"/>
          <w:szCs w:val="22"/>
        </w:rPr>
        <w:lastRenderedPageBreak/>
        <w:t>Sadržaj</w:t>
      </w:r>
      <w:r w:rsidR="008D524A" w:rsidRPr="00C07555">
        <w:rPr>
          <w:rFonts w:ascii="Roboto" w:hAnsi="Roboto" w:cs="Arial"/>
          <w:b/>
          <w:color w:val="000000" w:themeColor="text1"/>
          <w:sz w:val="22"/>
          <w:szCs w:val="22"/>
        </w:rPr>
        <w:tab/>
      </w:r>
    </w:p>
    <w:p w14:paraId="47F6967D" w14:textId="77777777" w:rsidR="008D524A" w:rsidRPr="006D3E56" w:rsidRDefault="008D524A" w:rsidP="001F7977">
      <w:pPr>
        <w:tabs>
          <w:tab w:val="left" w:pos="2070"/>
        </w:tabs>
        <w:rPr>
          <w:rFonts w:ascii="Roboto" w:hAnsi="Roboto" w:cs="Arial"/>
          <w:b/>
          <w:color w:val="EE0000"/>
          <w:sz w:val="22"/>
          <w:szCs w:val="22"/>
        </w:rPr>
      </w:pPr>
    </w:p>
    <w:p w14:paraId="278C0263" w14:textId="364EDA2D" w:rsidR="00A47429" w:rsidRDefault="002C2BCC">
      <w:pPr>
        <w:pStyle w:val="Sadraj1"/>
        <w:rPr>
          <w:rFonts w:asciiTheme="minorHAnsi" w:eastAsiaTheme="minorEastAsia" w:hAnsiTheme="minorHAnsi" w:cstheme="minorBidi"/>
          <w:b w:val="0"/>
          <w:szCs w:val="22"/>
        </w:rPr>
      </w:pPr>
      <w:r w:rsidRPr="006D3E56">
        <w:rPr>
          <w:rFonts w:cs="Arial"/>
          <w:color w:val="EE0000"/>
          <w:szCs w:val="22"/>
        </w:rPr>
        <w:fldChar w:fldCharType="begin"/>
      </w:r>
      <w:r w:rsidR="00FF4511" w:rsidRPr="006D3E56">
        <w:rPr>
          <w:rFonts w:cs="Arial"/>
          <w:color w:val="EE0000"/>
          <w:szCs w:val="22"/>
        </w:rPr>
        <w:instrText xml:space="preserve"> TOC \o "1-4" \h \z \u </w:instrText>
      </w:r>
      <w:r w:rsidRPr="006D3E56">
        <w:rPr>
          <w:rFonts w:cs="Arial"/>
          <w:color w:val="EE0000"/>
          <w:szCs w:val="22"/>
        </w:rPr>
        <w:fldChar w:fldCharType="separate"/>
      </w:r>
      <w:hyperlink w:anchor="_Toc225867778" w:history="1">
        <w:r w:rsidR="00A47429" w:rsidRPr="009C5E73">
          <w:rPr>
            <w:rStyle w:val="Hiperveza"/>
          </w:rPr>
          <w:t>UVOD</w:t>
        </w:r>
        <w:r w:rsidR="00A47429">
          <w:rPr>
            <w:webHidden/>
          </w:rPr>
          <w:tab/>
        </w:r>
        <w:r w:rsidR="00A47429">
          <w:rPr>
            <w:webHidden/>
          </w:rPr>
          <w:fldChar w:fldCharType="begin"/>
        </w:r>
        <w:r w:rsidR="00A47429">
          <w:rPr>
            <w:webHidden/>
          </w:rPr>
          <w:instrText xml:space="preserve"> PAGEREF _Toc225867778 \h </w:instrText>
        </w:r>
        <w:r w:rsidR="00A47429">
          <w:rPr>
            <w:webHidden/>
          </w:rPr>
        </w:r>
        <w:r w:rsidR="00A47429">
          <w:rPr>
            <w:webHidden/>
          </w:rPr>
          <w:fldChar w:fldCharType="separate"/>
        </w:r>
        <w:r w:rsidR="00CF3263">
          <w:rPr>
            <w:webHidden/>
          </w:rPr>
          <w:t>1</w:t>
        </w:r>
        <w:r w:rsidR="00A47429">
          <w:rPr>
            <w:webHidden/>
          </w:rPr>
          <w:fldChar w:fldCharType="end"/>
        </w:r>
      </w:hyperlink>
    </w:p>
    <w:p w14:paraId="41444F5B" w14:textId="323386C9" w:rsidR="00A47429" w:rsidRDefault="00A47429">
      <w:pPr>
        <w:pStyle w:val="Sadraj1"/>
        <w:rPr>
          <w:rFonts w:asciiTheme="minorHAnsi" w:eastAsiaTheme="minorEastAsia" w:hAnsiTheme="minorHAnsi" w:cstheme="minorBidi"/>
          <w:b w:val="0"/>
          <w:szCs w:val="22"/>
        </w:rPr>
      </w:pPr>
      <w:hyperlink w:anchor="_Toc225867779" w:history="1">
        <w:r w:rsidRPr="009C5E73">
          <w:rPr>
            <w:rStyle w:val="Hiperveza"/>
          </w:rPr>
          <w:t>Tijela javne vlasti</w:t>
        </w:r>
        <w:r>
          <w:rPr>
            <w:webHidden/>
          </w:rPr>
          <w:tab/>
        </w:r>
        <w:r>
          <w:rPr>
            <w:webHidden/>
          </w:rPr>
          <w:fldChar w:fldCharType="begin"/>
        </w:r>
        <w:r>
          <w:rPr>
            <w:webHidden/>
          </w:rPr>
          <w:instrText xml:space="preserve"> PAGEREF _Toc225867779 \h </w:instrText>
        </w:r>
        <w:r>
          <w:rPr>
            <w:webHidden/>
          </w:rPr>
        </w:r>
        <w:r>
          <w:rPr>
            <w:webHidden/>
          </w:rPr>
          <w:fldChar w:fldCharType="separate"/>
        </w:r>
        <w:r w:rsidR="00CF3263">
          <w:rPr>
            <w:webHidden/>
          </w:rPr>
          <w:t>2</w:t>
        </w:r>
        <w:r>
          <w:rPr>
            <w:webHidden/>
          </w:rPr>
          <w:fldChar w:fldCharType="end"/>
        </w:r>
      </w:hyperlink>
    </w:p>
    <w:p w14:paraId="74A52328" w14:textId="49FECBF4" w:rsidR="00A47429" w:rsidRDefault="00A47429">
      <w:pPr>
        <w:pStyle w:val="Sadraj1"/>
        <w:rPr>
          <w:rFonts w:asciiTheme="minorHAnsi" w:eastAsiaTheme="minorEastAsia" w:hAnsiTheme="minorHAnsi" w:cstheme="minorBidi"/>
          <w:b w:val="0"/>
          <w:szCs w:val="22"/>
        </w:rPr>
      </w:pPr>
      <w:hyperlink w:anchor="_Toc225867780" w:history="1">
        <w:r w:rsidRPr="009C5E73">
          <w:rPr>
            <w:rStyle w:val="Hiperveza"/>
          </w:rPr>
          <w:t>Izvješća o provedbi ZPPI-ja u 2025.</w:t>
        </w:r>
        <w:r>
          <w:rPr>
            <w:webHidden/>
          </w:rPr>
          <w:tab/>
        </w:r>
        <w:r>
          <w:rPr>
            <w:webHidden/>
          </w:rPr>
          <w:fldChar w:fldCharType="begin"/>
        </w:r>
        <w:r>
          <w:rPr>
            <w:webHidden/>
          </w:rPr>
          <w:instrText xml:space="preserve"> PAGEREF _Toc225867780 \h </w:instrText>
        </w:r>
        <w:r>
          <w:rPr>
            <w:webHidden/>
          </w:rPr>
        </w:r>
        <w:r>
          <w:rPr>
            <w:webHidden/>
          </w:rPr>
          <w:fldChar w:fldCharType="separate"/>
        </w:r>
        <w:r w:rsidR="00CF3263">
          <w:rPr>
            <w:webHidden/>
          </w:rPr>
          <w:t>2</w:t>
        </w:r>
        <w:r>
          <w:rPr>
            <w:webHidden/>
          </w:rPr>
          <w:fldChar w:fldCharType="end"/>
        </w:r>
      </w:hyperlink>
    </w:p>
    <w:p w14:paraId="7E42B235" w14:textId="7D929024" w:rsidR="00A47429" w:rsidRDefault="00A47429">
      <w:pPr>
        <w:pStyle w:val="Sadraj1"/>
        <w:rPr>
          <w:rFonts w:asciiTheme="minorHAnsi" w:eastAsiaTheme="minorEastAsia" w:hAnsiTheme="minorHAnsi" w:cstheme="minorBidi"/>
          <w:b w:val="0"/>
          <w:szCs w:val="22"/>
        </w:rPr>
      </w:pPr>
      <w:hyperlink w:anchor="_Toc225867781" w:history="1">
        <w:r w:rsidRPr="009C5E73">
          <w:rPr>
            <w:rStyle w:val="Hiperveza"/>
          </w:rPr>
          <w:t>A) POSTUPANJE PO ZAHTJEVIMA KORISNIKA I ZAŠTITA PRAVA NA PRISTUP INFORMACIJAMA</w:t>
        </w:r>
        <w:r>
          <w:rPr>
            <w:webHidden/>
          </w:rPr>
          <w:tab/>
        </w:r>
        <w:r>
          <w:rPr>
            <w:webHidden/>
          </w:rPr>
          <w:fldChar w:fldCharType="begin"/>
        </w:r>
        <w:r>
          <w:rPr>
            <w:webHidden/>
          </w:rPr>
          <w:instrText xml:space="preserve"> PAGEREF _Toc225867781 \h </w:instrText>
        </w:r>
        <w:r>
          <w:rPr>
            <w:webHidden/>
          </w:rPr>
        </w:r>
        <w:r>
          <w:rPr>
            <w:webHidden/>
          </w:rPr>
          <w:fldChar w:fldCharType="separate"/>
        </w:r>
        <w:r w:rsidR="00CF3263">
          <w:rPr>
            <w:webHidden/>
          </w:rPr>
          <w:t>3</w:t>
        </w:r>
        <w:r>
          <w:rPr>
            <w:webHidden/>
          </w:rPr>
          <w:fldChar w:fldCharType="end"/>
        </w:r>
      </w:hyperlink>
    </w:p>
    <w:p w14:paraId="5FBBA50C" w14:textId="6A498454" w:rsidR="00A47429" w:rsidRDefault="00A47429">
      <w:pPr>
        <w:pStyle w:val="Sadraj1"/>
        <w:rPr>
          <w:rFonts w:asciiTheme="minorHAnsi" w:eastAsiaTheme="minorEastAsia" w:hAnsiTheme="minorHAnsi" w:cstheme="minorBidi"/>
          <w:b w:val="0"/>
          <w:szCs w:val="22"/>
        </w:rPr>
      </w:pPr>
      <w:hyperlink w:anchor="_Toc225867782" w:history="1">
        <w:r w:rsidRPr="009C5E73">
          <w:rPr>
            <w:rStyle w:val="Hiperveza"/>
          </w:rPr>
          <w:t>Postupanje tijela javne vlasti po zahtjevima korisnika</w:t>
        </w:r>
        <w:r>
          <w:rPr>
            <w:webHidden/>
          </w:rPr>
          <w:tab/>
        </w:r>
        <w:r>
          <w:rPr>
            <w:webHidden/>
          </w:rPr>
          <w:fldChar w:fldCharType="begin"/>
        </w:r>
        <w:r>
          <w:rPr>
            <w:webHidden/>
          </w:rPr>
          <w:instrText xml:space="preserve"> PAGEREF _Toc225867782 \h </w:instrText>
        </w:r>
        <w:r>
          <w:rPr>
            <w:webHidden/>
          </w:rPr>
        </w:r>
        <w:r>
          <w:rPr>
            <w:webHidden/>
          </w:rPr>
          <w:fldChar w:fldCharType="separate"/>
        </w:r>
        <w:r w:rsidR="00CF3263">
          <w:rPr>
            <w:webHidden/>
          </w:rPr>
          <w:t>3</w:t>
        </w:r>
        <w:r>
          <w:rPr>
            <w:webHidden/>
          </w:rPr>
          <w:fldChar w:fldCharType="end"/>
        </w:r>
      </w:hyperlink>
    </w:p>
    <w:p w14:paraId="3CB798B3" w14:textId="7485D64A" w:rsidR="00A47429" w:rsidRDefault="00A47429">
      <w:pPr>
        <w:pStyle w:val="Sadraj1"/>
        <w:rPr>
          <w:rFonts w:asciiTheme="minorHAnsi" w:eastAsiaTheme="minorEastAsia" w:hAnsiTheme="minorHAnsi" w:cstheme="minorBidi"/>
          <w:b w:val="0"/>
          <w:szCs w:val="22"/>
        </w:rPr>
      </w:pPr>
      <w:hyperlink w:anchor="_Toc225867783" w:history="1">
        <w:r w:rsidRPr="009C5E73">
          <w:rPr>
            <w:rStyle w:val="Hiperveza"/>
          </w:rPr>
          <w:t>Žalbeni postupak</w:t>
        </w:r>
        <w:r>
          <w:rPr>
            <w:webHidden/>
          </w:rPr>
          <w:tab/>
        </w:r>
        <w:r>
          <w:rPr>
            <w:webHidden/>
          </w:rPr>
          <w:fldChar w:fldCharType="begin"/>
        </w:r>
        <w:r>
          <w:rPr>
            <w:webHidden/>
          </w:rPr>
          <w:instrText xml:space="preserve"> PAGEREF _Toc225867783 \h </w:instrText>
        </w:r>
        <w:r>
          <w:rPr>
            <w:webHidden/>
          </w:rPr>
        </w:r>
        <w:r>
          <w:rPr>
            <w:webHidden/>
          </w:rPr>
          <w:fldChar w:fldCharType="separate"/>
        </w:r>
        <w:r w:rsidR="00CF3263">
          <w:rPr>
            <w:webHidden/>
          </w:rPr>
          <w:t>4</w:t>
        </w:r>
        <w:r>
          <w:rPr>
            <w:webHidden/>
          </w:rPr>
          <w:fldChar w:fldCharType="end"/>
        </w:r>
      </w:hyperlink>
    </w:p>
    <w:p w14:paraId="6A69CE9C" w14:textId="7CD77887" w:rsidR="00A47429" w:rsidRDefault="00A47429">
      <w:pPr>
        <w:pStyle w:val="Sadraj1"/>
        <w:rPr>
          <w:rFonts w:asciiTheme="minorHAnsi" w:eastAsiaTheme="minorEastAsia" w:hAnsiTheme="minorHAnsi" w:cstheme="minorBidi"/>
          <w:b w:val="0"/>
          <w:szCs w:val="22"/>
        </w:rPr>
      </w:pPr>
      <w:hyperlink w:anchor="_Toc225867784" w:history="1">
        <w:r w:rsidRPr="009C5E73">
          <w:rPr>
            <w:rStyle w:val="Hiperveza"/>
          </w:rPr>
          <w:t>Rješavanje žalbi</w:t>
        </w:r>
        <w:r>
          <w:rPr>
            <w:webHidden/>
          </w:rPr>
          <w:tab/>
        </w:r>
        <w:r>
          <w:rPr>
            <w:webHidden/>
          </w:rPr>
          <w:fldChar w:fldCharType="begin"/>
        </w:r>
        <w:r>
          <w:rPr>
            <w:webHidden/>
          </w:rPr>
          <w:instrText xml:space="preserve"> PAGEREF _Toc225867784 \h </w:instrText>
        </w:r>
        <w:r>
          <w:rPr>
            <w:webHidden/>
          </w:rPr>
        </w:r>
        <w:r>
          <w:rPr>
            <w:webHidden/>
          </w:rPr>
          <w:fldChar w:fldCharType="separate"/>
        </w:r>
        <w:r w:rsidR="00CF3263">
          <w:rPr>
            <w:webHidden/>
          </w:rPr>
          <w:t>5</w:t>
        </w:r>
        <w:r>
          <w:rPr>
            <w:webHidden/>
          </w:rPr>
          <w:fldChar w:fldCharType="end"/>
        </w:r>
      </w:hyperlink>
    </w:p>
    <w:p w14:paraId="782830BA" w14:textId="05C408CF" w:rsidR="00A47429" w:rsidRDefault="00A47429">
      <w:pPr>
        <w:pStyle w:val="Sadraj1"/>
        <w:rPr>
          <w:rFonts w:asciiTheme="minorHAnsi" w:eastAsiaTheme="minorEastAsia" w:hAnsiTheme="minorHAnsi" w:cstheme="minorBidi"/>
          <w:b w:val="0"/>
          <w:szCs w:val="22"/>
        </w:rPr>
      </w:pPr>
      <w:hyperlink w:anchor="_Toc225867785" w:history="1">
        <w:r w:rsidRPr="009C5E73">
          <w:rPr>
            <w:rStyle w:val="Hiperveza"/>
          </w:rPr>
          <w:t>Izvršenje rješenja Povjerenika za informiranje</w:t>
        </w:r>
        <w:r>
          <w:rPr>
            <w:webHidden/>
          </w:rPr>
          <w:tab/>
        </w:r>
        <w:r>
          <w:rPr>
            <w:webHidden/>
          </w:rPr>
          <w:fldChar w:fldCharType="begin"/>
        </w:r>
        <w:r>
          <w:rPr>
            <w:webHidden/>
          </w:rPr>
          <w:instrText xml:space="preserve"> PAGEREF _Toc225867785 \h </w:instrText>
        </w:r>
        <w:r>
          <w:rPr>
            <w:webHidden/>
          </w:rPr>
        </w:r>
        <w:r>
          <w:rPr>
            <w:webHidden/>
          </w:rPr>
          <w:fldChar w:fldCharType="separate"/>
        </w:r>
        <w:r w:rsidR="00CF3263">
          <w:rPr>
            <w:webHidden/>
          </w:rPr>
          <w:t>14</w:t>
        </w:r>
        <w:r>
          <w:rPr>
            <w:webHidden/>
          </w:rPr>
          <w:fldChar w:fldCharType="end"/>
        </w:r>
      </w:hyperlink>
    </w:p>
    <w:p w14:paraId="38E24BA7" w14:textId="2DE078E7" w:rsidR="00A47429" w:rsidRDefault="00A47429">
      <w:pPr>
        <w:pStyle w:val="Sadraj1"/>
        <w:rPr>
          <w:rFonts w:asciiTheme="minorHAnsi" w:eastAsiaTheme="minorEastAsia" w:hAnsiTheme="minorHAnsi" w:cstheme="minorBidi"/>
          <w:b w:val="0"/>
          <w:szCs w:val="22"/>
        </w:rPr>
      </w:pPr>
      <w:hyperlink w:anchor="_Toc225867786" w:history="1">
        <w:r w:rsidRPr="009C5E73">
          <w:rPr>
            <w:rStyle w:val="Hiperveza"/>
          </w:rPr>
          <w:t>Sudski nadzor</w:t>
        </w:r>
        <w:r>
          <w:rPr>
            <w:webHidden/>
          </w:rPr>
          <w:tab/>
        </w:r>
        <w:r>
          <w:rPr>
            <w:webHidden/>
          </w:rPr>
          <w:fldChar w:fldCharType="begin"/>
        </w:r>
        <w:r>
          <w:rPr>
            <w:webHidden/>
          </w:rPr>
          <w:instrText xml:space="preserve"> PAGEREF _Toc225867786 \h </w:instrText>
        </w:r>
        <w:r>
          <w:rPr>
            <w:webHidden/>
          </w:rPr>
        </w:r>
        <w:r>
          <w:rPr>
            <w:webHidden/>
          </w:rPr>
          <w:fldChar w:fldCharType="separate"/>
        </w:r>
        <w:r w:rsidR="00CF3263">
          <w:rPr>
            <w:webHidden/>
          </w:rPr>
          <w:t>15</w:t>
        </w:r>
        <w:r>
          <w:rPr>
            <w:webHidden/>
          </w:rPr>
          <w:fldChar w:fldCharType="end"/>
        </w:r>
      </w:hyperlink>
    </w:p>
    <w:p w14:paraId="5C7D17B7" w14:textId="4C589D9D" w:rsidR="00A47429" w:rsidRDefault="00A47429">
      <w:pPr>
        <w:pStyle w:val="Sadraj1"/>
        <w:rPr>
          <w:rFonts w:asciiTheme="minorHAnsi" w:eastAsiaTheme="minorEastAsia" w:hAnsiTheme="minorHAnsi" w:cstheme="minorBidi"/>
          <w:b w:val="0"/>
          <w:szCs w:val="22"/>
        </w:rPr>
      </w:pPr>
      <w:hyperlink w:anchor="_Toc225867787" w:history="1">
        <w:r w:rsidRPr="009C5E73">
          <w:rPr>
            <w:rStyle w:val="Hiperveza"/>
          </w:rPr>
          <w:t>Predstavke korisnika na rad tijela javne vlasti,  inspekcijski nadzor  i mišljenja o primjeni Zakona</w:t>
        </w:r>
        <w:r>
          <w:rPr>
            <w:webHidden/>
          </w:rPr>
          <w:tab/>
        </w:r>
        <w:r>
          <w:rPr>
            <w:webHidden/>
          </w:rPr>
          <w:fldChar w:fldCharType="begin"/>
        </w:r>
        <w:r>
          <w:rPr>
            <w:webHidden/>
          </w:rPr>
          <w:instrText xml:space="preserve"> PAGEREF _Toc225867787 \h </w:instrText>
        </w:r>
        <w:r>
          <w:rPr>
            <w:webHidden/>
          </w:rPr>
        </w:r>
        <w:r>
          <w:rPr>
            <w:webHidden/>
          </w:rPr>
          <w:fldChar w:fldCharType="separate"/>
        </w:r>
        <w:r w:rsidR="00CF3263">
          <w:rPr>
            <w:webHidden/>
          </w:rPr>
          <w:t>16</w:t>
        </w:r>
        <w:r>
          <w:rPr>
            <w:webHidden/>
          </w:rPr>
          <w:fldChar w:fldCharType="end"/>
        </w:r>
      </w:hyperlink>
    </w:p>
    <w:p w14:paraId="46039D59" w14:textId="60327040" w:rsidR="00A47429" w:rsidRDefault="00A47429">
      <w:pPr>
        <w:pStyle w:val="Sadraj1"/>
        <w:rPr>
          <w:rFonts w:asciiTheme="minorHAnsi" w:eastAsiaTheme="minorEastAsia" w:hAnsiTheme="minorHAnsi" w:cstheme="minorBidi"/>
          <w:b w:val="0"/>
          <w:szCs w:val="22"/>
        </w:rPr>
      </w:pPr>
      <w:hyperlink w:anchor="_Toc225867788" w:history="1">
        <w:r w:rsidRPr="009C5E73">
          <w:rPr>
            <w:rStyle w:val="Hiperveza"/>
          </w:rPr>
          <w:t>Sankcije</w:t>
        </w:r>
        <w:r>
          <w:rPr>
            <w:webHidden/>
          </w:rPr>
          <w:tab/>
        </w:r>
        <w:r>
          <w:rPr>
            <w:webHidden/>
          </w:rPr>
          <w:fldChar w:fldCharType="begin"/>
        </w:r>
        <w:r>
          <w:rPr>
            <w:webHidden/>
          </w:rPr>
          <w:instrText xml:space="preserve"> PAGEREF _Toc225867788 \h </w:instrText>
        </w:r>
        <w:r>
          <w:rPr>
            <w:webHidden/>
          </w:rPr>
        </w:r>
        <w:r>
          <w:rPr>
            <w:webHidden/>
          </w:rPr>
          <w:fldChar w:fldCharType="separate"/>
        </w:r>
        <w:r w:rsidR="00CF3263">
          <w:rPr>
            <w:webHidden/>
          </w:rPr>
          <w:t>18</w:t>
        </w:r>
        <w:r>
          <w:rPr>
            <w:webHidden/>
          </w:rPr>
          <w:fldChar w:fldCharType="end"/>
        </w:r>
      </w:hyperlink>
    </w:p>
    <w:p w14:paraId="13B83F51" w14:textId="1C94B207" w:rsidR="00A47429" w:rsidRDefault="00A47429">
      <w:pPr>
        <w:pStyle w:val="Sadraj1"/>
        <w:rPr>
          <w:rFonts w:asciiTheme="minorHAnsi" w:eastAsiaTheme="minorEastAsia" w:hAnsiTheme="minorHAnsi" w:cstheme="minorBidi"/>
          <w:b w:val="0"/>
          <w:szCs w:val="22"/>
        </w:rPr>
      </w:pPr>
      <w:hyperlink w:anchor="_Toc225867789" w:history="1">
        <w:r w:rsidRPr="009C5E73">
          <w:rPr>
            <w:rStyle w:val="Hiperveza"/>
          </w:rPr>
          <w:t>B) PRAĆENJE I PROMICANJE PRAVA NA PRISTUP INFORMACIJAMA</w:t>
        </w:r>
        <w:r>
          <w:rPr>
            <w:webHidden/>
          </w:rPr>
          <w:tab/>
        </w:r>
        <w:r>
          <w:rPr>
            <w:webHidden/>
          </w:rPr>
          <w:fldChar w:fldCharType="begin"/>
        </w:r>
        <w:r>
          <w:rPr>
            <w:webHidden/>
          </w:rPr>
          <w:instrText xml:space="preserve"> PAGEREF _Toc225867789 \h </w:instrText>
        </w:r>
        <w:r>
          <w:rPr>
            <w:webHidden/>
          </w:rPr>
        </w:r>
        <w:r>
          <w:rPr>
            <w:webHidden/>
          </w:rPr>
          <w:fldChar w:fldCharType="separate"/>
        </w:r>
        <w:r w:rsidR="00CF3263">
          <w:rPr>
            <w:webHidden/>
          </w:rPr>
          <w:t>19</w:t>
        </w:r>
        <w:r>
          <w:rPr>
            <w:webHidden/>
          </w:rPr>
          <w:fldChar w:fldCharType="end"/>
        </w:r>
      </w:hyperlink>
    </w:p>
    <w:p w14:paraId="1E61D40E" w14:textId="02BE3093" w:rsidR="00A47429" w:rsidRDefault="00A47429">
      <w:pPr>
        <w:pStyle w:val="Sadraj1"/>
        <w:rPr>
          <w:rFonts w:asciiTheme="minorHAnsi" w:eastAsiaTheme="minorEastAsia" w:hAnsiTheme="minorHAnsi" w:cstheme="minorBidi"/>
          <w:b w:val="0"/>
          <w:szCs w:val="22"/>
        </w:rPr>
      </w:pPr>
      <w:hyperlink w:anchor="_Toc225867790" w:history="1">
        <w:r w:rsidRPr="009C5E73">
          <w:rPr>
            <w:rStyle w:val="Hiperveza"/>
          </w:rPr>
          <w:t>Proaktivna objava informacija i javnost rada</w:t>
        </w:r>
        <w:r>
          <w:rPr>
            <w:webHidden/>
          </w:rPr>
          <w:tab/>
        </w:r>
        <w:r>
          <w:rPr>
            <w:webHidden/>
          </w:rPr>
          <w:fldChar w:fldCharType="begin"/>
        </w:r>
        <w:r>
          <w:rPr>
            <w:webHidden/>
          </w:rPr>
          <w:instrText xml:space="preserve"> PAGEREF _Toc225867790 \h </w:instrText>
        </w:r>
        <w:r>
          <w:rPr>
            <w:webHidden/>
          </w:rPr>
        </w:r>
        <w:r>
          <w:rPr>
            <w:webHidden/>
          </w:rPr>
          <w:fldChar w:fldCharType="separate"/>
        </w:r>
        <w:r w:rsidR="00CF3263">
          <w:rPr>
            <w:webHidden/>
          </w:rPr>
          <w:t>19</w:t>
        </w:r>
        <w:r>
          <w:rPr>
            <w:webHidden/>
          </w:rPr>
          <w:fldChar w:fldCharType="end"/>
        </w:r>
      </w:hyperlink>
    </w:p>
    <w:p w14:paraId="2A10D775" w14:textId="7F14CC72" w:rsidR="00A47429" w:rsidRDefault="00A47429">
      <w:pPr>
        <w:pStyle w:val="Sadraj1"/>
        <w:rPr>
          <w:rFonts w:asciiTheme="minorHAnsi" w:eastAsiaTheme="minorEastAsia" w:hAnsiTheme="minorHAnsi" w:cstheme="minorBidi"/>
          <w:b w:val="0"/>
          <w:szCs w:val="22"/>
        </w:rPr>
      </w:pPr>
      <w:hyperlink w:anchor="_Toc225867791" w:history="1">
        <w:r w:rsidRPr="009C5E73">
          <w:rPr>
            <w:rStyle w:val="Hiperveza"/>
          </w:rPr>
          <w:t>Savjetovanja s javnošću</w:t>
        </w:r>
        <w:r>
          <w:rPr>
            <w:webHidden/>
          </w:rPr>
          <w:tab/>
        </w:r>
        <w:r>
          <w:rPr>
            <w:webHidden/>
          </w:rPr>
          <w:fldChar w:fldCharType="begin"/>
        </w:r>
        <w:r>
          <w:rPr>
            <w:webHidden/>
          </w:rPr>
          <w:instrText xml:space="preserve"> PAGEREF _Toc225867791 \h </w:instrText>
        </w:r>
        <w:r>
          <w:rPr>
            <w:webHidden/>
          </w:rPr>
        </w:r>
        <w:r>
          <w:rPr>
            <w:webHidden/>
          </w:rPr>
          <w:fldChar w:fldCharType="separate"/>
        </w:r>
        <w:r w:rsidR="00CF3263">
          <w:rPr>
            <w:webHidden/>
          </w:rPr>
          <w:t>20</w:t>
        </w:r>
        <w:r>
          <w:rPr>
            <w:webHidden/>
          </w:rPr>
          <w:fldChar w:fldCharType="end"/>
        </w:r>
      </w:hyperlink>
    </w:p>
    <w:p w14:paraId="63266A16" w14:textId="3EF2D0AB" w:rsidR="00A47429" w:rsidRDefault="00A47429">
      <w:pPr>
        <w:pStyle w:val="Sadraj1"/>
        <w:rPr>
          <w:rFonts w:asciiTheme="minorHAnsi" w:eastAsiaTheme="minorEastAsia" w:hAnsiTheme="minorHAnsi" w:cstheme="minorBidi"/>
          <w:b w:val="0"/>
          <w:szCs w:val="22"/>
        </w:rPr>
      </w:pPr>
      <w:hyperlink w:anchor="_Toc225867792" w:history="1">
        <w:r w:rsidRPr="009C5E73">
          <w:rPr>
            <w:rStyle w:val="Hiperveza"/>
          </w:rPr>
          <w:t>Javnost rada</w:t>
        </w:r>
        <w:r>
          <w:rPr>
            <w:webHidden/>
          </w:rPr>
          <w:tab/>
        </w:r>
        <w:r>
          <w:rPr>
            <w:webHidden/>
          </w:rPr>
          <w:fldChar w:fldCharType="begin"/>
        </w:r>
        <w:r>
          <w:rPr>
            <w:webHidden/>
          </w:rPr>
          <w:instrText xml:space="preserve"> PAGEREF _Toc225867792 \h </w:instrText>
        </w:r>
        <w:r>
          <w:rPr>
            <w:webHidden/>
          </w:rPr>
        </w:r>
        <w:r>
          <w:rPr>
            <w:webHidden/>
          </w:rPr>
          <w:fldChar w:fldCharType="separate"/>
        </w:r>
        <w:r w:rsidR="00CF3263">
          <w:rPr>
            <w:webHidden/>
          </w:rPr>
          <w:t>21</w:t>
        </w:r>
        <w:r>
          <w:rPr>
            <w:webHidden/>
          </w:rPr>
          <w:fldChar w:fldCharType="end"/>
        </w:r>
      </w:hyperlink>
    </w:p>
    <w:p w14:paraId="53C0ABE0" w14:textId="1092FA4E" w:rsidR="00A47429" w:rsidRDefault="00A47429">
      <w:pPr>
        <w:pStyle w:val="Sadraj1"/>
        <w:rPr>
          <w:rFonts w:asciiTheme="minorHAnsi" w:eastAsiaTheme="minorEastAsia" w:hAnsiTheme="minorHAnsi" w:cstheme="minorBidi"/>
          <w:b w:val="0"/>
          <w:szCs w:val="22"/>
        </w:rPr>
      </w:pPr>
      <w:hyperlink w:anchor="_Toc225867793" w:history="1">
        <w:r w:rsidRPr="009C5E73">
          <w:rPr>
            <w:rStyle w:val="Hiperveza"/>
          </w:rPr>
          <w:t>Ponovna uporaba informacija</w:t>
        </w:r>
        <w:r>
          <w:rPr>
            <w:webHidden/>
          </w:rPr>
          <w:tab/>
        </w:r>
        <w:r>
          <w:rPr>
            <w:webHidden/>
          </w:rPr>
          <w:fldChar w:fldCharType="begin"/>
        </w:r>
        <w:r>
          <w:rPr>
            <w:webHidden/>
          </w:rPr>
          <w:instrText xml:space="preserve"> PAGEREF _Toc225867793 \h </w:instrText>
        </w:r>
        <w:r>
          <w:rPr>
            <w:webHidden/>
          </w:rPr>
        </w:r>
        <w:r>
          <w:rPr>
            <w:webHidden/>
          </w:rPr>
          <w:fldChar w:fldCharType="separate"/>
        </w:r>
        <w:r w:rsidR="00CF3263">
          <w:rPr>
            <w:webHidden/>
          </w:rPr>
          <w:t>21</w:t>
        </w:r>
        <w:r>
          <w:rPr>
            <w:webHidden/>
          </w:rPr>
          <w:fldChar w:fldCharType="end"/>
        </w:r>
      </w:hyperlink>
    </w:p>
    <w:p w14:paraId="218EA112" w14:textId="2135F5C2" w:rsidR="00A47429" w:rsidRDefault="00A47429">
      <w:pPr>
        <w:pStyle w:val="Sadraj1"/>
        <w:rPr>
          <w:rFonts w:asciiTheme="minorHAnsi" w:eastAsiaTheme="minorEastAsia" w:hAnsiTheme="minorHAnsi" w:cstheme="minorBidi"/>
          <w:b w:val="0"/>
          <w:szCs w:val="22"/>
        </w:rPr>
      </w:pPr>
      <w:hyperlink w:anchor="_Toc225867794" w:history="1">
        <w:r w:rsidRPr="009C5E73">
          <w:rPr>
            <w:rStyle w:val="Hiperveza"/>
          </w:rPr>
          <w:t>Promicanje prava na pristup informacijama i edukacija</w:t>
        </w:r>
        <w:r>
          <w:rPr>
            <w:webHidden/>
          </w:rPr>
          <w:tab/>
        </w:r>
        <w:r>
          <w:rPr>
            <w:webHidden/>
          </w:rPr>
          <w:fldChar w:fldCharType="begin"/>
        </w:r>
        <w:r>
          <w:rPr>
            <w:webHidden/>
          </w:rPr>
          <w:instrText xml:space="preserve"> PAGEREF _Toc225867794 \h </w:instrText>
        </w:r>
        <w:r>
          <w:rPr>
            <w:webHidden/>
          </w:rPr>
        </w:r>
        <w:r>
          <w:rPr>
            <w:webHidden/>
          </w:rPr>
          <w:fldChar w:fldCharType="separate"/>
        </w:r>
        <w:r w:rsidR="00CF3263">
          <w:rPr>
            <w:webHidden/>
          </w:rPr>
          <w:t>22</w:t>
        </w:r>
        <w:r>
          <w:rPr>
            <w:webHidden/>
          </w:rPr>
          <w:fldChar w:fldCharType="end"/>
        </w:r>
      </w:hyperlink>
    </w:p>
    <w:p w14:paraId="77C5EA34" w14:textId="62F6B7FF" w:rsidR="00A47429" w:rsidRDefault="00A47429">
      <w:pPr>
        <w:pStyle w:val="Sadraj1"/>
        <w:rPr>
          <w:rFonts w:asciiTheme="minorHAnsi" w:eastAsiaTheme="minorEastAsia" w:hAnsiTheme="minorHAnsi" w:cstheme="minorBidi"/>
          <w:b w:val="0"/>
          <w:szCs w:val="22"/>
        </w:rPr>
      </w:pPr>
      <w:hyperlink w:anchor="_Toc225867795" w:history="1">
        <w:r w:rsidRPr="009C5E73">
          <w:rPr>
            <w:rStyle w:val="Hiperveza"/>
          </w:rPr>
          <w:t>C) POSTUPANJE POVJERENIKA U DRUGIM PODRUČJIMA</w:t>
        </w:r>
        <w:r>
          <w:rPr>
            <w:webHidden/>
          </w:rPr>
          <w:tab/>
        </w:r>
        <w:r>
          <w:rPr>
            <w:webHidden/>
          </w:rPr>
          <w:fldChar w:fldCharType="begin"/>
        </w:r>
        <w:r>
          <w:rPr>
            <w:webHidden/>
          </w:rPr>
          <w:instrText xml:space="preserve"> PAGEREF _Toc225867795 \h </w:instrText>
        </w:r>
        <w:r>
          <w:rPr>
            <w:webHidden/>
          </w:rPr>
        </w:r>
        <w:r>
          <w:rPr>
            <w:webHidden/>
          </w:rPr>
          <w:fldChar w:fldCharType="separate"/>
        </w:r>
        <w:r w:rsidR="00CF3263">
          <w:rPr>
            <w:webHidden/>
          </w:rPr>
          <w:t>23</w:t>
        </w:r>
        <w:r>
          <w:rPr>
            <w:webHidden/>
          </w:rPr>
          <w:fldChar w:fldCharType="end"/>
        </w:r>
      </w:hyperlink>
    </w:p>
    <w:p w14:paraId="7EB6D5B5" w14:textId="776BA47C" w:rsidR="00A47429" w:rsidRDefault="00A47429">
      <w:pPr>
        <w:pStyle w:val="Sadraj1"/>
        <w:rPr>
          <w:rFonts w:asciiTheme="minorHAnsi" w:eastAsiaTheme="minorEastAsia" w:hAnsiTheme="minorHAnsi" w:cstheme="minorBidi"/>
          <w:b w:val="0"/>
          <w:szCs w:val="22"/>
        </w:rPr>
      </w:pPr>
      <w:hyperlink w:anchor="_Toc225867796" w:history="1">
        <w:r w:rsidRPr="009C5E73">
          <w:rPr>
            <w:rStyle w:val="Hiperveza"/>
          </w:rPr>
          <w:t>D) URED POVJERENIKA</w:t>
        </w:r>
        <w:r>
          <w:rPr>
            <w:webHidden/>
          </w:rPr>
          <w:tab/>
        </w:r>
        <w:r>
          <w:rPr>
            <w:webHidden/>
          </w:rPr>
          <w:fldChar w:fldCharType="begin"/>
        </w:r>
        <w:r>
          <w:rPr>
            <w:webHidden/>
          </w:rPr>
          <w:instrText xml:space="preserve"> PAGEREF _Toc225867796 \h </w:instrText>
        </w:r>
        <w:r>
          <w:rPr>
            <w:webHidden/>
          </w:rPr>
        </w:r>
        <w:r>
          <w:rPr>
            <w:webHidden/>
          </w:rPr>
          <w:fldChar w:fldCharType="separate"/>
        </w:r>
        <w:r w:rsidR="00CF3263">
          <w:rPr>
            <w:webHidden/>
          </w:rPr>
          <w:t>24</w:t>
        </w:r>
        <w:r>
          <w:rPr>
            <w:webHidden/>
          </w:rPr>
          <w:fldChar w:fldCharType="end"/>
        </w:r>
      </w:hyperlink>
    </w:p>
    <w:p w14:paraId="473174AB" w14:textId="39AD7762" w:rsidR="00A47429" w:rsidRDefault="00A47429">
      <w:pPr>
        <w:pStyle w:val="Sadraj1"/>
        <w:rPr>
          <w:rFonts w:asciiTheme="minorHAnsi" w:eastAsiaTheme="minorEastAsia" w:hAnsiTheme="minorHAnsi" w:cstheme="minorBidi"/>
          <w:b w:val="0"/>
          <w:szCs w:val="22"/>
        </w:rPr>
      </w:pPr>
      <w:hyperlink w:anchor="_Toc225867797" w:history="1">
        <w:r w:rsidRPr="009C5E73">
          <w:rPr>
            <w:rStyle w:val="Hiperveza"/>
          </w:rPr>
          <w:t>E) OSVRT, PRIJEDLOZI I PREPORUKE ZA OTKLANJANJE NEDOSTATAKA I NEPRAVILNOSTI TE OKVIRNI PLAN DJELOVANJA POVJERENIKA I UREDA POVJERENIKA U 2026.</w:t>
        </w:r>
        <w:r>
          <w:rPr>
            <w:webHidden/>
          </w:rPr>
          <w:tab/>
        </w:r>
        <w:r>
          <w:rPr>
            <w:webHidden/>
          </w:rPr>
          <w:fldChar w:fldCharType="begin"/>
        </w:r>
        <w:r>
          <w:rPr>
            <w:webHidden/>
          </w:rPr>
          <w:instrText xml:space="preserve"> PAGEREF _Toc225867797 \h </w:instrText>
        </w:r>
        <w:r>
          <w:rPr>
            <w:webHidden/>
          </w:rPr>
        </w:r>
        <w:r>
          <w:rPr>
            <w:webHidden/>
          </w:rPr>
          <w:fldChar w:fldCharType="separate"/>
        </w:r>
        <w:r w:rsidR="00CF3263">
          <w:rPr>
            <w:webHidden/>
          </w:rPr>
          <w:t>25</w:t>
        </w:r>
        <w:r>
          <w:rPr>
            <w:webHidden/>
          </w:rPr>
          <w:fldChar w:fldCharType="end"/>
        </w:r>
      </w:hyperlink>
    </w:p>
    <w:p w14:paraId="4F559DF6" w14:textId="2AE712BA" w:rsidR="00A47429" w:rsidRDefault="00A47429">
      <w:pPr>
        <w:pStyle w:val="Sadraj1"/>
        <w:rPr>
          <w:rFonts w:asciiTheme="minorHAnsi" w:eastAsiaTheme="minorEastAsia" w:hAnsiTheme="minorHAnsi" w:cstheme="minorBidi"/>
          <w:b w:val="0"/>
          <w:szCs w:val="22"/>
        </w:rPr>
      </w:pPr>
      <w:hyperlink w:anchor="_Toc225867798" w:history="1">
        <w:r w:rsidRPr="009C5E73">
          <w:rPr>
            <w:rStyle w:val="Hiperveza"/>
          </w:rPr>
          <w:t>Osvrt na prijedloge, preporuke i aktivnosti Ureda iz prošlogodišnjeg Izvješća</w:t>
        </w:r>
        <w:r>
          <w:rPr>
            <w:webHidden/>
          </w:rPr>
          <w:tab/>
        </w:r>
        <w:r>
          <w:rPr>
            <w:webHidden/>
          </w:rPr>
          <w:fldChar w:fldCharType="begin"/>
        </w:r>
        <w:r>
          <w:rPr>
            <w:webHidden/>
          </w:rPr>
          <w:instrText xml:space="preserve"> PAGEREF _Toc225867798 \h </w:instrText>
        </w:r>
        <w:r>
          <w:rPr>
            <w:webHidden/>
          </w:rPr>
        </w:r>
        <w:r>
          <w:rPr>
            <w:webHidden/>
          </w:rPr>
          <w:fldChar w:fldCharType="separate"/>
        </w:r>
        <w:r w:rsidR="00CF3263">
          <w:rPr>
            <w:webHidden/>
          </w:rPr>
          <w:t>25</w:t>
        </w:r>
        <w:r>
          <w:rPr>
            <w:webHidden/>
          </w:rPr>
          <w:fldChar w:fldCharType="end"/>
        </w:r>
      </w:hyperlink>
    </w:p>
    <w:p w14:paraId="2299B80B" w14:textId="3990AAC4" w:rsidR="00A47429" w:rsidRDefault="00A47429">
      <w:pPr>
        <w:pStyle w:val="Sadraj1"/>
        <w:rPr>
          <w:rFonts w:asciiTheme="minorHAnsi" w:eastAsiaTheme="minorEastAsia" w:hAnsiTheme="minorHAnsi" w:cstheme="minorBidi"/>
          <w:b w:val="0"/>
          <w:szCs w:val="22"/>
        </w:rPr>
      </w:pPr>
      <w:hyperlink w:anchor="_Toc225867799" w:history="1">
        <w:r w:rsidRPr="009C5E73">
          <w:rPr>
            <w:rStyle w:val="Hiperveza"/>
          </w:rPr>
          <w:t>Preporuke i prijedlozi za otklanjanje nedostataka i nepravilnosti</w:t>
        </w:r>
        <w:r>
          <w:rPr>
            <w:webHidden/>
          </w:rPr>
          <w:tab/>
        </w:r>
        <w:r>
          <w:rPr>
            <w:webHidden/>
          </w:rPr>
          <w:fldChar w:fldCharType="begin"/>
        </w:r>
        <w:r>
          <w:rPr>
            <w:webHidden/>
          </w:rPr>
          <w:instrText xml:space="preserve"> PAGEREF _Toc225867799 \h </w:instrText>
        </w:r>
        <w:r>
          <w:rPr>
            <w:webHidden/>
          </w:rPr>
        </w:r>
        <w:r>
          <w:rPr>
            <w:webHidden/>
          </w:rPr>
          <w:fldChar w:fldCharType="separate"/>
        </w:r>
        <w:r w:rsidR="00CF3263">
          <w:rPr>
            <w:webHidden/>
          </w:rPr>
          <w:t>26</w:t>
        </w:r>
        <w:r>
          <w:rPr>
            <w:webHidden/>
          </w:rPr>
          <w:fldChar w:fldCharType="end"/>
        </w:r>
      </w:hyperlink>
    </w:p>
    <w:p w14:paraId="7E363105" w14:textId="138B2B54" w:rsidR="00A47429" w:rsidRDefault="00A47429">
      <w:pPr>
        <w:pStyle w:val="Sadraj1"/>
        <w:rPr>
          <w:rFonts w:asciiTheme="minorHAnsi" w:eastAsiaTheme="minorEastAsia" w:hAnsiTheme="minorHAnsi" w:cstheme="minorBidi"/>
          <w:b w:val="0"/>
          <w:szCs w:val="22"/>
        </w:rPr>
      </w:pPr>
      <w:hyperlink w:anchor="_Toc225867800" w:history="1">
        <w:r w:rsidRPr="009C5E73">
          <w:rPr>
            <w:rStyle w:val="Hiperveza"/>
          </w:rPr>
          <w:t>Okvirni plan djelovanja Ureda u 2026.</w:t>
        </w:r>
        <w:r>
          <w:rPr>
            <w:webHidden/>
          </w:rPr>
          <w:tab/>
        </w:r>
        <w:r>
          <w:rPr>
            <w:webHidden/>
          </w:rPr>
          <w:fldChar w:fldCharType="begin"/>
        </w:r>
        <w:r>
          <w:rPr>
            <w:webHidden/>
          </w:rPr>
          <w:instrText xml:space="preserve"> PAGEREF _Toc225867800 \h </w:instrText>
        </w:r>
        <w:r>
          <w:rPr>
            <w:webHidden/>
          </w:rPr>
        </w:r>
        <w:r>
          <w:rPr>
            <w:webHidden/>
          </w:rPr>
          <w:fldChar w:fldCharType="separate"/>
        </w:r>
        <w:r w:rsidR="00CF3263">
          <w:rPr>
            <w:webHidden/>
          </w:rPr>
          <w:t>27</w:t>
        </w:r>
        <w:r>
          <w:rPr>
            <w:webHidden/>
          </w:rPr>
          <w:fldChar w:fldCharType="end"/>
        </w:r>
      </w:hyperlink>
    </w:p>
    <w:p w14:paraId="1DDBB271" w14:textId="00038169" w:rsidR="001D77FC" w:rsidRPr="006D3E56" w:rsidRDefault="002C2BCC" w:rsidP="001F7977">
      <w:pPr>
        <w:rPr>
          <w:rFonts w:ascii="Roboto" w:hAnsi="Roboto" w:cs="Arial"/>
          <w:color w:val="EE0000"/>
          <w:sz w:val="22"/>
          <w:szCs w:val="22"/>
        </w:rPr>
      </w:pPr>
      <w:r w:rsidRPr="006D3E56">
        <w:rPr>
          <w:rFonts w:ascii="Roboto" w:hAnsi="Roboto" w:cs="Arial"/>
          <w:bCs/>
          <w:color w:val="EE0000"/>
          <w:sz w:val="22"/>
          <w:szCs w:val="22"/>
        </w:rPr>
        <w:fldChar w:fldCharType="end"/>
      </w:r>
    </w:p>
    <w:p w14:paraId="42A1C24B" w14:textId="77777777" w:rsidR="0040151D" w:rsidRPr="006D3E56" w:rsidRDefault="0040151D" w:rsidP="001F7977">
      <w:pPr>
        <w:pStyle w:val="Sadraj1"/>
        <w:spacing w:before="0" w:line="276" w:lineRule="auto"/>
        <w:rPr>
          <w:color w:val="EE0000"/>
          <w:szCs w:val="22"/>
        </w:rPr>
        <w:sectPr w:rsidR="0040151D" w:rsidRPr="006D3E56" w:rsidSect="007C2B47">
          <w:headerReference w:type="default" r:id="rId12"/>
          <w:footerReference w:type="default" r:id="rId13"/>
          <w:pgSz w:w="11906" w:h="16838"/>
          <w:pgMar w:top="709" w:right="1417" w:bottom="709" w:left="1417" w:header="708" w:footer="708" w:gutter="0"/>
          <w:pgNumType w:start="1"/>
          <w:cols w:space="708"/>
          <w:docGrid w:linePitch="360"/>
        </w:sectPr>
      </w:pPr>
    </w:p>
    <w:p w14:paraId="22B716C4" w14:textId="77777777" w:rsidR="004614E1" w:rsidRPr="00C86404" w:rsidRDefault="004614E1" w:rsidP="001F7977">
      <w:pPr>
        <w:pStyle w:val="Naslov1"/>
      </w:pPr>
      <w:bookmarkStart w:id="0" w:name="_Toc225867778"/>
      <w:r w:rsidRPr="00C86404">
        <w:lastRenderedPageBreak/>
        <w:t>UVOD</w:t>
      </w:r>
      <w:bookmarkEnd w:id="0"/>
    </w:p>
    <w:p w14:paraId="31A292FC" w14:textId="77777777" w:rsidR="00220E6A" w:rsidRPr="00220E6A" w:rsidRDefault="00220E6A" w:rsidP="001F7977">
      <w:pPr>
        <w:rPr>
          <w:rFonts w:ascii="Roboto" w:hAnsi="Roboto" w:cs="Arial"/>
          <w:iCs/>
          <w:sz w:val="22"/>
          <w:szCs w:val="22"/>
        </w:rPr>
      </w:pPr>
      <w:r w:rsidRPr="00220E6A">
        <w:rPr>
          <w:rFonts w:ascii="Roboto" w:hAnsi="Roboto" w:cs="Arial"/>
          <w:iCs/>
          <w:sz w:val="22"/>
          <w:szCs w:val="22"/>
        </w:rPr>
        <w:t>Pravo na pristup informacijama javnog karaktera u posjedu tijela javne vlasti kao demokratsko pravo svih korisnika – građana i pravnih osoba, važno je sredstvo za osiguranje vladavine prava, dobrog upravljanja i ostvarivanje transparentnosti i otvorenosti u radu i odlučivanju.</w:t>
      </w:r>
    </w:p>
    <w:p w14:paraId="44ED8F1C" w14:textId="77777777" w:rsidR="00220E6A" w:rsidRPr="00220E6A" w:rsidRDefault="00220E6A" w:rsidP="001F7977">
      <w:pPr>
        <w:rPr>
          <w:rFonts w:ascii="Roboto" w:hAnsi="Roboto" w:cs="Arial"/>
          <w:iCs/>
          <w:sz w:val="22"/>
          <w:szCs w:val="22"/>
        </w:rPr>
      </w:pPr>
      <w:r w:rsidRPr="00220E6A">
        <w:rPr>
          <w:rFonts w:ascii="Roboto" w:hAnsi="Roboto" w:cs="Arial"/>
          <w:iCs/>
          <w:sz w:val="22"/>
          <w:szCs w:val="22"/>
        </w:rPr>
        <w:t xml:space="preserve">Ovaj preventivni alat za borbu protiv korupcije doprinosi demokratskim vrijednostima suvremenih država, a obuhvaća dva mehanizma – dostupnost javnih informacija na internetskim stranicama tijela javne vlasti u propisanom opsegu, bez potrebe za podnošenjem zahtjeva za pristup istima (proaktivna objava) te učinkovitu zaštitu prava u slučaju njegove neprimjene ili kršenja u slučajevima kada se informacije zatraže zahtjevom. </w:t>
      </w:r>
    </w:p>
    <w:p w14:paraId="58774C2C" w14:textId="3C07BA96" w:rsidR="00220E6A" w:rsidRPr="006D3E56" w:rsidRDefault="00220E6A" w:rsidP="001F7977">
      <w:pPr>
        <w:rPr>
          <w:rFonts w:ascii="Roboto" w:hAnsi="Roboto" w:cs="Arial"/>
          <w:iCs/>
          <w:sz w:val="22"/>
          <w:szCs w:val="22"/>
        </w:rPr>
      </w:pPr>
      <w:r w:rsidRPr="006D3E56">
        <w:rPr>
          <w:rFonts w:ascii="Roboto" w:hAnsi="Roboto" w:cs="Arial"/>
          <w:iCs/>
          <w:sz w:val="22"/>
          <w:szCs w:val="22"/>
        </w:rPr>
        <w:t xml:space="preserve">U širem smislu, </w:t>
      </w:r>
      <w:r w:rsidR="00351552">
        <w:rPr>
          <w:rFonts w:ascii="Roboto" w:hAnsi="Roboto" w:cs="Arial"/>
          <w:iCs/>
          <w:sz w:val="22"/>
          <w:szCs w:val="22"/>
        </w:rPr>
        <w:t xml:space="preserve">to </w:t>
      </w:r>
      <w:r w:rsidRPr="006D3E56">
        <w:rPr>
          <w:rFonts w:ascii="Roboto" w:hAnsi="Roboto" w:cs="Arial"/>
          <w:iCs/>
          <w:sz w:val="22"/>
          <w:szCs w:val="22"/>
        </w:rPr>
        <w:t xml:space="preserve">pravo obuhvaća i pravo korisnika </w:t>
      </w:r>
      <w:r w:rsidR="00351552">
        <w:rPr>
          <w:rFonts w:ascii="Roboto" w:hAnsi="Roboto" w:cs="Arial"/>
          <w:iCs/>
          <w:sz w:val="22"/>
          <w:szCs w:val="22"/>
        </w:rPr>
        <w:t>n</w:t>
      </w:r>
      <w:r w:rsidRPr="006D3E56">
        <w:rPr>
          <w:rFonts w:ascii="Roboto" w:hAnsi="Roboto" w:cs="Arial"/>
          <w:iCs/>
          <w:sz w:val="22"/>
          <w:szCs w:val="22"/>
        </w:rPr>
        <w:t>a sudjel</w:t>
      </w:r>
      <w:r w:rsidR="00351552">
        <w:rPr>
          <w:rFonts w:ascii="Roboto" w:hAnsi="Roboto" w:cs="Arial"/>
          <w:iCs/>
          <w:sz w:val="22"/>
          <w:szCs w:val="22"/>
        </w:rPr>
        <w:t>ovanje</w:t>
      </w:r>
      <w:r w:rsidRPr="006D3E56">
        <w:rPr>
          <w:rFonts w:ascii="Roboto" w:hAnsi="Roboto" w:cs="Arial"/>
          <w:iCs/>
          <w:sz w:val="22"/>
          <w:szCs w:val="22"/>
        </w:rPr>
        <w:t xml:space="preserve"> u postupcima donošenja zakona, općih akata, strateških i planskih dokumenata kojima se utječe na njihove interese (savjetovanje s javnošću), kao i obvezu tijela javne vlasti </w:t>
      </w:r>
      <w:r w:rsidR="00351552">
        <w:rPr>
          <w:rFonts w:ascii="Roboto" w:hAnsi="Roboto" w:cs="Arial"/>
          <w:iCs/>
          <w:sz w:val="22"/>
          <w:szCs w:val="22"/>
        </w:rPr>
        <w:t>n</w:t>
      </w:r>
      <w:r w:rsidRPr="006D3E56">
        <w:rPr>
          <w:rFonts w:ascii="Roboto" w:hAnsi="Roboto" w:cs="Arial"/>
          <w:iCs/>
          <w:sz w:val="22"/>
          <w:szCs w:val="22"/>
        </w:rPr>
        <w:t>a osigura</w:t>
      </w:r>
      <w:r w:rsidR="00351552">
        <w:rPr>
          <w:rFonts w:ascii="Roboto" w:hAnsi="Roboto" w:cs="Arial"/>
          <w:iCs/>
          <w:sz w:val="22"/>
          <w:szCs w:val="22"/>
        </w:rPr>
        <w:t>vanje</w:t>
      </w:r>
      <w:r w:rsidRPr="006D3E56">
        <w:rPr>
          <w:rFonts w:ascii="Roboto" w:hAnsi="Roboto" w:cs="Arial"/>
          <w:iCs/>
          <w:sz w:val="22"/>
          <w:szCs w:val="22"/>
        </w:rPr>
        <w:t xml:space="preserve"> uvid</w:t>
      </w:r>
      <w:r w:rsidR="00351552">
        <w:rPr>
          <w:rFonts w:ascii="Roboto" w:hAnsi="Roboto" w:cs="Arial"/>
          <w:iCs/>
          <w:sz w:val="22"/>
          <w:szCs w:val="22"/>
        </w:rPr>
        <w:t>a</w:t>
      </w:r>
      <w:r w:rsidRPr="006D3E56">
        <w:rPr>
          <w:rFonts w:ascii="Roboto" w:hAnsi="Roboto" w:cs="Arial"/>
          <w:iCs/>
          <w:sz w:val="22"/>
          <w:szCs w:val="22"/>
        </w:rPr>
        <w:t xml:space="preserve"> u rad na sjednicama svojih službenih tijela na kojima se donose važne odluke (javnost rada).</w:t>
      </w:r>
    </w:p>
    <w:p w14:paraId="28BDC7D5" w14:textId="23C3286D" w:rsidR="002E318A" w:rsidRPr="006D3E56" w:rsidRDefault="006C392C" w:rsidP="001F7977">
      <w:pPr>
        <w:rPr>
          <w:rFonts w:ascii="Roboto" w:hAnsi="Roboto" w:cs="Arial"/>
          <w:iCs/>
          <w:sz w:val="22"/>
          <w:szCs w:val="22"/>
        </w:rPr>
      </w:pPr>
      <w:r>
        <w:rPr>
          <w:rFonts w:ascii="Roboto" w:hAnsi="Roboto" w:cs="Arial"/>
          <w:iCs/>
          <w:sz w:val="22"/>
          <w:szCs w:val="22"/>
        </w:rPr>
        <w:t>Ovo pravo prisutno je u h</w:t>
      </w:r>
      <w:r w:rsidR="002E318A" w:rsidRPr="006D3E56">
        <w:rPr>
          <w:rFonts w:ascii="Roboto" w:hAnsi="Roboto" w:cs="Arial"/>
          <w:iCs/>
          <w:sz w:val="22"/>
          <w:szCs w:val="22"/>
        </w:rPr>
        <w:t xml:space="preserve">rvatskom pravnom sustavu </w:t>
      </w:r>
      <w:r>
        <w:rPr>
          <w:rFonts w:ascii="Roboto" w:hAnsi="Roboto" w:cs="Arial"/>
          <w:iCs/>
          <w:sz w:val="22"/>
          <w:szCs w:val="22"/>
        </w:rPr>
        <w:t>od</w:t>
      </w:r>
      <w:r w:rsidR="002E318A" w:rsidRPr="006D3E56">
        <w:rPr>
          <w:rFonts w:ascii="Roboto" w:hAnsi="Roboto" w:cs="Arial"/>
          <w:iCs/>
          <w:sz w:val="22"/>
          <w:szCs w:val="22"/>
        </w:rPr>
        <w:t xml:space="preserve"> 2003. godine</w:t>
      </w:r>
      <w:r>
        <w:rPr>
          <w:rFonts w:ascii="Roboto" w:hAnsi="Roboto" w:cs="Arial"/>
          <w:iCs/>
          <w:sz w:val="22"/>
          <w:szCs w:val="22"/>
        </w:rPr>
        <w:t xml:space="preserve">, kada je </w:t>
      </w:r>
      <w:r w:rsidR="002F5557">
        <w:rPr>
          <w:rFonts w:ascii="Roboto" w:hAnsi="Roboto" w:cs="Arial"/>
          <w:iCs/>
          <w:sz w:val="22"/>
          <w:szCs w:val="22"/>
        </w:rPr>
        <w:t>uređeno</w:t>
      </w:r>
      <w:r>
        <w:rPr>
          <w:rFonts w:ascii="Roboto" w:hAnsi="Roboto" w:cs="Arial"/>
          <w:iCs/>
          <w:sz w:val="22"/>
          <w:szCs w:val="22"/>
        </w:rPr>
        <w:t xml:space="preserve"> (prvi</w:t>
      </w:r>
      <w:r w:rsidR="002F5557">
        <w:rPr>
          <w:rFonts w:ascii="Roboto" w:hAnsi="Roboto" w:cs="Arial"/>
          <w:iCs/>
          <w:sz w:val="22"/>
          <w:szCs w:val="22"/>
        </w:rPr>
        <w:t>m</w:t>
      </w:r>
      <w:r>
        <w:rPr>
          <w:rFonts w:ascii="Roboto" w:hAnsi="Roboto" w:cs="Arial"/>
          <w:iCs/>
          <w:sz w:val="22"/>
          <w:szCs w:val="22"/>
        </w:rPr>
        <w:t>)</w:t>
      </w:r>
      <w:r w:rsidR="002E318A" w:rsidRPr="006D3E56">
        <w:rPr>
          <w:rFonts w:ascii="Roboto" w:hAnsi="Roboto" w:cs="Arial"/>
          <w:iCs/>
          <w:sz w:val="22"/>
          <w:szCs w:val="22"/>
        </w:rPr>
        <w:t xml:space="preserve"> </w:t>
      </w:r>
      <w:r w:rsidR="002F5557">
        <w:rPr>
          <w:rFonts w:ascii="Roboto" w:hAnsi="Roboto" w:cs="Arial"/>
          <w:iCs/>
          <w:sz w:val="22"/>
          <w:szCs w:val="22"/>
        </w:rPr>
        <w:t xml:space="preserve">Zakonom o pravu na pristup informacijama </w:t>
      </w:r>
      <w:r w:rsidR="002E318A" w:rsidRPr="006D3E56">
        <w:rPr>
          <w:rFonts w:ascii="Roboto" w:hAnsi="Roboto" w:cs="Arial"/>
          <w:iCs/>
          <w:sz w:val="22"/>
          <w:szCs w:val="22"/>
        </w:rPr>
        <w:t xml:space="preserve">(„Narodne novine“, broj </w:t>
      </w:r>
      <w:r>
        <w:rPr>
          <w:rFonts w:ascii="Roboto" w:hAnsi="Roboto" w:cs="Arial"/>
          <w:iCs/>
          <w:sz w:val="22"/>
          <w:szCs w:val="22"/>
        </w:rPr>
        <w:t xml:space="preserve">172/03, </w:t>
      </w:r>
      <w:r w:rsidR="002E318A" w:rsidRPr="006D3E56">
        <w:rPr>
          <w:rFonts w:ascii="Roboto" w:hAnsi="Roboto" w:cs="Arial"/>
          <w:iCs/>
          <w:sz w:val="22"/>
          <w:szCs w:val="22"/>
        </w:rPr>
        <w:t>144/10, 37/11 – Odluka USRH i 77/11).</w:t>
      </w:r>
    </w:p>
    <w:p w14:paraId="13A806A1" w14:textId="470B516F" w:rsidR="002E318A" w:rsidRPr="006D3E56" w:rsidRDefault="002F5557" w:rsidP="001F7977">
      <w:pPr>
        <w:rPr>
          <w:rFonts w:ascii="Roboto" w:hAnsi="Roboto" w:cs="Arial"/>
          <w:iCs/>
          <w:sz w:val="22"/>
          <w:szCs w:val="22"/>
        </w:rPr>
      </w:pPr>
      <w:r>
        <w:rPr>
          <w:rFonts w:ascii="Roboto" w:hAnsi="Roboto" w:cs="Arial"/>
          <w:iCs/>
          <w:sz w:val="22"/>
          <w:szCs w:val="22"/>
        </w:rPr>
        <w:t xml:space="preserve">Člankom 38. stavkom 4. </w:t>
      </w:r>
      <w:r w:rsidR="00B961A2">
        <w:rPr>
          <w:rFonts w:ascii="Roboto" w:hAnsi="Roboto" w:cs="Arial"/>
          <w:iCs/>
          <w:sz w:val="22"/>
          <w:szCs w:val="22"/>
        </w:rPr>
        <w:t xml:space="preserve">Ustava </w:t>
      </w:r>
      <w:r w:rsidR="00B961A2" w:rsidRPr="006D3E56">
        <w:rPr>
          <w:rFonts w:ascii="Roboto" w:hAnsi="Roboto" w:cs="Arial"/>
          <w:iCs/>
          <w:sz w:val="22"/>
          <w:szCs w:val="22"/>
        </w:rPr>
        <w:t>Republike Hrvatsk</w:t>
      </w:r>
      <w:r w:rsidR="00B961A2">
        <w:rPr>
          <w:rFonts w:ascii="Roboto" w:hAnsi="Roboto" w:cs="Arial"/>
          <w:iCs/>
          <w:sz w:val="22"/>
          <w:szCs w:val="22"/>
        </w:rPr>
        <w:t>e</w:t>
      </w:r>
      <w:r w:rsidR="00B961A2" w:rsidRPr="006D3E56">
        <w:rPr>
          <w:rFonts w:ascii="Roboto" w:hAnsi="Roboto" w:cs="Arial"/>
          <w:iCs/>
          <w:sz w:val="22"/>
          <w:szCs w:val="22"/>
        </w:rPr>
        <w:t xml:space="preserve"> </w:t>
      </w:r>
      <w:r w:rsidR="00B961A2">
        <w:rPr>
          <w:rFonts w:ascii="Roboto" w:hAnsi="Roboto" w:cs="Arial"/>
          <w:iCs/>
          <w:sz w:val="22"/>
          <w:szCs w:val="22"/>
        </w:rPr>
        <w:t>(</w:t>
      </w:r>
      <w:r w:rsidR="00B961A2" w:rsidRPr="006D3E56">
        <w:rPr>
          <w:rFonts w:ascii="Roboto" w:hAnsi="Roboto" w:cs="Arial"/>
          <w:iCs/>
          <w:sz w:val="22"/>
          <w:szCs w:val="22"/>
        </w:rPr>
        <w:t>„Narodne novine“, broj 56/90, 135/97, 8/98, 113/00, 124/00, 28/01, 41/01, 55/01, 76/10, 85/10 i 5/14)</w:t>
      </w:r>
      <w:r w:rsidR="00D33EC5">
        <w:rPr>
          <w:rFonts w:ascii="Roboto" w:hAnsi="Roboto" w:cs="Arial"/>
          <w:iCs/>
          <w:sz w:val="22"/>
          <w:szCs w:val="22"/>
        </w:rPr>
        <w:t xml:space="preserve">, od 2010. godine </w:t>
      </w:r>
      <w:r w:rsidR="002E318A" w:rsidRPr="006D3E56">
        <w:rPr>
          <w:rFonts w:ascii="Roboto" w:hAnsi="Roboto" w:cs="Arial"/>
          <w:iCs/>
          <w:sz w:val="22"/>
          <w:szCs w:val="22"/>
        </w:rPr>
        <w:t>zajamčeno je pravo na pristup informacijama koje posjeduju tijela javne vlasti, pri čemu ograničenja prava na pristup informacijama moraju biti razmjerna naravi potrebe za ograničenjem u svakom pojedinom slučaju te nužna u slobodnom i demokratskom društvu, a propisuju se zakonom</w:t>
      </w:r>
      <w:r w:rsidR="00D33EC5">
        <w:rPr>
          <w:rFonts w:ascii="Roboto" w:hAnsi="Roboto" w:cs="Arial"/>
          <w:iCs/>
          <w:sz w:val="22"/>
          <w:szCs w:val="22"/>
        </w:rPr>
        <w:t xml:space="preserve">. </w:t>
      </w:r>
    </w:p>
    <w:p w14:paraId="6755AED6" w14:textId="6277555F" w:rsidR="002E318A" w:rsidRPr="006D3E56" w:rsidRDefault="002E318A" w:rsidP="001F7977">
      <w:pPr>
        <w:rPr>
          <w:rFonts w:ascii="Roboto" w:hAnsi="Roboto" w:cs="Arial"/>
          <w:iCs/>
          <w:sz w:val="22"/>
          <w:szCs w:val="22"/>
        </w:rPr>
      </w:pPr>
      <w:r w:rsidRPr="006D3E56">
        <w:rPr>
          <w:rFonts w:ascii="Roboto" w:hAnsi="Roboto" w:cs="Arial"/>
          <w:iCs/>
          <w:sz w:val="22"/>
          <w:szCs w:val="22"/>
        </w:rPr>
        <w:t>Važećim Zakonom o pravu na pristup informacijama („Narodne novine“, broj 25/13, 85/15 i 69/22)</w:t>
      </w:r>
      <w:r w:rsidR="00792816">
        <w:rPr>
          <w:rFonts w:ascii="Roboto" w:hAnsi="Roboto" w:cs="Arial"/>
          <w:iCs/>
          <w:sz w:val="22"/>
          <w:szCs w:val="22"/>
        </w:rPr>
        <w:t xml:space="preserve"> koji je usklađen s propisima Europske unije, </w:t>
      </w:r>
      <w:r w:rsidR="00740811">
        <w:rPr>
          <w:rFonts w:ascii="Roboto" w:hAnsi="Roboto" w:cs="Arial"/>
          <w:iCs/>
          <w:sz w:val="22"/>
          <w:szCs w:val="22"/>
        </w:rPr>
        <w:t>uređuje se pravo na pristup i ponovnu uporabu informacija</w:t>
      </w:r>
      <w:r w:rsidR="00CC1104">
        <w:rPr>
          <w:rFonts w:ascii="Roboto" w:hAnsi="Roboto" w:cs="Arial"/>
          <w:iCs/>
          <w:sz w:val="22"/>
          <w:szCs w:val="22"/>
        </w:rPr>
        <w:t xml:space="preserve"> koje posjeduju tijela javne vlasti, propisuju se načela, ograničenja, postupak</w:t>
      </w:r>
      <w:r w:rsidR="00437794">
        <w:rPr>
          <w:rFonts w:ascii="Roboto" w:hAnsi="Roboto" w:cs="Arial"/>
          <w:iCs/>
          <w:sz w:val="22"/>
          <w:szCs w:val="22"/>
        </w:rPr>
        <w:t xml:space="preserve"> i način ostvarivanja i olakšavanja pristupa i ponovne uporabe informacija</w:t>
      </w:r>
      <w:r w:rsidR="00872572">
        <w:rPr>
          <w:rFonts w:ascii="Roboto" w:hAnsi="Roboto" w:cs="Arial"/>
          <w:iCs/>
          <w:sz w:val="22"/>
          <w:szCs w:val="22"/>
        </w:rPr>
        <w:t xml:space="preserve"> i</w:t>
      </w:r>
      <w:r w:rsidR="00C9128A">
        <w:rPr>
          <w:rFonts w:ascii="Roboto" w:hAnsi="Roboto" w:cs="Arial"/>
          <w:iCs/>
          <w:sz w:val="22"/>
          <w:szCs w:val="22"/>
        </w:rPr>
        <w:t xml:space="preserve"> inspekcijski nadzor nad provedbom toga Zakona</w:t>
      </w:r>
      <w:r w:rsidR="00872572">
        <w:rPr>
          <w:rFonts w:ascii="Roboto" w:hAnsi="Roboto" w:cs="Arial"/>
          <w:iCs/>
          <w:sz w:val="22"/>
          <w:szCs w:val="22"/>
        </w:rPr>
        <w:t>. Ujedno, tim Zakonom</w:t>
      </w:r>
      <w:r w:rsidR="00F80469">
        <w:rPr>
          <w:rFonts w:ascii="Roboto" w:hAnsi="Roboto" w:cs="Arial"/>
          <w:iCs/>
          <w:sz w:val="22"/>
          <w:szCs w:val="22"/>
        </w:rPr>
        <w:t xml:space="preserve"> uređuje se</w:t>
      </w:r>
      <w:r w:rsidR="00137721">
        <w:rPr>
          <w:rFonts w:ascii="Roboto" w:hAnsi="Roboto" w:cs="Arial"/>
          <w:iCs/>
          <w:sz w:val="22"/>
          <w:szCs w:val="22"/>
        </w:rPr>
        <w:t xml:space="preserve"> djelokrug, način rada i uvjeti za imenovanje i razrješenje Povjerenika za informiranje</w:t>
      </w:r>
      <w:r w:rsidR="00F721AC">
        <w:rPr>
          <w:rFonts w:ascii="Roboto" w:hAnsi="Roboto" w:cs="Arial"/>
          <w:iCs/>
          <w:sz w:val="22"/>
          <w:szCs w:val="22"/>
        </w:rPr>
        <w:t>, samostalnog i neovisnog tijela koje štiti, prati i promiče</w:t>
      </w:r>
      <w:r w:rsidR="00467DC0">
        <w:rPr>
          <w:rFonts w:ascii="Roboto" w:hAnsi="Roboto" w:cs="Arial"/>
          <w:iCs/>
          <w:sz w:val="22"/>
          <w:szCs w:val="22"/>
        </w:rPr>
        <w:t xml:space="preserve"> </w:t>
      </w:r>
      <w:r w:rsidRPr="006D3E56">
        <w:rPr>
          <w:rFonts w:ascii="Roboto" w:hAnsi="Roboto" w:cs="Arial"/>
          <w:iCs/>
          <w:sz w:val="22"/>
          <w:szCs w:val="22"/>
        </w:rPr>
        <w:t xml:space="preserve">pravo na pristup informacijama i pravo na ponovnu </w:t>
      </w:r>
      <w:r w:rsidR="00B520B6">
        <w:rPr>
          <w:rFonts w:ascii="Roboto" w:hAnsi="Roboto" w:cs="Arial"/>
          <w:iCs/>
          <w:sz w:val="22"/>
          <w:szCs w:val="22"/>
        </w:rPr>
        <w:t>uporabu informacija.</w:t>
      </w:r>
    </w:p>
    <w:p w14:paraId="5DA4652F" w14:textId="477A8CF2" w:rsidR="002E318A" w:rsidRPr="006D3E56" w:rsidRDefault="002E318A" w:rsidP="001F7977">
      <w:pPr>
        <w:rPr>
          <w:rFonts w:ascii="Roboto" w:hAnsi="Roboto" w:cs="Arial"/>
          <w:iCs/>
          <w:sz w:val="22"/>
          <w:szCs w:val="22"/>
        </w:rPr>
      </w:pPr>
      <w:r w:rsidRPr="006D3E56">
        <w:rPr>
          <w:rFonts w:ascii="Roboto" w:hAnsi="Roboto" w:cs="Arial"/>
          <w:iCs/>
          <w:sz w:val="22"/>
          <w:szCs w:val="22"/>
        </w:rPr>
        <w:t>U primjeni Zakona o pravu na pristup informacijama (dalje</w:t>
      </w:r>
      <w:r w:rsidR="004135B7">
        <w:rPr>
          <w:rFonts w:ascii="Roboto" w:hAnsi="Roboto" w:cs="Arial"/>
          <w:iCs/>
          <w:sz w:val="22"/>
          <w:szCs w:val="22"/>
        </w:rPr>
        <w:t xml:space="preserve"> u tekstu</w:t>
      </w:r>
      <w:r w:rsidRPr="006D3E56">
        <w:rPr>
          <w:rFonts w:ascii="Roboto" w:hAnsi="Roboto" w:cs="Arial"/>
          <w:iCs/>
          <w:sz w:val="22"/>
          <w:szCs w:val="22"/>
        </w:rPr>
        <w:t xml:space="preserve">: Zakon, ZPPI) relevantne su i odredbe niza drugih propisa, od materijalnih propisa koji uređuju posebne vrste informacija (kao što su osobni podaci, poslovna tajna, klasificirane informacije, arhivsko gradivo, zaštita okoliša, službena statistika, intelektualno vlasništvo itd.) do Zakona o općem upravnom postupku („Narodne novine“, broj 47/09 i 110/21), kao općeg </w:t>
      </w:r>
      <w:proofErr w:type="spellStart"/>
      <w:r w:rsidRPr="006D3E56">
        <w:rPr>
          <w:rFonts w:ascii="Roboto" w:hAnsi="Roboto" w:cs="Arial"/>
          <w:iCs/>
          <w:sz w:val="22"/>
          <w:szCs w:val="22"/>
        </w:rPr>
        <w:t>postupovnog</w:t>
      </w:r>
      <w:proofErr w:type="spellEnd"/>
      <w:r w:rsidRPr="006D3E56">
        <w:rPr>
          <w:rFonts w:ascii="Roboto" w:hAnsi="Roboto" w:cs="Arial"/>
          <w:iCs/>
          <w:sz w:val="22"/>
          <w:szCs w:val="22"/>
        </w:rPr>
        <w:t xml:space="preserve"> zakona koji se primjenjuje na sva upravna postupanja, osim onih koja su drukčije propisana posebnim propisom.</w:t>
      </w:r>
    </w:p>
    <w:p w14:paraId="06CAA4D4" w14:textId="47A2E94C" w:rsidR="002E318A" w:rsidRPr="006D3E56" w:rsidRDefault="002E318A" w:rsidP="001F7977">
      <w:pPr>
        <w:rPr>
          <w:rFonts w:ascii="Roboto" w:hAnsi="Roboto" w:cs="Arial"/>
          <w:iCs/>
          <w:sz w:val="22"/>
          <w:szCs w:val="22"/>
        </w:rPr>
      </w:pPr>
      <w:r w:rsidRPr="006D3E56">
        <w:rPr>
          <w:rFonts w:ascii="Roboto" w:hAnsi="Roboto" w:cs="Arial"/>
          <w:iCs/>
          <w:sz w:val="22"/>
          <w:szCs w:val="22"/>
        </w:rPr>
        <w:t xml:space="preserve">Važeći podzakonski akti doneseni temeljem ZPPI-ja uključuju Uredbu o troškovima ponovne uporabe informacija („Narodne novine“, broj 87/18), Kriterije za određivanje visine naknade stvarnih materijalnih troškova i troškova dostave informacije („Narodne novine“, broj 12/14, 15/14 , 141/22 i 96/24 – presuda Visokog upravnog suda </w:t>
      </w:r>
      <w:r w:rsidR="00B520B6">
        <w:rPr>
          <w:rFonts w:ascii="Roboto" w:hAnsi="Roboto" w:cs="Arial"/>
          <w:iCs/>
          <w:sz w:val="22"/>
          <w:szCs w:val="22"/>
        </w:rPr>
        <w:t>RH</w:t>
      </w:r>
      <w:r w:rsidRPr="006D3E56">
        <w:rPr>
          <w:rFonts w:ascii="Roboto" w:hAnsi="Roboto" w:cs="Arial"/>
          <w:iCs/>
          <w:sz w:val="22"/>
          <w:szCs w:val="22"/>
        </w:rPr>
        <w:t xml:space="preserve">), Pravilnik o ustroju, sadržaju i </w:t>
      </w:r>
      <w:r w:rsidRPr="006D3E56">
        <w:rPr>
          <w:rFonts w:ascii="Roboto" w:hAnsi="Roboto" w:cs="Arial"/>
          <w:iCs/>
          <w:sz w:val="22"/>
          <w:szCs w:val="22"/>
        </w:rPr>
        <w:lastRenderedPageBreak/>
        <w:t>načinu vođenja službenog upisnika o ostvarivanju prava na pristup informacijama i ponovnu uporabu informacija („Narodne novine“, broj 83/14), Pravilnik o Središnjem katalogu službenih dokumenata Republike Hrvatske („Narodne novine“, broj 123/22), Pravilnik o sadržaju i načinu vođenja evidencije isključivih prava na ponovnu uporabu informacija („Narodne novine“, broj 20/16) te Pravilnik o vrstama i sadržaju dozvola kojima se utvrđuju uvjeti ponovne uporabe informacija („Narodne novine“, broj 67/17).</w:t>
      </w:r>
    </w:p>
    <w:p w14:paraId="522BE695" w14:textId="10D89EAA" w:rsidR="001F7977" w:rsidRPr="006D3E56" w:rsidRDefault="00536911" w:rsidP="001F7977">
      <w:pPr>
        <w:rPr>
          <w:rFonts w:ascii="Roboto" w:hAnsi="Roboto" w:cs="Arial"/>
          <w:iCs/>
          <w:sz w:val="22"/>
          <w:szCs w:val="22"/>
        </w:rPr>
      </w:pPr>
      <w:r w:rsidRPr="006D3E56">
        <w:rPr>
          <w:rFonts w:ascii="Roboto" w:hAnsi="Roboto" w:cs="Arial"/>
          <w:iCs/>
          <w:sz w:val="22"/>
          <w:szCs w:val="22"/>
        </w:rPr>
        <w:t>Izvješće je metodološki sistematizirano u tematske cjeline, pri čemu se, sukladno odredbi članka 60. stavka 5. ZPPI-ja, u završnom dijelu Izvješća</w:t>
      </w:r>
      <w:r w:rsidR="0076686E" w:rsidRPr="006D3E56">
        <w:rPr>
          <w:rFonts w:ascii="Roboto" w:hAnsi="Roboto" w:cs="Arial"/>
          <w:iCs/>
          <w:sz w:val="22"/>
          <w:szCs w:val="22"/>
        </w:rPr>
        <w:t xml:space="preserve"> </w:t>
      </w:r>
      <w:r w:rsidRPr="006D3E56">
        <w:rPr>
          <w:rFonts w:ascii="Roboto" w:hAnsi="Roboto" w:cs="Arial"/>
          <w:iCs/>
          <w:sz w:val="22"/>
          <w:szCs w:val="22"/>
        </w:rPr>
        <w:t>daju prijedlozi i preporuke za otklanjanje nedostataka i nepravilnosti.</w:t>
      </w:r>
    </w:p>
    <w:p w14:paraId="432E4203" w14:textId="43E904DE" w:rsidR="00554C88" w:rsidRPr="00C86404" w:rsidRDefault="00554C88" w:rsidP="001F7977">
      <w:pPr>
        <w:pStyle w:val="Naslov1"/>
      </w:pPr>
      <w:bookmarkStart w:id="1" w:name="_Toc225867779"/>
      <w:r w:rsidRPr="00C86404">
        <w:t>Tijela javne vlasti</w:t>
      </w:r>
      <w:bookmarkEnd w:id="1"/>
    </w:p>
    <w:p w14:paraId="69C0D065" w14:textId="532B2322" w:rsidR="003C5430" w:rsidRPr="006D3E56" w:rsidRDefault="00790BA4" w:rsidP="001F7977">
      <w:pPr>
        <w:rPr>
          <w:rFonts w:ascii="Roboto" w:hAnsi="Roboto" w:cs="Arial"/>
          <w:sz w:val="22"/>
          <w:szCs w:val="22"/>
        </w:rPr>
      </w:pPr>
      <w:r w:rsidRPr="006D3E56">
        <w:rPr>
          <w:rFonts w:ascii="Roboto" w:hAnsi="Roboto" w:cs="Arial"/>
          <w:sz w:val="22"/>
          <w:szCs w:val="22"/>
        </w:rPr>
        <w:t xml:space="preserve">Povjerenik vodi instruktivni Popis tijela javne vlasti, koji je pomoćna evidencija Povjerenika, a koji sadrži i podatke o službenicima za informiranje te je </w:t>
      </w:r>
      <w:r w:rsidR="00554C88" w:rsidRPr="006D3E56">
        <w:rPr>
          <w:rFonts w:ascii="Roboto" w:hAnsi="Roboto" w:cs="Arial"/>
          <w:sz w:val="22"/>
          <w:szCs w:val="22"/>
        </w:rPr>
        <w:t xml:space="preserve">dostupan u obliku </w:t>
      </w:r>
      <w:proofErr w:type="spellStart"/>
      <w:r w:rsidR="00554C88" w:rsidRPr="006D3E56">
        <w:rPr>
          <w:rFonts w:ascii="Roboto" w:hAnsi="Roboto" w:cs="Arial"/>
          <w:sz w:val="22"/>
          <w:szCs w:val="22"/>
        </w:rPr>
        <w:t>pretražive</w:t>
      </w:r>
      <w:proofErr w:type="spellEnd"/>
      <w:r w:rsidR="00554C88" w:rsidRPr="006D3E56">
        <w:rPr>
          <w:rFonts w:ascii="Roboto" w:hAnsi="Roboto" w:cs="Arial"/>
          <w:sz w:val="22"/>
          <w:szCs w:val="22"/>
        </w:rPr>
        <w:t xml:space="preserve"> aplikacije</w:t>
      </w:r>
      <w:r w:rsidRPr="006D3E56">
        <w:rPr>
          <w:rFonts w:ascii="Roboto" w:hAnsi="Roboto" w:cs="Arial"/>
          <w:sz w:val="22"/>
          <w:szCs w:val="22"/>
        </w:rPr>
        <w:t xml:space="preserve"> na</w:t>
      </w:r>
      <w:r w:rsidR="00554C88" w:rsidRPr="006D3E56">
        <w:rPr>
          <w:rFonts w:ascii="Roboto" w:hAnsi="Roboto" w:cs="Arial"/>
          <w:sz w:val="22"/>
          <w:szCs w:val="22"/>
        </w:rPr>
        <w:t xml:space="preserve"> </w:t>
      </w:r>
      <w:hyperlink r:id="rId14" w:history="1">
        <w:r w:rsidR="00554C88" w:rsidRPr="006D3E56">
          <w:rPr>
            <w:rFonts w:ascii="Roboto" w:hAnsi="Roboto" w:cs="Arial"/>
            <w:sz w:val="22"/>
            <w:szCs w:val="22"/>
            <w:u w:val="single"/>
          </w:rPr>
          <w:t>http://tjv.pristupinfo.hr/</w:t>
        </w:r>
      </w:hyperlink>
      <w:r w:rsidR="00554C88" w:rsidRPr="006D3E56">
        <w:rPr>
          <w:rFonts w:ascii="Roboto" w:hAnsi="Roboto" w:cs="Arial"/>
          <w:sz w:val="22"/>
          <w:szCs w:val="22"/>
        </w:rPr>
        <w:t xml:space="preserve">. </w:t>
      </w:r>
    </w:p>
    <w:p w14:paraId="53C9C9E3" w14:textId="117A3C4C" w:rsidR="004247C4" w:rsidRPr="006D3E56" w:rsidRDefault="00033B69" w:rsidP="001F7977">
      <w:pPr>
        <w:pBdr>
          <w:top w:val="single" w:sz="4" w:space="1" w:color="auto"/>
          <w:left w:val="single" w:sz="4" w:space="4" w:color="auto"/>
          <w:bottom w:val="single" w:sz="4" w:space="1" w:color="auto"/>
          <w:right w:val="single" w:sz="4" w:space="4" w:color="auto"/>
        </w:pBdr>
        <w:rPr>
          <w:rFonts w:ascii="Roboto" w:hAnsi="Roboto" w:cs="Arial"/>
          <w:sz w:val="22"/>
          <w:szCs w:val="22"/>
        </w:rPr>
      </w:pPr>
      <w:r w:rsidRPr="006D3E56">
        <w:rPr>
          <w:rFonts w:ascii="Roboto" w:hAnsi="Roboto" w:cs="Arial"/>
          <w:sz w:val="22"/>
          <w:szCs w:val="22"/>
        </w:rPr>
        <w:t xml:space="preserve">Na Popisu se u trenutku obrade dostavljenih izvješća o provedbi Zakona za 2025. (17. veljače 2026.) nalazilo 5.740 tijela javne vlasti, koja su obveznici podnošenja izvješća (godinu ranije bilo ih je 5.811), od kojih 208 tijela (3,6%) nije imalo podatke o službeniku za informiranje. Time su nastavljeni </w:t>
      </w:r>
      <w:r w:rsidRPr="001F7977">
        <w:rPr>
          <w:rFonts w:ascii="Roboto" w:hAnsi="Roboto" w:cs="Arial"/>
          <w:sz w:val="22"/>
          <w:szCs w:val="22"/>
        </w:rPr>
        <w:t>pozitivni pomaci u</w:t>
      </w:r>
      <w:r w:rsidRPr="006D3E56">
        <w:rPr>
          <w:rFonts w:ascii="Roboto" w:hAnsi="Roboto" w:cs="Arial"/>
          <w:sz w:val="22"/>
          <w:szCs w:val="22"/>
        </w:rPr>
        <w:t xml:space="preserve"> izvršavanju ove temeljne zakonske obveze tijela u odnosu na prethodne godine (2024. 233 ili 4%)</w:t>
      </w:r>
      <w:r w:rsidR="004247C4" w:rsidRPr="006D3E56">
        <w:rPr>
          <w:rFonts w:ascii="Roboto" w:hAnsi="Roboto" w:cs="Arial"/>
          <w:sz w:val="22"/>
          <w:szCs w:val="22"/>
        </w:rPr>
        <w:t>.</w:t>
      </w:r>
    </w:p>
    <w:p w14:paraId="2A7C7249" w14:textId="702B2BD5" w:rsidR="004247C4" w:rsidRPr="006D3E56" w:rsidRDefault="004247C4" w:rsidP="001F7977">
      <w:pPr>
        <w:pBdr>
          <w:top w:val="single" w:sz="4" w:space="1" w:color="auto"/>
          <w:left w:val="single" w:sz="4" w:space="4" w:color="auto"/>
          <w:bottom w:val="single" w:sz="4" w:space="1" w:color="auto"/>
          <w:right w:val="single" w:sz="4" w:space="4" w:color="auto"/>
        </w:pBdr>
        <w:rPr>
          <w:rFonts w:ascii="Roboto" w:hAnsi="Roboto" w:cs="Arial"/>
          <w:sz w:val="22"/>
          <w:szCs w:val="22"/>
        </w:rPr>
      </w:pPr>
      <w:r w:rsidRPr="006D3E56">
        <w:rPr>
          <w:rFonts w:ascii="Roboto" w:hAnsi="Roboto" w:cs="Arial"/>
          <w:sz w:val="22"/>
          <w:szCs w:val="22"/>
        </w:rPr>
        <w:t>Popis tijela javne vlasti je instruktivnog karaktera</w:t>
      </w:r>
      <w:r w:rsidR="002846FB">
        <w:rPr>
          <w:rFonts w:ascii="Roboto" w:hAnsi="Roboto" w:cs="Arial"/>
          <w:sz w:val="22"/>
          <w:szCs w:val="22"/>
        </w:rPr>
        <w:t>,</w:t>
      </w:r>
      <w:r w:rsidRPr="006D3E56">
        <w:rPr>
          <w:rFonts w:ascii="Roboto" w:hAnsi="Roboto" w:cs="Arial"/>
          <w:sz w:val="22"/>
          <w:szCs w:val="22"/>
        </w:rPr>
        <w:t xml:space="preserve"> </w:t>
      </w:r>
      <w:r w:rsidR="002846FB" w:rsidRPr="002846FB">
        <w:rPr>
          <w:rFonts w:ascii="Roboto" w:hAnsi="Roboto" w:cs="Arial"/>
          <w:sz w:val="22"/>
          <w:szCs w:val="22"/>
        </w:rPr>
        <w:t>što znači da i druga tijela koja nisu navedena na Popisu mogu biti obveznici primjene Zakona</w:t>
      </w:r>
      <w:r w:rsidRPr="006D3E56">
        <w:rPr>
          <w:rFonts w:ascii="Roboto" w:hAnsi="Roboto" w:cs="Arial"/>
          <w:sz w:val="22"/>
          <w:szCs w:val="22"/>
        </w:rPr>
        <w:t>. On nije zatvoren, niti konačan, već se kontinuirano ažurira, sukladno uočenim i utvrđenim izmjenama i promjenama vezanima za pravni status, osnivača/vlasnika i dr.</w:t>
      </w:r>
    </w:p>
    <w:p w14:paraId="041B7DD5" w14:textId="7479C451" w:rsidR="008D524A" w:rsidRPr="006D3E56" w:rsidRDefault="008D524A" w:rsidP="001F7977">
      <w:pPr>
        <w:rPr>
          <w:rFonts w:ascii="Roboto" w:hAnsi="Roboto"/>
          <w:sz w:val="22"/>
          <w:szCs w:val="22"/>
        </w:rPr>
      </w:pPr>
      <w:r w:rsidRPr="006D3E56">
        <w:rPr>
          <w:rFonts w:ascii="Roboto" w:hAnsi="Roboto"/>
          <w:sz w:val="22"/>
          <w:szCs w:val="22"/>
        </w:rPr>
        <w:t xml:space="preserve">U primjeni Zakona prisutni su kontinuirani problemi kod pojedinih tijela manjih kapaciteta, poglavito u slučajevima kada im je osnivač privatna pravna ili fizička osoba, ali predstavljaju tijela javne vlasti zbog dodijeljenih javnih ovlasti ili obavljanja javne službe. </w:t>
      </w:r>
    </w:p>
    <w:p w14:paraId="2DC30CB0" w14:textId="1BE5570F" w:rsidR="00554C88" w:rsidRPr="00C86404" w:rsidRDefault="00A91D5B" w:rsidP="001F7977">
      <w:pPr>
        <w:pStyle w:val="Naslov1"/>
      </w:pPr>
      <w:bookmarkStart w:id="2" w:name="_Toc225867780"/>
      <w:r w:rsidRPr="00C86404">
        <w:t>Iz</w:t>
      </w:r>
      <w:r w:rsidR="00554C88" w:rsidRPr="00C86404">
        <w:t xml:space="preserve">vješća </w:t>
      </w:r>
      <w:r w:rsidRPr="00C86404">
        <w:t>o provedbi ZPPI-ja u</w:t>
      </w:r>
      <w:r w:rsidR="00554C88" w:rsidRPr="00C86404">
        <w:t xml:space="preserve"> 202</w:t>
      </w:r>
      <w:r w:rsidR="00153103" w:rsidRPr="00C86404">
        <w:t>5</w:t>
      </w:r>
      <w:r w:rsidR="00554C88" w:rsidRPr="00C86404">
        <w:t>.</w:t>
      </w:r>
      <w:bookmarkEnd w:id="2"/>
    </w:p>
    <w:p w14:paraId="4BB7C8B7" w14:textId="77777777" w:rsidR="00B80671" w:rsidRPr="006D3E56" w:rsidRDefault="00B80671" w:rsidP="001F7977">
      <w:pPr>
        <w:rPr>
          <w:rFonts w:ascii="Roboto" w:hAnsi="Roboto" w:cs="Arial"/>
          <w:sz w:val="22"/>
          <w:szCs w:val="22"/>
        </w:rPr>
      </w:pPr>
      <w:r w:rsidRPr="006D3E56">
        <w:rPr>
          <w:rFonts w:ascii="Roboto" w:hAnsi="Roboto" w:cs="Arial"/>
          <w:sz w:val="22"/>
          <w:szCs w:val="22"/>
        </w:rPr>
        <w:t xml:space="preserve">Bilježi se blagi porast udjela tijela u odnosu na ukupan broj tijela s Popisa koja dostavljaju godišnje izvješće, odnosno izvješće o provedbi Zakona za 2025. dostavilo je 5.280 ili 92% tijela, dok je prethodne godine to učinilo 91,7% tijela s Popisa. </w:t>
      </w:r>
    </w:p>
    <w:p w14:paraId="649BFA9B" w14:textId="27C70CCF" w:rsidR="00B80671" w:rsidRPr="006D3E56" w:rsidRDefault="00B80671" w:rsidP="001F7977">
      <w:pPr>
        <w:rPr>
          <w:rFonts w:ascii="Roboto" w:hAnsi="Roboto" w:cs="Arial"/>
          <w:sz w:val="22"/>
          <w:szCs w:val="22"/>
        </w:rPr>
      </w:pPr>
      <w:r w:rsidRPr="006D3E56">
        <w:rPr>
          <w:rFonts w:ascii="Roboto" w:hAnsi="Roboto" w:cs="Arial"/>
          <w:sz w:val="22"/>
          <w:szCs w:val="22"/>
        </w:rPr>
        <w:t>Izvješće su dostavila sva državna tijela (22), tijela državne uprave (27) te sve jedin</w:t>
      </w:r>
      <w:r w:rsidR="006C3A24">
        <w:rPr>
          <w:rFonts w:ascii="Roboto" w:hAnsi="Roboto" w:cs="Arial"/>
          <w:sz w:val="22"/>
          <w:szCs w:val="22"/>
        </w:rPr>
        <w:t>i</w:t>
      </w:r>
      <w:r w:rsidRPr="006D3E56">
        <w:rPr>
          <w:rFonts w:ascii="Roboto" w:hAnsi="Roboto" w:cs="Arial"/>
          <w:sz w:val="22"/>
          <w:szCs w:val="22"/>
        </w:rPr>
        <w:t>ce lokalne i područne (regionalne) samouprave (576), s iznimkom Općine Raša koja je izvješć</w:t>
      </w:r>
      <w:r w:rsidR="006C3A24">
        <w:rPr>
          <w:rFonts w:ascii="Roboto" w:hAnsi="Roboto" w:cs="Arial"/>
          <w:sz w:val="22"/>
          <w:szCs w:val="22"/>
        </w:rPr>
        <w:t>e</w:t>
      </w:r>
      <w:r w:rsidRPr="006D3E56">
        <w:rPr>
          <w:rFonts w:ascii="Roboto" w:hAnsi="Roboto" w:cs="Arial"/>
          <w:sz w:val="22"/>
          <w:szCs w:val="22"/>
        </w:rPr>
        <w:t xml:space="preserve"> dostavila nakon svih produženih rokova i zatvaranja aplikacije te se za potrebe izrade </w:t>
      </w:r>
      <w:r w:rsidR="002846FB">
        <w:rPr>
          <w:rFonts w:ascii="Roboto" w:hAnsi="Roboto" w:cs="Arial"/>
          <w:sz w:val="22"/>
          <w:szCs w:val="22"/>
        </w:rPr>
        <w:t>I</w:t>
      </w:r>
      <w:r w:rsidRPr="006D3E56">
        <w:rPr>
          <w:rFonts w:ascii="Roboto" w:hAnsi="Roboto" w:cs="Arial"/>
          <w:sz w:val="22"/>
          <w:szCs w:val="22"/>
        </w:rPr>
        <w:t xml:space="preserve">zvješća za 2025. podaci </w:t>
      </w:r>
      <w:r w:rsidR="006C3A24">
        <w:rPr>
          <w:rFonts w:ascii="Roboto" w:hAnsi="Roboto" w:cs="Arial"/>
          <w:sz w:val="22"/>
          <w:szCs w:val="22"/>
        </w:rPr>
        <w:t xml:space="preserve">te </w:t>
      </w:r>
      <w:r w:rsidRPr="006D3E56">
        <w:rPr>
          <w:rFonts w:ascii="Roboto" w:hAnsi="Roboto" w:cs="Arial"/>
          <w:sz w:val="22"/>
          <w:szCs w:val="22"/>
        </w:rPr>
        <w:t>Općine nisu obrađivali. Nadalje, izvješće su dostavil</w:t>
      </w:r>
      <w:r w:rsidR="006C3A24">
        <w:rPr>
          <w:rFonts w:ascii="Roboto" w:hAnsi="Roboto" w:cs="Arial"/>
          <w:sz w:val="22"/>
          <w:szCs w:val="22"/>
        </w:rPr>
        <w:t>a</w:t>
      </w:r>
      <w:r w:rsidRPr="006D3E56">
        <w:rPr>
          <w:rFonts w:ascii="Roboto" w:hAnsi="Roboto" w:cs="Arial"/>
          <w:sz w:val="22"/>
          <w:szCs w:val="22"/>
        </w:rPr>
        <w:t xml:space="preserve"> i sva pravosudna tijela (109) te agencije i druge pravne osobe s javnim ovlastima (51).</w:t>
      </w:r>
    </w:p>
    <w:p w14:paraId="75AF0941" w14:textId="0DC24671" w:rsidR="00AE715F" w:rsidRPr="001F7977" w:rsidRDefault="002846FB" w:rsidP="001F7977">
      <w:pPr>
        <w:rPr>
          <w:rFonts w:ascii="Roboto" w:hAnsi="Roboto" w:cs="Arial"/>
          <w:sz w:val="22"/>
          <w:szCs w:val="22"/>
        </w:rPr>
      </w:pPr>
      <w:r>
        <w:rPr>
          <w:rFonts w:ascii="Roboto" w:hAnsi="Roboto" w:cs="Arial"/>
          <w:sz w:val="22"/>
          <w:szCs w:val="22"/>
        </w:rPr>
        <w:t>Z</w:t>
      </w:r>
      <w:r w:rsidR="00B80671" w:rsidRPr="006D3E56">
        <w:rPr>
          <w:rFonts w:ascii="Roboto" w:hAnsi="Roboto" w:cs="Arial"/>
          <w:sz w:val="22"/>
          <w:szCs w:val="22"/>
        </w:rPr>
        <w:t>a potrebe ovog Izvješća napravljena je analiza koliko tijela unazad pet godin</w:t>
      </w:r>
      <w:r w:rsidR="00A45F3F">
        <w:rPr>
          <w:rFonts w:ascii="Roboto" w:hAnsi="Roboto" w:cs="Arial"/>
          <w:sz w:val="22"/>
          <w:szCs w:val="22"/>
        </w:rPr>
        <w:t>a</w:t>
      </w:r>
      <w:r w:rsidR="00B80671" w:rsidRPr="006D3E56">
        <w:rPr>
          <w:rFonts w:ascii="Roboto" w:hAnsi="Roboto" w:cs="Arial"/>
          <w:sz w:val="22"/>
          <w:szCs w:val="22"/>
        </w:rPr>
        <w:t>, od 20</w:t>
      </w:r>
      <w:r>
        <w:rPr>
          <w:rFonts w:ascii="Roboto" w:hAnsi="Roboto" w:cs="Arial"/>
          <w:sz w:val="22"/>
          <w:szCs w:val="22"/>
        </w:rPr>
        <w:t>2</w:t>
      </w:r>
      <w:r w:rsidR="00B80671" w:rsidRPr="006D3E56">
        <w:rPr>
          <w:rFonts w:ascii="Roboto" w:hAnsi="Roboto" w:cs="Arial"/>
          <w:sz w:val="22"/>
          <w:szCs w:val="22"/>
        </w:rPr>
        <w:t>1.</w:t>
      </w:r>
      <w:r>
        <w:rPr>
          <w:rFonts w:ascii="Roboto" w:hAnsi="Roboto" w:cs="Arial"/>
          <w:sz w:val="22"/>
          <w:szCs w:val="22"/>
        </w:rPr>
        <w:t xml:space="preserve"> </w:t>
      </w:r>
      <w:r w:rsidR="00B80671" w:rsidRPr="006D3E56">
        <w:rPr>
          <w:rFonts w:ascii="Roboto" w:hAnsi="Roboto" w:cs="Arial"/>
          <w:sz w:val="22"/>
          <w:szCs w:val="22"/>
        </w:rPr>
        <w:t>do 2025. godine, nikada nije dostavilo godišnje izvješće.</w:t>
      </w:r>
      <w:r>
        <w:rPr>
          <w:rFonts w:ascii="Roboto" w:hAnsi="Roboto" w:cs="Arial"/>
          <w:sz w:val="22"/>
          <w:szCs w:val="22"/>
        </w:rPr>
        <w:t xml:space="preserve"> </w:t>
      </w:r>
      <w:r w:rsidR="00B80671" w:rsidRPr="006D3E56">
        <w:rPr>
          <w:rFonts w:ascii="Roboto" w:hAnsi="Roboto" w:cs="Arial"/>
          <w:sz w:val="22"/>
          <w:szCs w:val="22"/>
        </w:rPr>
        <w:t xml:space="preserve">Prema rezultatima navedene analize, 215 tijela javne vlasti unazad pet godina nikada nisu dostavila izvješće za prethodnu godinu. </w:t>
      </w:r>
    </w:p>
    <w:p w14:paraId="5CF16602" w14:textId="15B2568D" w:rsidR="00A91D5B" w:rsidRPr="00C86404" w:rsidRDefault="004614E1" w:rsidP="001F7977">
      <w:pPr>
        <w:pStyle w:val="Naslov1"/>
      </w:pPr>
      <w:bookmarkStart w:id="3" w:name="_Toc225867781"/>
      <w:r w:rsidRPr="00C86404">
        <w:lastRenderedPageBreak/>
        <w:t>A) POSTUPANJE PO ZAHTJEVIMA KORISNIKA I ZAŠTITA PRAVA NA PRISTUP INFORMACIJAMA</w:t>
      </w:r>
      <w:bookmarkEnd w:id="3"/>
    </w:p>
    <w:p w14:paraId="12F85CB8" w14:textId="10225243" w:rsidR="004614E1" w:rsidRPr="00C86404" w:rsidRDefault="004614E1" w:rsidP="001F7977">
      <w:pPr>
        <w:pStyle w:val="Naslov1"/>
      </w:pPr>
      <w:bookmarkStart w:id="4" w:name="_Toc225867782"/>
      <w:r w:rsidRPr="00C86404">
        <w:t>Postupanje tijela javne vlasti po zahtjevima korisnika</w:t>
      </w:r>
      <w:bookmarkEnd w:id="4"/>
    </w:p>
    <w:p w14:paraId="489BC28C" w14:textId="5C4D97D2" w:rsidR="004247C4" w:rsidRPr="006D3E56" w:rsidRDefault="004247C4" w:rsidP="001F7977">
      <w:pPr>
        <w:pBdr>
          <w:top w:val="single" w:sz="4" w:space="1" w:color="auto"/>
          <w:left w:val="single" w:sz="4" w:space="4" w:color="auto"/>
          <w:bottom w:val="single" w:sz="4" w:space="1" w:color="auto"/>
          <w:right w:val="single" w:sz="4" w:space="4" w:color="auto"/>
        </w:pBdr>
        <w:rPr>
          <w:rFonts w:ascii="Roboto" w:eastAsia="Calibri" w:hAnsi="Roboto" w:cs="Roboto"/>
          <w:sz w:val="22"/>
          <w:szCs w:val="22"/>
        </w:rPr>
      </w:pPr>
      <w:r w:rsidRPr="006D3E56">
        <w:rPr>
          <w:rFonts w:ascii="Roboto" w:eastAsia="Calibri" w:hAnsi="Roboto" w:cs="Roboto"/>
          <w:sz w:val="22"/>
          <w:szCs w:val="22"/>
        </w:rPr>
        <w:t xml:space="preserve">Tijekom </w:t>
      </w:r>
      <w:r w:rsidRPr="006D3E56">
        <w:rPr>
          <w:rFonts w:ascii="Roboto" w:eastAsia="Calibri" w:hAnsi="Roboto" w:cs="Roboto"/>
          <w:kern w:val="32"/>
          <w:sz w:val="22"/>
          <w:szCs w:val="22"/>
        </w:rPr>
        <w:t>202</w:t>
      </w:r>
      <w:r w:rsidR="009B5FB9" w:rsidRPr="006D3E56">
        <w:rPr>
          <w:rFonts w:ascii="Roboto" w:eastAsia="Calibri" w:hAnsi="Roboto" w:cs="Roboto"/>
          <w:kern w:val="32"/>
          <w:sz w:val="22"/>
          <w:szCs w:val="22"/>
        </w:rPr>
        <w:t>5</w:t>
      </w:r>
      <w:r w:rsidRPr="006D3E56">
        <w:rPr>
          <w:rFonts w:ascii="Roboto" w:eastAsia="Calibri" w:hAnsi="Roboto" w:cs="Roboto"/>
          <w:kern w:val="32"/>
          <w:sz w:val="22"/>
          <w:szCs w:val="22"/>
        </w:rPr>
        <w:t xml:space="preserve">. godine zaprimljeno je </w:t>
      </w:r>
      <w:r w:rsidR="00001661" w:rsidRPr="006D3E56">
        <w:rPr>
          <w:rFonts w:ascii="Roboto" w:eastAsia="Calibri" w:hAnsi="Roboto" w:cs="Roboto"/>
          <w:kern w:val="32"/>
          <w:sz w:val="22"/>
          <w:szCs w:val="22"/>
        </w:rPr>
        <w:t>8</w:t>
      </w:r>
      <w:r w:rsidRPr="006D3E56">
        <w:rPr>
          <w:rFonts w:ascii="Roboto" w:eastAsia="Calibri" w:hAnsi="Roboto" w:cs="Roboto"/>
          <w:kern w:val="32"/>
          <w:sz w:val="22"/>
          <w:szCs w:val="22"/>
        </w:rPr>
        <w:t xml:space="preserve">% zahtjeva </w:t>
      </w:r>
      <w:r w:rsidR="00001661" w:rsidRPr="006D3E56">
        <w:rPr>
          <w:rFonts w:ascii="Roboto" w:eastAsia="Calibri" w:hAnsi="Roboto" w:cs="Roboto"/>
          <w:kern w:val="32"/>
          <w:sz w:val="22"/>
          <w:szCs w:val="22"/>
        </w:rPr>
        <w:t>više</w:t>
      </w:r>
      <w:r w:rsidRPr="006D3E56">
        <w:rPr>
          <w:rFonts w:ascii="Roboto" w:eastAsia="Calibri" w:hAnsi="Roboto" w:cs="Roboto"/>
          <w:kern w:val="32"/>
          <w:sz w:val="22"/>
          <w:szCs w:val="22"/>
        </w:rPr>
        <w:t xml:space="preserve"> u odnosu na godinu ranije, </w:t>
      </w:r>
      <w:r w:rsidR="002744E0" w:rsidRPr="006D3E56">
        <w:rPr>
          <w:rFonts w:ascii="Roboto" w:eastAsia="Calibri" w:hAnsi="Roboto" w:cs="Roboto"/>
          <w:kern w:val="32"/>
          <w:sz w:val="22"/>
          <w:szCs w:val="22"/>
        </w:rPr>
        <w:t>dok je broj tijela koja su rješavala zahtjeve manji za 1% u odnosu na 2024. godinu</w:t>
      </w:r>
      <w:r w:rsidRPr="006D3E56">
        <w:rPr>
          <w:rFonts w:ascii="Roboto" w:eastAsia="Calibri" w:hAnsi="Roboto" w:cs="Roboto"/>
          <w:kern w:val="32"/>
          <w:sz w:val="22"/>
          <w:szCs w:val="22"/>
        </w:rPr>
        <w:t xml:space="preserve">. </w:t>
      </w:r>
    </w:p>
    <w:p w14:paraId="1C70255A" w14:textId="46945183" w:rsidR="00C07555" w:rsidRDefault="00C07555" w:rsidP="00C07555">
      <w:pPr>
        <w:rPr>
          <w:rFonts w:ascii="Roboto" w:hAnsi="Roboto" w:cs="Arial"/>
          <w:sz w:val="22"/>
          <w:szCs w:val="22"/>
        </w:rPr>
      </w:pPr>
      <w:r w:rsidRPr="007B2495">
        <w:rPr>
          <w:rFonts w:ascii="Roboto" w:hAnsi="Roboto" w:cs="Arial"/>
          <w:sz w:val="22"/>
          <w:szCs w:val="22"/>
        </w:rPr>
        <w:t>Tijekom 2025. tijela su zaprimila ukupno 20.453 zahtjeva za pristup informacijama, dopunu ili ispravak informacije i za ponovnu uporabu informacija. Iz prethodne godine u rad su prenijela 347 zahtjeva, što znači da su u radu tijekom 2025. godine ukupno imala 20.800 svih zahtjeva</w:t>
      </w:r>
      <w:r w:rsidR="006A35F0">
        <w:rPr>
          <w:rFonts w:ascii="Roboto" w:hAnsi="Roboto" w:cs="Arial"/>
          <w:sz w:val="22"/>
          <w:szCs w:val="22"/>
        </w:rPr>
        <w:t>.</w:t>
      </w:r>
    </w:p>
    <w:p w14:paraId="14A41DAA" w14:textId="4307E761" w:rsidR="00C07555" w:rsidRPr="00C07555" w:rsidRDefault="00C07555" w:rsidP="00C07555">
      <w:pPr>
        <w:rPr>
          <w:rFonts w:ascii="Roboto" w:hAnsi="Roboto" w:cs="Arial"/>
          <w:sz w:val="22"/>
          <w:szCs w:val="22"/>
        </w:rPr>
      </w:pPr>
      <w:r w:rsidRPr="00C07555">
        <w:rPr>
          <w:rFonts w:ascii="Roboto" w:hAnsi="Roboto" w:cs="Arial"/>
          <w:sz w:val="22"/>
          <w:szCs w:val="22"/>
        </w:rPr>
        <w:t>U 2025. broj tijela koja su rješavala zahtjeve u blagom je padu. U odnosu na 2024. kada 63,5% tijela nije rješavalo zahtjeve jer nije zaprimilo nijedan zahtjev, u 2025. 64% tijela nije zaprimilo nijedan zahtjev, dok je 36% tijela zaprimilo i rješavalo zahtjeve.</w:t>
      </w:r>
    </w:p>
    <w:p w14:paraId="5F18932F" w14:textId="1B33800D" w:rsidR="007E6F3D" w:rsidRPr="006D3E56" w:rsidRDefault="007E6F3D" w:rsidP="001F7977">
      <w:pPr>
        <w:rPr>
          <w:rFonts w:ascii="Roboto" w:hAnsi="Roboto" w:cs="Arial"/>
          <w:sz w:val="22"/>
          <w:szCs w:val="22"/>
        </w:rPr>
      </w:pPr>
      <w:r w:rsidRPr="006D3E56">
        <w:rPr>
          <w:rFonts w:ascii="Roboto" w:hAnsi="Roboto" w:cs="Arial"/>
          <w:sz w:val="22"/>
          <w:szCs w:val="22"/>
        </w:rPr>
        <w:t>Najveći broj tijela (1.708, tj. 91%) zaprimilo je do 20 zahtjeva, njih čak 1.248 (66%) je u rješavanju imalo 1-5 zahtjeva, dok su tri tijela zaprimila ukupno 20% svih zahtjeva (Općina Seget - 1.831, Državna geodetska uprava - 1.341 i Hrvatske vode - 9</w:t>
      </w:r>
      <w:r w:rsidR="00F74858">
        <w:rPr>
          <w:rFonts w:ascii="Roboto" w:hAnsi="Roboto" w:cs="Arial"/>
          <w:sz w:val="22"/>
          <w:szCs w:val="22"/>
        </w:rPr>
        <w:t>45</w:t>
      </w:r>
      <w:r w:rsidRPr="006D3E56">
        <w:rPr>
          <w:rFonts w:ascii="Roboto" w:hAnsi="Roboto" w:cs="Arial"/>
          <w:sz w:val="22"/>
          <w:szCs w:val="22"/>
        </w:rPr>
        <w:t xml:space="preserve">). </w:t>
      </w:r>
    </w:p>
    <w:p w14:paraId="4CD34B9D" w14:textId="0D0342D3" w:rsidR="007E6F3D" w:rsidRPr="006D3E56" w:rsidRDefault="002846FB" w:rsidP="001F7977">
      <w:pPr>
        <w:rPr>
          <w:rFonts w:ascii="Roboto" w:hAnsi="Roboto" w:cs="Arial"/>
          <w:sz w:val="22"/>
          <w:szCs w:val="22"/>
        </w:rPr>
      </w:pPr>
      <w:r>
        <w:rPr>
          <w:rFonts w:ascii="Roboto" w:hAnsi="Roboto" w:cs="Arial"/>
          <w:sz w:val="22"/>
          <w:szCs w:val="22"/>
        </w:rPr>
        <w:t>Z</w:t>
      </w:r>
      <w:r w:rsidR="007E6F3D" w:rsidRPr="006D3E56">
        <w:rPr>
          <w:rFonts w:ascii="Roboto" w:hAnsi="Roboto" w:cs="Arial"/>
          <w:sz w:val="22"/>
          <w:szCs w:val="22"/>
        </w:rPr>
        <w:t xml:space="preserve">a potrebe ovog izvješća analizirano je koliko tijela pet godina unazad, od 2021. do 2025. godine, nije zaprimilo niti jedan zahtjev godišnje. </w:t>
      </w:r>
      <w:r w:rsidR="007E6F3D" w:rsidRPr="001F7977">
        <w:rPr>
          <w:rFonts w:ascii="Roboto" w:hAnsi="Roboto" w:cs="Arial"/>
          <w:sz w:val="22"/>
          <w:szCs w:val="22"/>
        </w:rPr>
        <w:t>Navedena analiza ukazala je na iznenađujuću činjenicu, da jedna petina (21%; 1.091) tijela javne vlasti pet godina unazad, zaredom, nije zaprimilo niti jedan zahtjev za pristup informacijama ili ponovnu porabu informacija.</w:t>
      </w:r>
      <w:r w:rsidR="007E6F3D" w:rsidRPr="006D3E56">
        <w:rPr>
          <w:rFonts w:ascii="Roboto" w:hAnsi="Roboto" w:cs="Arial"/>
          <w:sz w:val="22"/>
          <w:szCs w:val="22"/>
        </w:rPr>
        <w:t xml:space="preserve"> </w:t>
      </w:r>
    </w:p>
    <w:p w14:paraId="6108A232" w14:textId="77777777" w:rsidR="007E6F3D" w:rsidRPr="006D3E56" w:rsidRDefault="007E6F3D" w:rsidP="001F7977">
      <w:pPr>
        <w:rPr>
          <w:rFonts w:ascii="Roboto" w:hAnsi="Roboto" w:cs="Arial"/>
          <w:sz w:val="22"/>
          <w:szCs w:val="22"/>
        </w:rPr>
      </w:pPr>
      <w:r w:rsidRPr="006D3E56">
        <w:rPr>
          <w:rFonts w:ascii="Roboto" w:hAnsi="Roboto" w:cs="Arial"/>
          <w:sz w:val="22"/>
          <w:szCs w:val="22"/>
        </w:rPr>
        <w:t>Tijela su u zakonskom roku riješila 88% (19.354) zahtjeva, od sveukupno riješenih 93% (19.354) zahtjeva, dok je 2% zahtjeva u 2025. ostalo neriješeno odnosno tijela ih prenose u 2026. godinu.</w:t>
      </w:r>
    </w:p>
    <w:p w14:paraId="2343420A" w14:textId="578BB846" w:rsidR="007E6F3D" w:rsidRPr="006D3E56" w:rsidRDefault="007E6F3D" w:rsidP="001F7977">
      <w:pPr>
        <w:rPr>
          <w:rFonts w:ascii="Roboto" w:hAnsi="Roboto" w:cs="Arial"/>
          <w:sz w:val="22"/>
          <w:szCs w:val="22"/>
        </w:rPr>
      </w:pPr>
      <w:r w:rsidRPr="006D3E56">
        <w:rPr>
          <w:rFonts w:ascii="Roboto" w:hAnsi="Roboto" w:cs="Arial"/>
          <w:sz w:val="22"/>
          <w:szCs w:val="22"/>
        </w:rPr>
        <w:t xml:space="preserve">Iz analize podataka proizlazi kako je 13.298 zahtjeva usvojeno (69% od ukupnog broja riješenih zahtjeva) i još 429 (2%) zahtjeva djelomično usvojeno (u jednom dijelu usvojeno, a u drugom odbijeno ili odbačeno). U cijelosti je odbijeno 3.250 (17%) zahtjeva, 585 (3%) zahtjeva je (djelomično) odbačeno, te je izdano </w:t>
      </w:r>
      <w:r w:rsidR="007B2495" w:rsidRPr="007B2495">
        <w:rPr>
          <w:rFonts w:ascii="Roboto" w:hAnsi="Roboto" w:cs="Arial"/>
          <w:sz w:val="22"/>
          <w:szCs w:val="22"/>
        </w:rPr>
        <w:t xml:space="preserve">2.832 </w:t>
      </w:r>
      <w:r w:rsidRPr="006D3E56">
        <w:rPr>
          <w:rFonts w:ascii="Roboto" w:hAnsi="Roboto" w:cs="Arial"/>
          <w:sz w:val="22"/>
          <w:szCs w:val="22"/>
        </w:rPr>
        <w:t>obavijesti iz članka 23. stavka 2. Zakona. Tijekom 2025. tijela su zaprimila 188 i riješila 162 prigovora.</w:t>
      </w:r>
    </w:p>
    <w:p w14:paraId="6649465B" w14:textId="77777777" w:rsidR="007E6F3D" w:rsidRPr="006D3E56" w:rsidRDefault="007E6F3D" w:rsidP="001F7977">
      <w:pPr>
        <w:rPr>
          <w:rFonts w:ascii="Roboto" w:hAnsi="Roboto" w:cs="Arial"/>
          <w:sz w:val="22"/>
          <w:szCs w:val="22"/>
        </w:rPr>
      </w:pPr>
      <w:r w:rsidRPr="006D3E56">
        <w:rPr>
          <w:rFonts w:ascii="Roboto" w:hAnsi="Roboto" w:cs="Arial"/>
          <w:sz w:val="22"/>
          <w:szCs w:val="22"/>
        </w:rPr>
        <w:t>Vezano za razloge odbijanja i djelomičnog odbijanja zahtjeva za pristup informacijama, najviše se slučajeva odnosilo na utvrđenu zlouporabu prava od strane korisnika, i to čak u 2.033 ili 58% slučajeva. Godinu ranije su zahtjevi bili odbijeni zbog zlouporabe u gotovo 69% slučajeva, dakle, došlo je do smanjivanja broja zahtjeva korisnika za koje su tijela utvrdila da se radi o zlouporabi prava na pristup informacijama.</w:t>
      </w:r>
    </w:p>
    <w:p w14:paraId="687F8707" w14:textId="77777777" w:rsidR="007E6F3D" w:rsidRPr="006D3E56" w:rsidRDefault="007E6F3D" w:rsidP="001F7977">
      <w:pPr>
        <w:rPr>
          <w:rFonts w:ascii="Roboto" w:hAnsi="Roboto" w:cs="Arial"/>
          <w:sz w:val="22"/>
          <w:szCs w:val="22"/>
        </w:rPr>
      </w:pPr>
      <w:r w:rsidRPr="006D3E56">
        <w:rPr>
          <w:rFonts w:ascii="Roboto" w:hAnsi="Roboto" w:cs="Arial"/>
          <w:sz w:val="22"/>
          <w:szCs w:val="22"/>
        </w:rPr>
        <w:t xml:space="preserve">Visina ostvarene naknade stvarnih troškova, koju je tijekom 2025. korisnicima naplatilo 18 tijela, iznosila je 981,01 EUR, i to 970,01 EUR naknade ostvarene pružanjem informacija temeljem zahtjeva za pristup informacijama i 11,00 EUR naknade ostvarene pružanjem informacija temeljem zahtjeva za ponovnu uporabu informacija, što predstavlja povećanje za oko 20% u odnosi na 2024. godinu, kada je naplaćeno 807,03 EUR. </w:t>
      </w:r>
    </w:p>
    <w:p w14:paraId="0C92EE2F" w14:textId="77777777" w:rsidR="00693599" w:rsidRPr="00C86404" w:rsidRDefault="00693599" w:rsidP="001F7977">
      <w:pPr>
        <w:pStyle w:val="Naslov1"/>
      </w:pPr>
      <w:bookmarkStart w:id="5" w:name="_Toc225867783"/>
      <w:r w:rsidRPr="00C86404">
        <w:lastRenderedPageBreak/>
        <w:t>Žalbeni postupak</w:t>
      </w:r>
      <w:bookmarkEnd w:id="5"/>
      <w:r w:rsidRPr="00C86404">
        <w:t xml:space="preserve"> </w:t>
      </w:r>
    </w:p>
    <w:p w14:paraId="5F09D653" w14:textId="159EEC3D" w:rsidR="00762973" w:rsidRPr="006D3E56" w:rsidRDefault="00762973" w:rsidP="001F7977">
      <w:pPr>
        <w:rPr>
          <w:rFonts w:ascii="Roboto" w:eastAsia="Calibri" w:hAnsi="Roboto" w:cs="Arial"/>
          <w:sz w:val="22"/>
          <w:szCs w:val="22"/>
        </w:rPr>
      </w:pPr>
      <w:r w:rsidRPr="006D3E56">
        <w:rPr>
          <w:rFonts w:ascii="Roboto" w:eastAsia="Calibri" w:hAnsi="Roboto" w:cs="Arial"/>
          <w:sz w:val="22"/>
          <w:szCs w:val="22"/>
        </w:rPr>
        <w:t>Povjerenik je tijekom 2025. godine zaprimio ukupno 1.320 žalbi, što je u odnosu na 2024. (987 zaprimljenih žalbi), povećanje za 33,7%. Od ukupnog broja zaprimljenih žalbi, njih se 1.317 (99,</w:t>
      </w:r>
      <w:r w:rsidR="00432D0B">
        <w:rPr>
          <w:rFonts w:ascii="Roboto" w:eastAsia="Calibri" w:hAnsi="Roboto" w:cs="Arial"/>
          <w:sz w:val="22"/>
          <w:szCs w:val="22"/>
        </w:rPr>
        <w:t>7</w:t>
      </w:r>
      <w:r w:rsidRPr="006D3E56">
        <w:rPr>
          <w:rFonts w:ascii="Roboto" w:eastAsia="Calibri" w:hAnsi="Roboto" w:cs="Arial"/>
          <w:sz w:val="22"/>
          <w:szCs w:val="22"/>
        </w:rPr>
        <w:t>%) odnosi na rješavanje zahtjeva za pristup informacijama, dvije (0,2%) na rješavanje zahtjeva za ponovnu uporabu informacija, te jedna (0,1%) na rješavanje zahtjeva za pristup arhivskom gradivu. Od svih zaprimljenih žalbi, 681 ili 51,6% se odnosila na žalbe zbog šutnje uprave, što predstavlja povećanje u odnosu na 2024., kad ih je bilo 43,7%.</w:t>
      </w:r>
    </w:p>
    <w:p w14:paraId="44DA744D" w14:textId="57FDFD10" w:rsidR="00762973" w:rsidRPr="00123B23" w:rsidRDefault="00762973" w:rsidP="001F7977">
      <w:pPr>
        <w:rPr>
          <w:rFonts w:ascii="Roboto" w:eastAsia="Calibri" w:hAnsi="Roboto" w:cs="Arial"/>
          <w:strike/>
          <w:sz w:val="22"/>
          <w:szCs w:val="22"/>
        </w:rPr>
      </w:pPr>
      <w:r w:rsidRPr="006D3E56">
        <w:rPr>
          <w:rFonts w:ascii="Roboto" w:eastAsia="Calibri" w:hAnsi="Roboto" w:cs="Arial"/>
          <w:sz w:val="22"/>
          <w:szCs w:val="22"/>
        </w:rPr>
        <w:t>Tijekom 2025. je 574 ili 43,5% žalbi bilo izjavljeno na rješenja koja su tijela javne vlasti donijela u postupcima po zahtjevima za pristup i ponovnu uporabu informacija</w:t>
      </w:r>
      <w:r w:rsidR="001F7977">
        <w:rPr>
          <w:rFonts w:ascii="Roboto" w:eastAsia="Calibri" w:hAnsi="Roboto" w:cs="Arial"/>
          <w:sz w:val="22"/>
          <w:szCs w:val="22"/>
        </w:rPr>
        <w:t>.</w:t>
      </w:r>
      <w:r w:rsidRPr="00123B23">
        <w:rPr>
          <w:rFonts w:ascii="Roboto" w:eastAsia="Calibri" w:hAnsi="Roboto" w:cs="Arial"/>
          <w:strike/>
          <w:sz w:val="22"/>
          <w:szCs w:val="22"/>
        </w:rPr>
        <w:t xml:space="preserve"> </w:t>
      </w:r>
    </w:p>
    <w:p w14:paraId="0BAC856B" w14:textId="77777777" w:rsidR="00762973" w:rsidRPr="006D3E56" w:rsidRDefault="00762973" w:rsidP="001F7977">
      <w:pPr>
        <w:rPr>
          <w:rFonts w:ascii="Roboto" w:eastAsia="Calibri" w:hAnsi="Roboto" w:cs="Arial"/>
          <w:color w:val="000000" w:themeColor="text1"/>
          <w:sz w:val="22"/>
          <w:szCs w:val="22"/>
        </w:rPr>
      </w:pPr>
      <w:r w:rsidRPr="006D3E56">
        <w:rPr>
          <w:rFonts w:ascii="Roboto" w:eastAsia="Calibri" w:hAnsi="Roboto" w:cs="Arial"/>
          <w:sz w:val="22"/>
          <w:szCs w:val="22"/>
        </w:rPr>
        <w:t xml:space="preserve">Zaprimljene su i 52 žalbe (3,9%) izjavljene na rješenja čelnika tijela kojim je odlučeno o prigovoru izjavljenom protiv obavijesti iz članka 23. stavka 1. točke 2.-6. ZPPI-ja. Povjerenik zaprimio i 51 prigovor koji je ustupljen na nadležno postupanje čelnicima tijela javne vlasti, a što predstavlja povećanje u odnosu na 2024. kada je zaprimljen 31 prigovor. U 2025. zaprimljeno je i 13 žalbi izjavljenih na druge akte tijela javne vlasti donesene u prvostupanjskom postupku (primjerice, </w:t>
      </w:r>
      <w:r w:rsidRPr="006D3E56">
        <w:rPr>
          <w:rFonts w:ascii="Roboto" w:eastAsia="Calibri" w:hAnsi="Roboto" w:cs="Arial"/>
          <w:color w:val="000000" w:themeColor="text1"/>
          <w:sz w:val="22"/>
          <w:szCs w:val="22"/>
        </w:rPr>
        <w:t>obavijesti o produženju roka, obavijesti o ustupanju zahtjeva), kao i tri žalbe za čije rješavanje Povjerenik za informiranje nije nadležan te su one ustupljene na rješavanje nadležnim tijelima.</w:t>
      </w:r>
    </w:p>
    <w:p w14:paraId="7BF282AF" w14:textId="77777777" w:rsidR="00762973" w:rsidRPr="006D3E56" w:rsidRDefault="00762973" w:rsidP="001F7977">
      <w:pPr>
        <w:pBdr>
          <w:top w:val="single" w:sz="4" w:space="1" w:color="auto"/>
          <w:left w:val="single" w:sz="4" w:space="4" w:color="auto"/>
          <w:bottom w:val="single" w:sz="4" w:space="1" w:color="auto"/>
          <w:right w:val="single" w:sz="4" w:space="4" w:color="auto"/>
        </w:pBdr>
        <w:rPr>
          <w:rFonts w:ascii="Roboto" w:eastAsia="Calibri" w:hAnsi="Roboto" w:cs="Arial"/>
          <w:sz w:val="22"/>
          <w:szCs w:val="22"/>
        </w:rPr>
      </w:pPr>
      <w:r w:rsidRPr="006D3E56">
        <w:rPr>
          <w:rFonts w:ascii="Roboto" w:eastAsia="Calibri" w:hAnsi="Roboto" w:cs="Arial"/>
          <w:sz w:val="22"/>
          <w:szCs w:val="22"/>
        </w:rPr>
        <w:t>U 2025. došlo je, u odnosu na prethodno izvještajno razdoblje do povećanja udjela podnesenih žalbi zbog šutnje uprave (s 43,7% na 51,6%), što upućuje na potrebu daljnjeg jačanja organizacijskih kapaciteta i odgovornosti u postupanju po zahtjevima. Naime, i dalje su prisutni izazovi u postupanju po zahtjevima za pristup informacijama, osobito izraženi kod strukturno i organizacijski složenijih tijela, koja se susreću s poteškoćama u odlučivanju unutar propisanih zakonskih rokova, ali i kod tijela koja raspolažu ograničenim organizacijskim i kadrovskim kapacitetima, uslijed čega dolazi do otežanog i pravodobnog postupanja po zaprimljenim zahtjevima. Dodatne teškoće proizlaze iz sve češćih zahtjeva kojima se traži opsežna dokumentacija, što dodatno usporava postupanje.</w:t>
      </w:r>
    </w:p>
    <w:p w14:paraId="218C5C40" w14:textId="77777777" w:rsidR="00762973" w:rsidRPr="006D3E56" w:rsidRDefault="00762973" w:rsidP="001F7977">
      <w:pPr>
        <w:pBdr>
          <w:top w:val="single" w:sz="4" w:space="1" w:color="auto"/>
          <w:left w:val="single" w:sz="4" w:space="4" w:color="auto"/>
          <w:bottom w:val="single" w:sz="4" w:space="1" w:color="auto"/>
          <w:right w:val="single" w:sz="4" w:space="4" w:color="auto"/>
        </w:pBdr>
        <w:rPr>
          <w:rFonts w:ascii="Roboto" w:eastAsia="Calibri" w:hAnsi="Roboto" w:cs="Arial"/>
          <w:sz w:val="22"/>
          <w:szCs w:val="22"/>
        </w:rPr>
      </w:pPr>
      <w:r w:rsidRPr="006D3E56">
        <w:rPr>
          <w:rFonts w:ascii="Roboto" w:eastAsia="Calibri" w:hAnsi="Roboto" w:cs="Arial"/>
          <w:sz w:val="22"/>
          <w:szCs w:val="22"/>
        </w:rPr>
        <w:t>Također je uočeno da pojedina tijela ne pristupaju rješavanju zahtjeva sve do zaprimanja rješenja Povjerenika kojim se nalaže njihovo rješavanje, odnosno reagiraju tek po zaprimanju zahtjeva za očitovanjem o razlozima nerješavanja. Takva praksa dovodi do nepotrebnog produljenja postupka i odgađa učinkovito ostvarivanje prava na pristup informacijama.</w:t>
      </w:r>
    </w:p>
    <w:p w14:paraId="20BBD3A6" w14:textId="77777777" w:rsidR="00762973" w:rsidRPr="006D3E56" w:rsidRDefault="00762973" w:rsidP="001F7977">
      <w:pPr>
        <w:pBdr>
          <w:top w:val="single" w:sz="4" w:space="1" w:color="auto"/>
          <w:left w:val="single" w:sz="4" w:space="4" w:color="auto"/>
          <w:bottom w:val="single" w:sz="4" w:space="1" w:color="auto"/>
          <w:right w:val="single" w:sz="4" w:space="4" w:color="auto"/>
        </w:pBdr>
        <w:rPr>
          <w:rFonts w:ascii="Roboto" w:eastAsia="Calibri" w:hAnsi="Roboto" w:cs="Arial"/>
          <w:sz w:val="22"/>
          <w:szCs w:val="22"/>
        </w:rPr>
      </w:pPr>
      <w:r w:rsidRPr="006D3E56">
        <w:rPr>
          <w:rFonts w:ascii="Roboto" w:eastAsia="Calibri" w:hAnsi="Roboto" w:cs="Arial"/>
          <w:sz w:val="22"/>
          <w:szCs w:val="22"/>
        </w:rPr>
        <w:t>Broj prigovora koji je izjavljen izravno Povjereniku umjesto čelniku tijela javne vlasti ukazuje da stranke nisu dovoljno upućene kome je potrebno izjaviti prigovor jer često donesene obavijesti ne sadrže uputu o pravu na podnošenje prigovora čelniku tijela javne vlasti.</w:t>
      </w:r>
    </w:p>
    <w:p w14:paraId="60B35D52" w14:textId="45E23F21" w:rsidR="00762973" w:rsidRPr="000C18C3" w:rsidRDefault="00762973" w:rsidP="001F7977">
      <w:pPr>
        <w:rPr>
          <w:rFonts w:ascii="Roboto" w:eastAsia="Calibri" w:hAnsi="Roboto" w:cs="Arial"/>
          <w:strike/>
          <w:sz w:val="22"/>
          <w:szCs w:val="22"/>
        </w:rPr>
      </w:pPr>
      <w:r w:rsidRPr="006D3E56">
        <w:rPr>
          <w:rFonts w:ascii="Roboto" w:eastAsia="Calibri" w:hAnsi="Roboto" w:cs="Arial"/>
          <w:sz w:val="22"/>
          <w:szCs w:val="22"/>
        </w:rPr>
        <w:t xml:space="preserve">Obrađeni podaci ukazuju da je i u 2025.  nastavljen trend podnošenja najvećeg broja žalbi od strane građana, koji su ih izjavili 1.099 ili 83,3%. U fizičke osobe kao skupinu žalitelja se, uz građane, ubrajaju i fizičke osobe koje su se predstavljale u svojstvu vijećnika, člana komore i sl. te su u 2025. one izjavile 13 žalbi (1%), kao i novinari koji su izjavili 49 ili 3,7% žalbi od ukupnog broja izjavljenih žalbi, čime je njihov udio u žalbenim postupcima ostao na razini ranijih izvještajnih razdoblja (ispod 5%). </w:t>
      </w:r>
    </w:p>
    <w:p w14:paraId="5C1000B5" w14:textId="32EFE66F" w:rsidR="00762973" w:rsidRPr="00942FFC" w:rsidRDefault="00762973" w:rsidP="001F7977">
      <w:pPr>
        <w:rPr>
          <w:rFonts w:ascii="Roboto" w:eastAsia="Calibri" w:hAnsi="Roboto" w:cs="Arial"/>
          <w:sz w:val="22"/>
          <w:szCs w:val="22"/>
        </w:rPr>
      </w:pPr>
      <w:r w:rsidRPr="00942FFC">
        <w:rPr>
          <w:rFonts w:ascii="Roboto" w:eastAsia="Calibri" w:hAnsi="Roboto" w:cs="Arial"/>
          <w:sz w:val="22"/>
          <w:szCs w:val="22"/>
        </w:rPr>
        <w:t>Pravne osobe su podnijele 159 žalbi (12%), od čega najviše udruge (94 ili 7,1%)</w:t>
      </w:r>
      <w:r w:rsidR="00643D02">
        <w:rPr>
          <w:rFonts w:ascii="Roboto" w:eastAsia="Calibri" w:hAnsi="Roboto" w:cs="Arial"/>
          <w:sz w:val="22"/>
          <w:szCs w:val="22"/>
        </w:rPr>
        <w:t xml:space="preserve"> i</w:t>
      </w:r>
      <w:r w:rsidRPr="00942FFC">
        <w:rPr>
          <w:rFonts w:ascii="Roboto" w:eastAsia="Calibri" w:hAnsi="Roboto" w:cs="Arial"/>
          <w:sz w:val="22"/>
          <w:szCs w:val="22"/>
        </w:rPr>
        <w:t xml:space="preserve"> trgovačka društva (53 ili 4%)</w:t>
      </w:r>
      <w:r w:rsidR="00643D02">
        <w:rPr>
          <w:rFonts w:ascii="Roboto" w:eastAsia="Calibri" w:hAnsi="Roboto" w:cs="Arial"/>
          <w:sz w:val="22"/>
          <w:szCs w:val="22"/>
        </w:rPr>
        <w:t xml:space="preserve">, a </w:t>
      </w:r>
      <w:r w:rsidRPr="00942FFC">
        <w:rPr>
          <w:rFonts w:ascii="Roboto" w:eastAsia="Calibri" w:hAnsi="Roboto" w:cs="Arial"/>
          <w:sz w:val="22"/>
          <w:szCs w:val="22"/>
        </w:rPr>
        <w:t>ostali (12 ili 0,9%), npr</w:t>
      </w:r>
      <w:r w:rsidRPr="00942FFC">
        <w:rPr>
          <w:rFonts w:ascii="Roboto" w:eastAsia="Calibri" w:hAnsi="Roboto" w:cs="Arial"/>
          <w:color w:val="000000" w:themeColor="text1"/>
          <w:sz w:val="22"/>
          <w:szCs w:val="22"/>
        </w:rPr>
        <w:t>. političke stranke, obrti, JLP(R)S i dr.</w:t>
      </w:r>
    </w:p>
    <w:p w14:paraId="02DE0EFC" w14:textId="3A16BAC4" w:rsidR="00762973" w:rsidRPr="006D3E56" w:rsidRDefault="00762973" w:rsidP="001F7977">
      <w:pPr>
        <w:pBdr>
          <w:top w:val="single" w:sz="4" w:space="1" w:color="auto"/>
          <w:left w:val="single" w:sz="4" w:space="4" w:color="auto"/>
          <w:bottom w:val="single" w:sz="4" w:space="1" w:color="auto"/>
          <w:right w:val="single" w:sz="4" w:space="4" w:color="auto"/>
        </w:pBdr>
        <w:rPr>
          <w:rFonts w:ascii="Roboto" w:eastAsia="Calibri" w:hAnsi="Roboto" w:cs="Arial"/>
          <w:sz w:val="22"/>
          <w:szCs w:val="22"/>
        </w:rPr>
      </w:pPr>
      <w:r w:rsidRPr="006D3E56">
        <w:rPr>
          <w:rFonts w:ascii="Roboto" w:eastAsia="Calibri" w:hAnsi="Roboto" w:cs="Arial"/>
          <w:sz w:val="22"/>
          <w:szCs w:val="22"/>
        </w:rPr>
        <w:lastRenderedPageBreak/>
        <w:t xml:space="preserve">I u ovom izvještajnom razdoblju najveći udio žalbi u vezi s pravom na pristup informacijama odnosi </w:t>
      </w:r>
      <w:r w:rsidR="00D21F39">
        <w:rPr>
          <w:rFonts w:ascii="Roboto" w:eastAsia="Calibri" w:hAnsi="Roboto" w:cs="Arial"/>
          <w:sz w:val="22"/>
          <w:szCs w:val="22"/>
        </w:rPr>
        <w:t xml:space="preserve">se </w:t>
      </w:r>
      <w:r w:rsidRPr="006D3E56">
        <w:rPr>
          <w:rFonts w:ascii="Roboto" w:eastAsia="Calibri" w:hAnsi="Roboto" w:cs="Arial"/>
          <w:sz w:val="22"/>
          <w:szCs w:val="22"/>
        </w:rPr>
        <w:t>na JLP(R)S (26,8%), dok su tijela državne uprave odmah iza njih (25%). To upućuje na zaključak da je interes i fokus korisnika u najvećoj mjeri usmjeren na informacije kojima raspolažu ta tijela.</w:t>
      </w:r>
    </w:p>
    <w:p w14:paraId="1BF1992A" w14:textId="77777777" w:rsidR="00762973" w:rsidRPr="006D3E56" w:rsidRDefault="00762973" w:rsidP="001F7977">
      <w:pPr>
        <w:rPr>
          <w:rFonts w:ascii="Roboto" w:eastAsia="Calibri" w:hAnsi="Roboto" w:cs="Arial"/>
          <w:sz w:val="22"/>
          <w:szCs w:val="22"/>
        </w:rPr>
      </w:pPr>
      <w:r w:rsidRPr="006D3E56">
        <w:rPr>
          <w:rFonts w:ascii="Roboto" w:eastAsia="Calibri" w:hAnsi="Roboto" w:cs="Arial"/>
          <w:sz w:val="22"/>
          <w:szCs w:val="22"/>
        </w:rPr>
        <w:t xml:space="preserve">Prema razlozima za odbijanje i odbacivanje zahtjeva, tijekom 2025. žalbe su se u najvećem broju slučajeva podnosile na rješenja u kojima su kao razlog odbijanja navedeni, traženje informacije koja se ne smatra informacijom u smislu zakonske odredbe (114 ili 20,8% zlouporaba prava (82 ili 14,9%), osobni podaci (78 ili 14,2%) i klasificirane informacije (60 ili 10,9%), a značajan udio u podnesenim žalbama, kao i u ranijim izvještajnim razdobljima, ima i neposjedovanje informacije od strane tijela javne vlasti kao razlog za odbacivanje zahtjeva (93 ili 16,3%). </w:t>
      </w:r>
    </w:p>
    <w:p w14:paraId="1E8D9BE8" w14:textId="77777777" w:rsidR="00762973" w:rsidRPr="006D3E56" w:rsidRDefault="00762973" w:rsidP="001F7977">
      <w:pPr>
        <w:pBdr>
          <w:top w:val="single" w:sz="4" w:space="1" w:color="auto"/>
          <w:left w:val="single" w:sz="4" w:space="4" w:color="auto"/>
          <w:bottom w:val="single" w:sz="4" w:space="1" w:color="auto"/>
          <w:right w:val="single" w:sz="4" w:space="4" w:color="auto"/>
        </w:pBdr>
        <w:rPr>
          <w:rFonts w:ascii="Roboto" w:eastAsia="Calibri" w:hAnsi="Roboto" w:cs="Arial"/>
          <w:color w:val="000000" w:themeColor="text1"/>
          <w:sz w:val="22"/>
          <w:szCs w:val="22"/>
        </w:rPr>
      </w:pPr>
      <w:r w:rsidRPr="006D3E56">
        <w:rPr>
          <w:rFonts w:ascii="Roboto" w:eastAsia="Calibri" w:hAnsi="Roboto" w:cs="Arial"/>
          <w:color w:val="000000" w:themeColor="text1"/>
          <w:sz w:val="22"/>
          <w:szCs w:val="22"/>
        </w:rPr>
        <w:t>Najveći broj žalbi u 2025. godini izjavljen je protiv rješenja kojima je zahtjev odbijen uz obrazloženje da se istim ne traži informacija u smislu zakona, kao i protiv rješenja kojima je zahtjev odbačen zbog toga što tijelo javne vlasti ne raspolaže traženom informacijom. Navedeno upućuje na zaključak da podnositelji zahtjeva i dalje nisu u dostatnoj mjeri upoznati s pojmom informacije u smislu ZPPI-ja te njegovim dosegom.</w:t>
      </w:r>
    </w:p>
    <w:p w14:paraId="39A2CDE0" w14:textId="77777777" w:rsidR="00762973" w:rsidRPr="006D3E56" w:rsidRDefault="00762973" w:rsidP="001F7977">
      <w:pPr>
        <w:pBdr>
          <w:top w:val="single" w:sz="4" w:space="1" w:color="auto"/>
          <w:left w:val="single" w:sz="4" w:space="4" w:color="auto"/>
          <w:bottom w:val="single" w:sz="4" w:space="1" w:color="auto"/>
          <w:right w:val="single" w:sz="4" w:space="4" w:color="auto"/>
        </w:pBdr>
        <w:rPr>
          <w:rFonts w:ascii="Roboto" w:eastAsia="Calibri" w:hAnsi="Roboto" w:cs="Arial"/>
          <w:color w:val="000000" w:themeColor="text1"/>
          <w:sz w:val="22"/>
          <w:szCs w:val="22"/>
        </w:rPr>
      </w:pPr>
      <w:r w:rsidRPr="006D3E56">
        <w:rPr>
          <w:rFonts w:ascii="Roboto" w:eastAsia="Calibri" w:hAnsi="Roboto" w:cs="Arial"/>
          <w:color w:val="000000" w:themeColor="text1"/>
          <w:sz w:val="22"/>
          <w:szCs w:val="22"/>
        </w:rPr>
        <w:t>Nadalje, zlouporaba prava na pristup informacijama i dalje je visoko zastupljena osnova odlučivanja, što potvrđuje kontinuitet takve prakse kroz više izvještajnih razdoblja.</w:t>
      </w:r>
    </w:p>
    <w:p w14:paraId="35C0E5DD" w14:textId="77777777" w:rsidR="00762973" w:rsidRPr="006D3E56" w:rsidRDefault="00762973" w:rsidP="001F7977">
      <w:pPr>
        <w:pBdr>
          <w:top w:val="single" w:sz="4" w:space="1" w:color="auto"/>
          <w:left w:val="single" w:sz="4" w:space="4" w:color="auto"/>
          <w:bottom w:val="single" w:sz="4" w:space="1" w:color="auto"/>
          <w:right w:val="single" w:sz="4" w:space="4" w:color="auto"/>
        </w:pBdr>
        <w:rPr>
          <w:rFonts w:ascii="Roboto" w:eastAsia="Calibri" w:hAnsi="Roboto" w:cs="Arial"/>
          <w:color w:val="000000" w:themeColor="text1"/>
          <w:sz w:val="22"/>
          <w:szCs w:val="22"/>
        </w:rPr>
      </w:pPr>
      <w:r w:rsidRPr="006D3E56">
        <w:rPr>
          <w:rFonts w:ascii="Roboto" w:eastAsia="Calibri" w:hAnsi="Roboto" w:cs="Arial"/>
          <w:color w:val="000000" w:themeColor="text1"/>
          <w:sz w:val="22"/>
          <w:szCs w:val="22"/>
        </w:rPr>
        <w:t>Od ograničenja prava na pristup informacijama propisanih člankom 15. ZPPI-ja, zaštita osobnih podataka i nadalje predstavlja najčešće primjenjivano zakonsko ograničenje. Porast broja žalbenih postupaka protiv rješenja kojima je pristup informacijama ograničen zbog njihove klasifikacije posljedica je vođenja većeg broja istovrsnih postupaka pred Ministarstvom financija.</w:t>
      </w:r>
    </w:p>
    <w:p w14:paraId="6DDE3102" w14:textId="65B2DD7E" w:rsidR="00693599" w:rsidRPr="00C86404" w:rsidRDefault="00693599" w:rsidP="001F7977">
      <w:pPr>
        <w:pStyle w:val="Naslov1"/>
      </w:pPr>
      <w:bookmarkStart w:id="6" w:name="_Toc225867784"/>
      <w:r w:rsidRPr="00C86404">
        <w:t>Rješavanje žalbi</w:t>
      </w:r>
      <w:bookmarkEnd w:id="6"/>
    </w:p>
    <w:p w14:paraId="10955F32" w14:textId="77777777" w:rsidR="00A71F06" w:rsidRPr="006D3E56" w:rsidRDefault="00A71F06" w:rsidP="001F7977">
      <w:pPr>
        <w:rPr>
          <w:rFonts w:ascii="Roboto" w:eastAsia="Calibri" w:hAnsi="Roboto" w:cs="Arial"/>
          <w:sz w:val="22"/>
          <w:szCs w:val="22"/>
        </w:rPr>
      </w:pPr>
      <w:r w:rsidRPr="006D3E56">
        <w:rPr>
          <w:rFonts w:ascii="Roboto" w:eastAsia="Calibri" w:hAnsi="Roboto" w:cs="Arial"/>
          <w:sz w:val="22"/>
          <w:szCs w:val="22"/>
        </w:rPr>
        <w:t xml:space="preserve">S obzirom na to da je u određenom broju žalbenih predmeta bilo riječi o bitno istovjetnoj činjeničnoj i pravnoj osnovi, isti su sukladno članku 44. stavku 1. ZUP-a spojeni te je jednim drugostupanjskim rješenjem odlučeno o više podnesenih žalbi, a kako bi se prikazali podaci u odnosu na broj riješenih žalbi, koristio se broj zaprimljenih žalbi nakon spajanja predmeta, tj. 1.278 žalbi. </w:t>
      </w:r>
    </w:p>
    <w:p w14:paraId="4D71C546" w14:textId="77777777" w:rsidR="00A71F06" w:rsidRPr="006D3E56" w:rsidRDefault="00A71F06" w:rsidP="001F7977">
      <w:pPr>
        <w:rPr>
          <w:rFonts w:ascii="Roboto" w:eastAsia="Calibri" w:hAnsi="Roboto" w:cs="Arial"/>
          <w:sz w:val="22"/>
          <w:szCs w:val="22"/>
        </w:rPr>
      </w:pPr>
      <w:r w:rsidRPr="006D3E56">
        <w:rPr>
          <w:rFonts w:ascii="Roboto" w:eastAsia="Calibri" w:hAnsi="Roboto" w:cs="Arial"/>
          <w:sz w:val="22"/>
          <w:szCs w:val="22"/>
        </w:rPr>
        <w:t>Iz prethodnog razdoblja je u rad preneseno 229 žalbi, od kojih je 14 zaključkom spojeno, pa je uz žalbe zaprimljene u 2025., u rješavanju bilo ukupno 1.502 žalbi. Od ukupnog broja, riješeno je 1.207 žalbi ili 80,3%, dok je 295 žalbi (19,6%) ostalo neriješeno te su prenesene u rad u 2026., a među njima je i određeni broj onih kojima do 31. prosinca 2025. nije protekao zakonski rok za rješavanje, koji iznosi 60, odnosno 90 dana.</w:t>
      </w:r>
    </w:p>
    <w:p w14:paraId="20A9EC8B" w14:textId="77777777" w:rsidR="00A71F06" w:rsidRPr="006D3E56" w:rsidRDefault="00A71F06" w:rsidP="001F7977">
      <w:pPr>
        <w:rPr>
          <w:rFonts w:ascii="Roboto" w:eastAsia="Calibri" w:hAnsi="Roboto" w:cs="Arial"/>
          <w:sz w:val="22"/>
          <w:szCs w:val="22"/>
        </w:rPr>
      </w:pPr>
      <w:r w:rsidRPr="006D3E56">
        <w:rPr>
          <w:rFonts w:ascii="Roboto" w:eastAsia="Calibri" w:hAnsi="Roboto" w:cs="Arial"/>
          <w:sz w:val="22"/>
          <w:szCs w:val="22"/>
        </w:rPr>
        <w:t xml:space="preserve">U odnosu na ukupan broj žalbenih predmeta u rješavanju, na šutnju uprave se odnosilo 730 predmeta ili 48,6%, dok se 693 ili 46,1% predmeta odnosilo na rješenja kojima je u cijelosti ili djelomično odbijen ili odbačen zahtjev korisnika, 65 ili 4,3% predmeta na rješenja o prigovoru, a 14 ili 0,9% predmeta na druge akte tijela javne vlasti donesene u prvostupanjskom postupku (primjerice, obavijesti o produženju roka ili obavijesti o ustupanju zahtjeva). </w:t>
      </w:r>
    </w:p>
    <w:p w14:paraId="31E4495E" w14:textId="77777777" w:rsidR="00A71F06" w:rsidRPr="006D3E56" w:rsidRDefault="00A71F06" w:rsidP="001F7977">
      <w:pPr>
        <w:rPr>
          <w:rFonts w:ascii="Roboto" w:hAnsi="Roboto"/>
          <w:sz w:val="22"/>
          <w:szCs w:val="22"/>
        </w:rPr>
      </w:pPr>
      <w:r w:rsidRPr="006D3E56">
        <w:rPr>
          <w:rFonts w:ascii="Roboto" w:eastAsia="Calibri" w:hAnsi="Roboto" w:cs="Arial"/>
          <w:sz w:val="22"/>
          <w:szCs w:val="22"/>
        </w:rPr>
        <w:lastRenderedPageBreak/>
        <w:t xml:space="preserve">Vezano za vrstu zahtjeva, Povjerenik je tijekom 2025. riješio 1.203 ili 80,1% žalbi koje su se odnosile na pristup informacijama i 4 ili 0,3% žalbi koje su se odnosile na ponovnu uporabu informacija.  U odnosu na žalbe koje su se odnosile na zahtjeve za pristup informacijama, tijekom 2025. je  u radu bilo 1.496 predmeta, od kojih je riješeno 1.203.  Povjerenik je riješio </w:t>
      </w:r>
      <w:r w:rsidRPr="006D3E56">
        <w:rPr>
          <w:rFonts w:ascii="Roboto" w:hAnsi="Roboto"/>
          <w:sz w:val="22"/>
          <w:szCs w:val="22"/>
        </w:rPr>
        <w:t>614 predmeta povodom šutnje uprave.</w:t>
      </w:r>
    </w:p>
    <w:p w14:paraId="1DDF6FD2" w14:textId="6A89A7BA" w:rsidR="00A71F06" w:rsidRPr="006D3E56" w:rsidRDefault="00A71F06" w:rsidP="001F7977">
      <w:pPr>
        <w:pBdr>
          <w:top w:val="single" w:sz="4" w:space="1" w:color="auto"/>
          <w:left w:val="single" w:sz="4" w:space="4" w:color="auto"/>
          <w:bottom w:val="single" w:sz="4" w:space="1" w:color="auto"/>
          <w:right w:val="single" w:sz="4" w:space="4" w:color="auto"/>
        </w:pBdr>
        <w:rPr>
          <w:rFonts w:ascii="Roboto" w:eastAsia="Calibri" w:hAnsi="Roboto" w:cs="Arial"/>
          <w:sz w:val="22"/>
          <w:szCs w:val="22"/>
        </w:rPr>
      </w:pPr>
      <w:r w:rsidRPr="006D3E56">
        <w:rPr>
          <w:rFonts w:ascii="Roboto" w:eastAsia="Calibri" w:hAnsi="Roboto" w:cs="Arial"/>
          <w:sz w:val="22"/>
          <w:szCs w:val="22"/>
        </w:rPr>
        <w:t xml:space="preserve">Iz </w:t>
      </w:r>
      <w:r w:rsidR="002846FB">
        <w:rPr>
          <w:rFonts w:ascii="Roboto" w:eastAsia="Calibri" w:hAnsi="Roboto" w:cs="Arial"/>
          <w:sz w:val="22"/>
          <w:szCs w:val="22"/>
        </w:rPr>
        <w:t>analize</w:t>
      </w:r>
      <w:r w:rsidRPr="006D3E56">
        <w:rPr>
          <w:rFonts w:ascii="Roboto" w:eastAsia="Calibri" w:hAnsi="Roboto" w:cs="Arial"/>
          <w:sz w:val="22"/>
          <w:szCs w:val="22"/>
        </w:rPr>
        <w:t xml:space="preserve"> podataka proizlazi da je u 39,3% predmeta koji su se vodili po žalbama izjavljenima zbog šutnje uprave, izjavljivanje žalbe Povjereniku bilo poticaj tijelima da odluče o zahtjevu te nije bilo potrebe za daljnjim provođenjem drugostupanjskog postupka, što je smanjenje u odnosu na 2024. (54,3% donesenih rješenja o obustavi postupka). Broj slučajeva u kojima je Povjerenik tijelima javne vlasti naložio rješavanje zahtjeva, ostao je na istoj razini (25,6%) kao u prethodnom izvještajnom razdoblju (25,1%). Iz broja slučajeva u kojima se žalbe odbacuju (25,1%) može se zaključiti kako podnositeljima žalbi nisu poznate odredbe ZUP-a o računanju rokova i urednosti žalbi, ali ukazuje i na nevoljkost podnositelja na ispravak neurednih i nepotpunih žalbi.</w:t>
      </w:r>
    </w:p>
    <w:p w14:paraId="1FD18882" w14:textId="329EB63E" w:rsidR="00A71F06" w:rsidRPr="006D3E56" w:rsidRDefault="00A71F06" w:rsidP="001F7977">
      <w:pPr>
        <w:rPr>
          <w:rFonts w:ascii="Roboto" w:hAnsi="Roboto"/>
          <w:sz w:val="22"/>
          <w:szCs w:val="22"/>
        </w:rPr>
      </w:pPr>
      <w:r w:rsidRPr="006D3E56">
        <w:rPr>
          <w:rFonts w:ascii="Roboto" w:hAnsi="Roboto"/>
          <w:sz w:val="22"/>
          <w:szCs w:val="22"/>
        </w:rPr>
        <w:t xml:space="preserve">Povjerenik je riješio 525 žalbi na odbijajuća i </w:t>
      </w:r>
      <w:proofErr w:type="spellStart"/>
      <w:r w:rsidRPr="006D3E56">
        <w:rPr>
          <w:rFonts w:ascii="Roboto" w:hAnsi="Roboto"/>
          <w:sz w:val="22"/>
          <w:szCs w:val="22"/>
        </w:rPr>
        <w:t>odbacujuća</w:t>
      </w:r>
      <w:proofErr w:type="spellEnd"/>
      <w:r w:rsidRPr="006D3E56">
        <w:rPr>
          <w:rFonts w:ascii="Roboto" w:hAnsi="Roboto"/>
          <w:sz w:val="22"/>
          <w:szCs w:val="22"/>
        </w:rPr>
        <w:t xml:space="preserve"> prvostupanjska rješenja u predmetima ostvarivanja prava na pristup informacijama</w:t>
      </w:r>
      <w:r w:rsidR="002846FB">
        <w:rPr>
          <w:rFonts w:ascii="Roboto" w:hAnsi="Roboto"/>
          <w:sz w:val="22"/>
          <w:szCs w:val="22"/>
        </w:rPr>
        <w:t>.</w:t>
      </w:r>
    </w:p>
    <w:p w14:paraId="446EA610" w14:textId="77777777" w:rsidR="00A71F06" w:rsidRPr="006D3E56" w:rsidRDefault="00A71F06" w:rsidP="001F7977">
      <w:pPr>
        <w:pBdr>
          <w:top w:val="single" w:sz="4" w:space="1" w:color="auto"/>
          <w:left w:val="single" w:sz="4" w:space="4" w:color="auto"/>
          <w:bottom w:val="single" w:sz="4" w:space="1" w:color="auto"/>
          <w:right w:val="single" w:sz="4" w:space="4" w:color="auto"/>
        </w:pBdr>
        <w:rPr>
          <w:rFonts w:ascii="Roboto" w:eastAsia="Calibri" w:hAnsi="Roboto" w:cs="Arial"/>
          <w:sz w:val="22"/>
          <w:szCs w:val="22"/>
        </w:rPr>
      </w:pPr>
      <w:r w:rsidRPr="006D3E56">
        <w:rPr>
          <w:rFonts w:ascii="Roboto" w:eastAsia="Calibri" w:hAnsi="Roboto" w:cs="Arial"/>
          <w:sz w:val="22"/>
          <w:szCs w:val="22"/>
        </w:rPr>
        <w:t>Prema dostupnim podacima, u 55,8% postupaka po žalbi postupanje tijela javne vlasti ocijenjeno je zakonitim i pravilnim, dok je u 33,3% slučajeva utvrđeno da odluka nije bila u skladu s odredbama ZPPI-ja te je rješenje poništeno odnosno odluka izmijenjena. Iako s malim poboljšanjem, takvi rezultati na razini su prošlogodišnjih, s obzirom na to da je 2024. godine udio zakonitog i pravilnog postupanja iznosio 53,8%.</w:t>
      </w:r>
    </w:p>
    <w:p w14:paraId="63E58E8C" w14:textId="77777777" w:rsidR="00A71F06" w:rsidRPr="006D3E56" w:rsidRDefault="00A71F06" w:rsidP="001F7977">
      <w:pPr>
        <w:rPr>
          <w:rFonts w:ascii="Roboto" w:hAnsi="Roboto"/>
          <w:sz w:val="22"/>
          <w:szCs w:val="22"/>
        </w:rPr>
      </w:pPr>
      <w:r w:rsidRPr="006D3E56">
        <w:rPr>
          <w:rFonts w:ascii="Roboto" w:hAnsi="Roboto"/>
          <w:sz w:val="22"/>
          <w:szCs w:val="22"/>
        </w:rPr>
        <w:t>Povjerenik je donio 50 odluka u predmetima koji su se vodili po žalbama izjavljenima protiv rješenja kojima su čelnici tijela javne vlasti odlučivali o prigovorima korisnika izjavljenima protiv obavijesti iz članka 23. stavka 1. točke 2.-6. ZPPI-ja.</w:t>
      </w:r>
    </w:p>
    <w:p w14:paraId="789A8FC9" w14:textId="77777777" w:rsidR="00A71F06" w:rsidRPr="006D3E56" w:rsidRDefault="00A71F06" w:rsidP="001F7977">
      <w:pPr>
        <w:pBdr>
          <w:top w:val="single" w:sz="4" w:space="1" w:color="auto"/>
          <w:left w:val="single" w:sz="4" w:space="4" w:color="auto"/>
          <w:bottom w:val="single" w:sz="4" w:space="1" w:color="auto"/>
          <w:right w:val="single" w:sz="4" w:space="4" w:color="auto"/>
        </w:pBdr>
        <w:rPr>
          <w:rFonts w:ascii="Roboto" w:eastAsia="Calibri" w:hAnsi="Roboto" w:cs="Arial"/>
          <w:sz w:val="22"/>
          <w:szCs w:val="22"/>
        </w:rPr>
      </w:pPr>
      <w:r w:rsidRPr="006D3E56">
        <w:rPr>
          <w:rFonts w:ascii="Roboto" w:eastAsia="Calibri" w:hAnsi="Roboto" w:cs="Arial"/>
          <w:sz w:val="22"/>
          <w:szCs w:val="22"/>
        </w:rPr>
        <w:t>U pogledu rješavanja zahtjeva primjenom članka 23. stavaka 1. i 2., odnosno donošenjem obavijesti, podaci pokazuju da je u 56% postupaka po žalbi postupanje tijela javne vlasti ocijenjeno zakonitim i pravilnim, što je više nego 2024. godine, kada je taj udio iznosio 42,2%. S druge strane, u 40% slučajeva utvrđeno je da odluka nije bila u skladu s odredbama ZPPI-ja, zbog čega je rješenje poništeno te je predmet vraćen na ponovni postupak ili je odluka izmijenjena. To predstavlja manji udio u odnosu na 2024., kada je poništeno 46,9% rješenja. Ukupno gledano, podaci upućuju na višu razinu zakonitog i pravilnog rješavanja zahtjeva za pristup informacijama u odnosu na prethodno izvještajno razdoblje.</w:t>
      </w:r>
    </w:p>
    <w:p w14:paraId="5C8B06AE" w14:textId="77777777" w:rsidR="00A71F06" w:rsidRPr="006D3E56" w:rsidRDefault="00A71F06" w:rsidP="001F7977">
      <w:pPr>
        <w:rPr>
          <w:rFonts w:ascii="Roboto" w:hAnsi="Roboto" w:cs="Arial"/>
          <w:sz w:val="22"/>
          <w:szCs w:val="22"/>
        </w:rPr>
      </w:pPr>
      <w:r w:rsidRPr="006D3E56">
        <w:rPr>
          <w:rFonts w:ascii="Roboto" w:hAnsi="Roboto"/>
          <w:sz w:val="22"/>
          <w:szCs w:val="22"/>
        </w:rPr>
        <w:t xml:space="preserve">U </w:t>
      </w:r>
      <w:r w:rsidRPr="006D3E56">
        <w:rPr>
          <w:rFonts w:ascii="Roboto" w:hAnsi="Roboto" w:cs="Arial"/>
          <w:sz w:val="22"/>
          <w:szCs w:val="22"/>
        </w:rPr>
        <w:t>nastavku se navode odluke o žalbama po pojedinim kategorijama tijela javne vlasti, koje su donesene u žalbenim postupcima vezano za zahtjeve za pristup informacijama.</w:t>
      </w:r>
    </w:p>
    <w:p w14:paraId="5C8C3A5E" w14:textId="77777777" w:rsidR="00A71F06" w:rsidRPr="006D3E56" w:rsidRDefault="00A71F06" w:rsidP="001F7977">
      <w:pPr>
        <w:rPr>
          <w:rFonts w:ascii="Roboto" w:hAnsi="Roboto"/>
          <w:sz w:val="22"/>
          <w:szCs w:val="22"/>
        </w:rPr>
      </w:pPr>
      <w:r w:rsidRPr="006D3E56">
        <w:rPr>
          <w:rFonts w:ascii="Roboto" w:hAnsi="Roboto"/>
          <w:sz w:val="22"/>
          <w:szCs w:val="22"/>
        </w:rPr>
        <w:t>U izvještajnom razdoblju Povjerenik je zaprimio 40 žalbi vezanih za zahtjeve za pristup informacijama koji su upućeni državnim tijelima te je zajedno s prenesenim žalbama iz 2024. u radu imao ukupno 42 žalbe, od kojih su riješene 34 (80,9%).</w:t>
      </w:r>
    </w:p>
    <w:tbl>
      <w:tblPr>
        <w:tblStyle w:val="Reetkatablice"/>
        <w:tblW w:w="9067" w:type="dxa"/>
        <w:tblLook w:val="04A0" w:firstRow="1" w:lastRow="0" w:firstColumn="1" w:lastColumn="0" w:noHBand="0" w:noVBand="1"/>
      </w:tblPr>
      <w:tblGrid>
        <w:gridCol w:w="9067"/>
      </w:tblGrid>
      <w:tr w:rsidR="00A71F06" w:rsidRPr="006D3E56" w14:paraId="645DDF9C" w14:textId="77777777" w:rsidTr="00DF7854">
        <w:tc>
          <w:tcPr>
            <w:tcW w:w="9067" w:type="dxa"/>
          </w:tcPr>
          <w:p w14:paraId="0AA81D57" w14:textId="77777777" w:rsidR="00A71F06" w:rsidRPr="006D3E56" w:rsidRDefault="00A71F06" w:rsidP="001F7977">
            <w:pPr>
              <w:rPr>
                <w:rFonts w:ascii="Roboto" w:hAnsi="Roboto"/>
                <w:sz w:val="22"/>
                <w:szCs w:val="22"/>
              </w:rPr>
            </w:pPr>
            <w:r w:rsidRPr="006D3E56">
              <w:rPr>
                <w:rFonts w:ascii="Roboto" w:hAnsi="Roboto"/>
                <w:sz w:val="22"/>
                <w:szCs w:val="22"/>
              </w:rPr>
              <w:t xml:space="preserve">Na temelju obrađenih podataka vidljivo je da je kada se radi o žalbama zbog šutnje uprave u odnosu na sva državna tijela, u 15,8% slučajeva doneseno rješenje o obustavi postupka jer je državno tijelo postupilo po izjavljenoj žalbi i riješilo zahtjev, da je u 21% slučajeva </w:t>
            </w:r>
            <w:r w:rsidRPr="006D3E56">
              <w:rPr>
                <w:rFonts w:ascii="Roboto" w:hAnsi="Roboto"/>
                <w:sz w:val="22"/>
                <w:szCs w:val="22"/>
              </w:rPr>
              <w:lastRenderedPageBreak/>
              <w:t>Povjerenik žalbu odbio kao neosnovanu, da je u 31,6% slučajeva žalba odbačena kao nedopuštena, da je u 26,32% slučajeva žalba odbačena kao nepotpuna te da je u 5,3% slučajeva naloženo rješavanje zahtjeva.</w:t>
            </w:r>
          </w:p>
          <w:p w14:paraId="6E7A4960" w14:textId="77777777" w:rsidR="00A71F06" w:rsidRPr="006D3E56" w:rsidRDefault="00A71F06" w:rsidP="001F7977">
            <w:pPr>
              <w:rPr>
                <w:rFonts w:ascii="Roboto" w:hAnsi="Roboto"/>
                <w:sz w:val="22"/>
                <w:szCs w:val="22"/>
              </w:rPr>
            </w:pPr>
            <w:r w:rsidRPr="006D3E56">
              <w:rPr>
                <w:rFonts w:ascii="Roboto" w:hAnsi="Roboto"/>
                <w:sz w:val="22"/>
                <w:szCs w:val="22"/>
              </w:rPr>
              <w:t>U predmetima ostvarivanja prava na pristup informacijama kada se radi o žalbama izjavljenim na rješenja državnih tijela rezultati žalbenih postupaka ukazuju da su državna tijela u 66,7% slučajeva donijela rješenja koja su utemeljena na zakonu, a u 33,3 % slučajeva rješenja koja nisu u skladu s odredbama ZPPI-ja. Kada se usporede rezultati s prethodnim izvještajnim razdobljem razvidno je da je došlo do porasta slučajeva u kojima su donesena rješenja koja su utemeljena na zakonu (2024. - 50% slučajeva).</w:t>
            </w:r>
          </w:p>
        </w:tc>
      </w:tr>
    </w:tbl>
    <w:p w14:paraId="55C38AAC" w14:textId="77777777" w:rsidR="00A71F06" w:rsidRPr="006D3E56" w:rsidRDefault="00A71F06" w:rsidP="001F7977">
      <w:pPr>
        <w:rPr>
          <w:rFonts w:ascii="Roboto" w:hAnsi="Roboto"/>
          <w:sz w:val="22"/>
          <w:szCs w:val="22"/>
        </w:rPr>
      </w:pPr>
      <w:r w:rsidRPr="006D3E56">
        <w:rPr>
          <w:rFonts w:ascii="Roboto" w:hAnsi="Roboto"/>
          <w:sz w:val="22"/>
          <w:szCs w:val="22"/>
        </w:rPr>
        <w:lastRenderedPageBreak/>
        <w:t>Tijekom 2025. u odnosu na zahtjeve za pristup informacijama koji su upućeni tijelima državne uprave Povjerenik je zaprimio 328 žalbi, od čega 182 žalbe zbog šutnje uprave, 104 žalbe na odbijajuća rješenja, 23 žalbe na rješenja o odbacivanju zahtjeva, 2 žalbe na obavijest te 17 žalbi protiv rješenja o prigovoru.</w:t>
      </w:r>
    </w:p>
    <w:p w14:paraId="49ABD0DC" w14:textId="77777777" w:rsidR="00A71F06" w:rsidRPr="006D3E56" w:rsidRDefault="00A71F06" w:rsidP="001F7977">
      <w:pPr>
        <w:rPr>
          <w:rFonts w:ascii="Roboto" w:hAnsi="Roboto"/>
          <w:sz w:val="22"/>
          <w:szCs w:val="22"/>
        </w:rPr>
      </w:pPr>
      <w:r w:rsidRPr="006D3E56">
        <w:rPr>
          <w:rFonts w:ascii="Roboto" w:hAnsi="Roboto"/>
          <w:sz w:val="22"/>
          <w:szCs w:val="22"/>
        </w:rPr>
        <w:t>Žalbe koje se odnose na šutnju uprave riješene su na način da su donesena 34 (20,1%) rješenja kojima je žalba odbačena kao nedopuštena ili nepravovremena odnosno nepotpuna, 87 (51,5%) rješenja o obustavi postupka, 13 (7,7%) rješenja o odbijanju žalbe te 35 (20,7%) rješenja kojima je naloženo rješavanje zahtjeva.</w:t>
      </w:r>
    </w:p>
    <w:p w14:paraId="5F78711F" w14:textId="77777777" w:rsidR="00A71F06" w:rsidRPr="006D3E56" w:rsidRDefault="00A71F06" w:rsidP="001F7977">
      <w:pPr>
        <w:rPr>
          <w:rFonts w:ascii="Roboto" w:hAnsi="Roboto"/>
          <w:sz w:val="22"/>
          <w:szCs w:val="22"/>
        </w:rPr>
      </w:pPr>
      <w:r w:rsidRPr="006D3E56">
        <w:rPr>
          <w:rFonts w:ascii="Roboto" w:hAnsi="Roboto"/>
          <w:sz w:val="22"/>
          <w:szCs w:val="22"/>
        </w:rPr>
        <w:t>Kada se radi o odbijajućim rješenjima ili rješenjima o odbacivanju zahtjeva, te rješenjima o prigovoru, riješeno je 133 (82,1%) žalbi na način da je u 100 (75,2%) predmeta utvrđeno da su tijela državne uprave pravilno i zakonito riješila zahtjev te je žalba odbijena kao neosnovana i potvrđena su rješenja tijela državne uprave, dok je u 25 (18,8%) predmeta utvrđeno da su rješenja tijela državne uprave nezakonita te su ista poništena na način da je Povjerenik omogućio žalitelju pristup informaciji u 14 predmeta, u 9 predmeta rješenje je poništeno i predmet vraćen na ponovni postupak, a u 2 predmeta poništeno rješenje i riješen zahtjev. Nadalje, u 2 (1,5%) predmeta doneseno je rješenje o odbacivanju žalbe kao nepotpune odnosno nepravovremene, a u  3 (2,3%) predmeta rješenjem je obustavljen postupak. Prvostupanjsko tijelo samo je riješilo žalbu po članku 113. ZUP-a u 3 (2,3%) predmeta.</w:t>
      </w:r>
    </w:p>
    <w:p w14:paraId="2A988D00" w14:textId="77777777" w:rsidR="00A71F06" w:rsidRPr="006D3E56" w:rsidRDefault="00A71F06" w:rsidP="001F7977">
      <w:pPr>
        <w:rPr>
          <w:rFonts w:ascii="Roboto" w:hAnsi="Roboto"/>
          <w:sz w:val="22"/>
          <w:szCs w:val="22"/>
        </w:rPr>
      </w:pPr>
      <w:r w:rsidRPr="006D3E56">
        <w:rPr>
          <w:rFonts w:ascii="Roboto" w:hAnsi="Roboto"/>
          <w:sz w:val="22"/>
          <w:szCs w:val="22"/>
        </w:rPr>
        <w:t>Dvije zaprimljene žalbe na obavijest, riješene su na način da su iste rješenjem Povjerenika odbačene kao nedopuštene.</w:t>
      </w:r>
    </w:p>
    <w:tbl>
      <w:tblPr>
        <w:tblStyle w:val="Reetkatablice"/>
        <w:tblW w:w="0" w:type="auto"/>
        <w:tblLook w:val="04A0" w:firstRow="1" w:lastRow="0" w:firstColumn="1" w:lastColumn="0" w:noHBand="0" w:noVBand="1"/>
      </w:tblPr>
      <w:tblGrid>
        <w:gridCol w:w="9062"/>
      </w:tblGrid>
      <w:tr w:rsidR="00A71F06" w:rsidRPr="006D3E56" w14:paraId="1BBCB5FA" w14:textId="77777777" w:rsidTr="00DF7854">
        <w:tc>
          <w:tcPr>
            <w:tcW w:w="16579" w:type="dxa"/>
          </w:tcPr>
          <w:p w14:paraId="39661191" w14:textId="77777777" w:rsidR="00A71F06" w:rsidRPr="006D3E56" w:rsidRDefault="00A71F06" w:rsidP="001F7977">
            <w:pPr>
              <w:rPr>
                <w:rFonts w:ascii="Roboto" w:hAnsi="Roboto"/>
                <w:sz w:val="22"/>
                <w:szCs w:val="22"/>
              </w:rPr>
            </w:pPr>
            <w:r w:rsidRPr="006D3E56">
              <w:rPr>
                <w:rFonts w:ascii="Roboto" w:hAnsi="Roboto"/>
                <w:sz w:val="22"/>
                <w:szCs w:val="22"/>
              </w:rPr>
              <w:t>Na temelju obrađenih podataka vidljivo je da tijela državne uprave i dalje kasne s rješavanjem zahtjeva i tako iniciraju podnošenje žalbi zbog šutnje uprave. Međutim, kada je riječ  o žalbama izjavljenim na rješenja tijela državne uprave (odbijajuća rješenja, rješenja o odbacivanju zahtjeva te rješenja o prigovoru) iz obrađenih podataka proizlazi da je u odnosu na prethodno izvještajno razdoblje došlo do povećanja broja rješenja koja su potvrđena od strane Povjerenika (2024. - 42%, 2025. - 75,2%).</w:t>
            </w:r>
          </w:p>
        </w:tc>
      </w:tr>
    </w:tbl>
    <w:p w14:paraId="319E0A8B" w14:textId="77777777" w:rsidR="00A71F06" w:rsidRPr="006D3E56" w:rsidRDefault="00A71F06" w:rsidP="001F7977">
      <w:pPr>
        <w:rPr>
          <w:rFonts w:ascii="Roboto" w:hAnsi="Roboto"/>
          <w:sz w:val="22"/>
          <w:szCs w:val="22"/>
        </w:rPr>
      </w:pPr>
      <w:r w:rsidRPr="006D3E56">
        <w:rPr>
          <w:rFonts w:ascii="Roboto" w:hAnsi="Roboto"/>
          <w:sz w:val="22"/>
          <w:szCs w:val="22"/>
        </w:rPr>
        <w:t>Kada se radi o zahtjevima za pristup informacijama koji su upućeni JLP(R)S, Povjerenik je tijekom 2025. zaprimio 352 žalbe od čega 189 (53,7%) zbog šutnje uprave, 116 (32,9%) na odbijajuća rješenja, 1 (0,3%) na rješenje o obustavi postupka, 3 (0,8%) na obavijest, 1 (0,3%) protiv rješenja o odbacivanju prigovora, 7 (2%) protiv rješenja o prigovoru, 1 (0,3%) protiv rješenja o odbacivanju žalbe, te 34 (9,7%) protiv rješenja o odbacivanju zahtjeva.</w:t>
      </w:r>
    </w:p>
    <w:p w14:paraId="17073E5B" w14:textId="77777777" w:rsidR="00A71F06" w:rsidRPr="006D3E56" w:rsidRDefault="00A71F06" w:rsidP="001F7977">
      <w:pPr>
        <w:rPr>
          <w:rFonts w:ascii="Roboto" w:hAnsi="Roboto"/>
          <w:sz w:val="22"/>
          <w:szCs w:val="22"/>
        </w:rPr>
      </w:pPr>
      <w:r w:rsidRPr="006D3E56">
        <w:rPr>
          <w:rFonts w:ascii="Roboto" w:hAnsi="Roboto"/>
          <w:sz w:val="22"/>
          <w:szCs w:val="22"/>
        </w:rPr>
        <w:lastRenderedPageBreak/>
        <w:t xml:space="preserve">Od ukupnog broja riješenih žalbi, 175 žalbi odnosilo se na šutnju uprave, od kojih je 30 (17,1%) žalbi bilo nedopušteno, nepravovremeno ili nepotpuno, 7 (4%) je bilo neosnovanih, dok je u 60  (34,3%) predmeta Povjerenik naložio rješavanje zahtjeva, a u 78 (44,6%) predmeta zahtjev je u međuvremenu riješen pa je postupak obustavljen. </w:t>
      </w:r>
    </w:p>
    <w:tbl>
      <w:tblPr>
        <w:tblStyle w:val="Reetkatablice"/>
        <w:tblW w:w="9067" w:type="dxa"/>
        <w:tblLook w:val="04A0" w:firstRow="1" w:lastRow="0" w:firstColumn="1" w:lastColumn="0" w:noHBand="0" w:noVBand="1"/>
      </w:tblPr>
      <w:tblGrid>
        <w:gridCol w:w="9067"/>
      </w:tblGrid>
      <w:tr w:rsidR="00A71F06" w:rsidRPr="006D3E56" w14:paraId="0D08D8A4" w14:textId="77777777" w:rsidTr="00DF7854">
        <w:tc>
          <w:tcPr>
            <w:tcW w:w="9067" w:type="dxa"/>
          </w:tcPr>
          <w:p w14:paraId="0BEFE3F5" w14:textId="5C5D6C14" w:rsidR="00A71F06" w:rsidRPr="006D3E56" w:rsidRDefault="00A71F06" w:rsidP="001F7977">
            <w:pPr>
              <w:rPr>
                <w:rFonts w:ascii="Roboto" w:hAnsi="Roboto"/>
                <w:sz w:val="22"/>
                <w:szCs w:val="22"/>
              </w:rPr>
            </w:pPr>
            <w:r w:rsidRPr="006D3E56">
              <w:rPr>
                <w:rFonts w:ascii="Roboto" w:hAnsi="Roboto"/>
                <w:sz w:val="22"/>
                <w:szCs w:val="22"/>
              </w:rPr>
              <w:t>Na temelju obrađenih podataka vidljivo je da je kod JLP(R)S u 44,6% slučajeva šutnje uprave samo podnošenje žalbe bi</w:t>
            </w:r>
            <w:r w:rsidR="004055E1">
              <w:rPr>
                <w:rFonts w:ascii="Roboto" w:hAnsi="Roboto"/>
                <w:sz w:val="22"/>
                <w:szCs w:val="22"/>
              </w:rPr>
              <w:t>l</w:t>
            </w:r>
            <w:r w:rsidRPr="006D3E56">
              <w:rPr>
                <w:rFonts w:ascii="Roboto" w:hAnsi="Roboto"/>
                <w:sz w:val="22"/>
                <w:szCs w:val="22"/>
              </w:rPr>
              <w:t xml:space="preserve">o poticaj da se riješi zahtjev, a što bi značilo da u tim slučajevima nije ni bilo razloga za </w:t>
            </w:r>
            <w:proofErr w:type="spellStart"/>
            <w:r w:rsidRPr="006D3E56">
              <w:rPr>
                <w:rFonts w:ascii="Roboto" w:hAnsi="Roboto"/>
                <w:sz w:val="22"/>
                <w:szCs w:val="22"/>
              </w:rPr>
              <w:t>nepostupanje</w:t>
            </w:r>
            <w:proofErr w:type="spellEnd"/>
            <w:r w:rsidRPr="006D3E56">
              <w:rPr>
                <w:rFonts w:ascii="Roboto" w:hAnsi="Roboto"/>
                <w:sz w:val="22"/>
                <w:szCs w:val="22"/>
              </w:rPr>
              <w:t xml:space="preserve"> po podnesenim zahtjevima te se moglo izbjeći vođenje žalbenog postupka. Također, vidljivo je da su JLP(R)S u 34,3% slučajeva i dalje ignorirale zahtjeve odnosno nisu ih riješile u roku i na način propisan odredbama ZPPI-ja unatoč izjavljivanju žalbe, tako da je Povjerenik morao naložiti rješavanje zahtjeva. Ako se usporede podaci s prošlim  izvještajnim razdobljem u kojem je bilo 25,8% slučajeva u kojima JLP(R)S ne donose odluku dok ih na to formalno ne obveže Povjerenik, vidljivo je da je došlo do povećanja broja takvih slučajeva na 34,3%.</w:t>
            </w:r>
          </w:p>
        </w:tc>
      </w:tr>
    </w:tbl>
    <w:p w14:paraId="276BCC9E" w14:textId="77777777" w:rsidR="00A71F06" w:rsidRPr="006D3E56" w:rsidRDefault="00A71F06" w:rsidP="00C07555">
      <w:pPr>
        <w:spacing w:before="120"/>
        <w:rPr>
          <w:rFonts w:ascii="Roboto" w:hAnsi="Roboto"/>
          <w:sz w:val="22"/>
          <w:szCs w:val="22"/>
        </w:rPr>
      </w:pPr>
      <w:r w:rsidRPr="006D3E56">
        <w:rPr>
          <w:rFonts w:ascii="Roboto" w:hAnsi="Roboto"/>
          <w:sz w:val="22"/>
          <w:szCs w:val="22"/>
        </w:rPr>
        <w:t>Kada je riječ o odbijajućim rješenjima, rješenjima o odbacivanju zahtjeva, rješenjima o prigovoru, rješenjima o odbacivanju prigovora, te rješenjima o obustavi postupka riješene su 132 (42,6%) žalbe na način da je utvrđeno da su JLP(R)S pravilno i zakonito riješile 73 (55,3%) predmeta, dok je u 50 (37,9%) predmeta utvrđeno da su rješenja nezakonita pa je tako u 22 predmeta rješenje poništeno i žalitelju omogućen pristup informaciji, u 24 predmeta rješenje poništeno i predmet vraćen na ponovni postupak, u 4 predmeta rješenje poništeno i Povjerenik je riješio zahtjev. Također, u 2 (1,5%) predmeta žalba je odbačena kao nepotpuna, u 5 (3,8%) predmeta je rješenje oglašeno ništavim te je u 2 (1,5%) predmeta prvostupanjsko tijelo samo riješilo žalbu po članku 113. ZUP-a.</w:t>
      </w:r>
    </w:p>
    <w:p w14:paraId="6D959659" w14:textId="77777777" w:rsidR="00A71F06" w:rsidRPr="006D3E56" w:rsidRDefault="00A71F06" w:rsidP="001F7977">
      <w:pPr>
        <w:rPr>
          <w:rFonts w:ascii="Roboto" w:hAnsi="Roboto"/>
          <w:sz w:val="22"/>
          <w:szCs w:val="22"/>
        </w:rPr>
      </w:pPr>
      <w:r w:rsidRPr="006D3E56">
        <w:rPr>
          <w:rFonts w:ascii="Roboto" w:hAnsi="Roboto"/>
          <w:sz w:val="22"/>
          <w:szCs w:val="22"/>
        </w:rPr>
        <w:t>Od 3 izjavljene žalbe na obavijest sve tri su odbačene kao nedopuštene.</w:t>
      </w:r>
    </w:p>
    <w:tbl>
      <w:tblPr>
        <w:tblStyle w:val="Reetkatablice"/>
        <w:tblW w:w="0" w:type="auto"/>
        <w:tblLook w:val="04A0" w:firstRow="1" w:lastRow="0" w:firstColumn="1" w:lastColumn="0" w:noHBand="0" w:noVBand="1"/>
      </w:tblPr>
      <w:tblGrid>
        <w:gridCol w:w="9062"/>
      </w:tblGrid>
      <w:tr w:rsidR="00A71F06" w:rsidRPr="006D3E56" w14:paraId="3E099BB9" w14:textId="77777777" w:rsidTr="00DF7854">
        <w:tc>
          <w:tcPr>
            <w:tcW w:w="16721" w:type="dxa"/>
          </w:tcPr>
          <w:p w14:paraId="1EB5C314" w14:textId="77777777" w:rsidR="00A71F06" w:rsidRPr="006D3E56" w:rsidRDefault="00A71F06" w:rsidP="001F7977">
            <w:pPr>
              <w:rPr>
                <w:rFonts w:ascii="Roboto" w:hAnsi="Roboto"/>
                <w:sz w:val="22"/>
                <w:szCs w:val="22"/>
              </w:rPr>
            </w:pPr>
            <w:r w:rsidRPr="006D3E56">
              <w:rPr>
                <w:rFonts w:ascii="Roboto" w:hAnsi="Roboto"/>
                <w:sz w:val="22"/>
                <w:szCs w:val="22"/>
              </w:rPr>
              <w:t>Na temelju obrađenih podataka vidljivo je da je u odnosu na prethodno izvještajno razdoblje kada se radilo o 26,9% slučajeva, u 2025. godini došlo do povećanja broja slučajeva uskrate pristupa informacijama na temelju nezakonitih odluka donesenih od strane JLP(R)S na 37,9%. Razlozi navedenom su i dalje</w:t>
            </w:r>
            <w:r w:rsidRPr="006D3E56">
              <w:rPr>
                <w:rFonts w:ascii="Roboto" w:hAnsi="Roboto"/>
                <w:color w:val="CBD3DE" w:themeColor="text2" w:themeTint="40"/>
                <w:sz w:val="22"/>
                <w:szCs w:val="22"/>
              </w:rPr>
              <w:t xml:space="preserve"> </w:t>
            </w:r>
            <w:r w:rsidRPr="006D3E56">
              <w:rPr>
                <w:rFonts w:ascii="Roboto" w:hAnsi="Roboto"/>
                <w:color w:val="000000" w:themeColor="text1"/>
                <w:sz w:val="22"/>
                <w:szCs w:val="22"/>
              </w:rPr>
              <w:t>nedostatak potrebnih stručnih kapaciteta, nedovoljno poznavanje propisa, odnosi čelnika i korisnika kada su zahtjevi potaknuti ili provocirani razlozima osobne prirode.</w:t>
            </w:r>
          </w:p>
        </w:tc>
      </w:tr>
    </w:tbl>
    <w:p w14:paraId="72C83ECF" w14:textId="77777777" w:rsidR="00A71F06" w:rsidRPr="006D3E56" w:rsidRDefault="00A71F06" w:rsidP="00C07555">
      <w:pPr>
        <w:spacing w:before="120"/>
        <w:rPr>
          <w:rFonts w:ascii="Roboto" w:hAnsi="Roboto"/>
          <w:sz w:val="22"/>
          <w:szCs w:val="22"/>
        </w:rPr>
      </w:pPr>
      <w:r w:rsidRPr="006D3E56">
        <w:rPr>
          <w:rFonts w:ascii="Roboto" w:hAnsi="Roboto"/>
          <w:sz w:val="22"/>
          <w:szCs w:val="22"/>
        </w:rPr>
        <w:t>Povjerenik je tijekom 2025. godine u odnosu na zahtjeve za pristup informacijama koji su upućeni  pravosudnim tijelima zaprimio 99 žalbi, od kojih 41 zbog šutnje uprave, 40 na rješenja o odbijanju, 6 na rješenja o odbacivanju zahtjeva, 10 na rješenja o prigovoru i 2 žalbe na obavijest.</w:t>
      </w:r>
    </w:p>
    <w:p w14:paraId="071E8CFB" w14:textId="77777777" w:rsidR="00A71F06" w:rsidRPr="006D3E56" w:rsidRDefault="00A71F06" w:rsidP="001F7977">
      <w:pPr>
        <w:rPr>
          <w:rFonts w:ascii="Roboto" w:hAnsi="Roboto"/>
          <w:sz w:val="22"/>
          <w:szCs w:val="22"/>
        </w:rPr>
      </w:pPr>
      <w:r w:rsidRPr="006D3E56">
        <w:rPr>
          <w:rFonts w:ascii="Roboto" w:hAnsi="Roboto"/>
          <w:sz w:val="22"/>
          <w:szCs w:val="22"/>
        </w:rPr>
        <w:t xml:space="preserve">Kada je riječ o šutnji uprave, iz obrađenih podataka vidljivo je da su 42 žalbe koje su se odnosile na šutnju uprave riješene na način da je doneseno: 21 (50%) rješenje od odbacivanju žalbe kao nedopuštene ili nepotpune ili nepravovremene, 12 (28,6%) rješenja o obustavi postupka, 3 (7,1%) rješenja o odbijanju žalbe kao neosnovane i 6 (14,3%) rješenja kojima je naloženo rješavanje zahtjeva. </w:t>
      </w:r>
    </w:p>
    <w:tbl>
      <w:tblPr>
        <w:tblStyle w:val="Reetkatablice"/>
        <w:tblW w:w="9067" w:type="dxa"/>
        <w:tblLook w:val="04A0" w:firstRow="1" w:lastRow="0" w:firstColumn="1" w:lastColumn="0" w:noHBand="0" w:noVBand="1"/>
      </w:tblPr>
      <w:tblGrid>
        <w:gridCol w:w="9067"/>
      </w:tblGrid>
      <w:tr w:rsidR="00A71F06" w:rsidRPr="006D3E56" w14:paraId="0A5ABB74" w14:textId="77777777" w:rsidTr="00DF7854">
        <w:tc>
          <w:tcPr>
            <w:tcW w:w="9067" w:type="dxa"/>
          </w:tcPr>
          <w:p w14:paraId="3A131D60" w14:textId="72C20914" w:rsidR="00A71F06" w:rsidRPr="006D3E56" w:rsidRDefault="00A71F06" w:rsidP="001F7977">
            <w:pPr>
              <w:rPr>
                <w:rFonts w:ascii="Roboto" w:hAnsi="Roboto"/>
                <w:sz w:val="22"/>
                <w:szCs w:val="22"/>
              </w:rPr>
            </w:pPr>
            <w:r w:rsidRPr="006D3E56">
              <w:rPr>
                <w:rFonts w:ascii="Roboto" w:hAnsi="Roboto"/>
                <w:sz w:val="22"/>
                <w:szCs w:val="22"/>
              </w:rPr>
              <w:t xml:space="preserve">Iz navedenih podataka vidljivo je da je u 28,6% slučajeva šutnje uprave pravosudnih tijela samo podnošenje žalbe bilo poticaj da se riješi zahtjev. Ako se usporedi s prošlim </w:t>
            </w:r>
            <w:r w:rsidRPr="006D3E56">
              <w:rPr>
                <w:rFonts w:ascii="Roboto" w:hAnsi="Roboto"/>
                <w:sz w:val="22"/>
                <w:szCs w:val="22"/>
              </w:rPr>
              <w:lastRenderedPageBreak/>
              <w:t>izvještajnim razdobljem, kada je u 92,9% slučajeva šutnje uprave pravosudnih tijela (u kojima se radilo o istovrsnim postupcima), samo podnošenje žalbe bi</w:t>
            </w:r>
            <w:r w:rsidR="004055E1">
              <w:rPr>
                <w:rFonts w:ascii="Roboto" w:hAnsi="Roboto"/>
                <w:sz w:val="22"/>
                <w:szCs w:val="22"/>
              </w:rPr>
              <w:t>l</w:t>
            </w:r>
            <w:r w:rsidRPr="006D3E56">
              <w:rPr>
                <w:rFonts w:ascii="Roboto" w:hAnsi="Roboto"/>
                <w:sz w:val="22"/>
                <w:szCs w:val="22"/>
              </w:rPr>
              <w:t>o poticaj da se riješi zahtjev razvidno je da je došlo do pada slučajeva šutnje uprave u kojima je samo podnošenje žalbe bi</w:t>
            </w:r>
            <w:r w:rsidR="008512E4">
              <w:rPr>
                <w:rFonts w:ascii="Roboto" w:hAnsi="Roboto"/>
                <w:sz w:val="22"/>
                <w:szCs w:val="22"/>
              </w:rPr>
              <w:t>l</w:t>
            </w:r>
            <w:r w:rsidRPr="006D3E56">
              <w:rPr>
                <w:rFonts w:ascii="Roboto" w:hAnsi="Roboto"/>
                <w:sz w:val="22"/>
                <w:szCs w:val="22"/>
              </w:rPr>
              <w:t xml:space="preserve">o poticaj da se riješi zahtjev odnosno u kojima je Povjerenik za informiranje donio rješenja o obustavi postupka. </w:t>
            </w:r>
          </w:p>
        </w:tc>
      </w:tr>
    </w:tbl>
    <w:p w14:paraId="55D600DE" w14:textId="77777777" w:rsidR="00A71F06" w:rsidRPr="006D3E56" w:rsidRDefault="00A71F06" w:rsidP="00C07555">
      <w:pPr>
        <w:spacing w:before="120"/>
        <w:rPr>
          <w:rFonts w:ascii="Roboto" w:hAnsi="Roboto"/>
          <w:sz w:val="22"/>
          <w:szCs w:val="22"/>
        </w:rPr>
      </w:pPr>
      <w:r w:rsidRPr="006D3E56">
        <w:rPr>
          <w:rFonts w:ascii="Roboto" w:hAnsi="Roboto"/>
          <w:sz w:val="22"/>
          <w:szCs w:val="22"/>
        </w:rPr>
        <w:lastRenderedPageBreak/>
        <w:t>Kada je riječ o odbijajućim rješenjima ili rješenjima o odbacivanju zahtjeva, te rješenjima o prigovoru riješeno je 47 žalbi na način da je u 31 (66%) predmetu žalba odbijena kao neosnovana, a u 13 (27,7%) predmeta utvrđeno da je rješenje nezakonito te je rješenje: poništeno i predmet vraćen na ponovni postupak u 5 predmeta, poništeno i omogućeno u 3 predmeta i poništeno i riješen zahtjev u 5 predmeta.  Nadalje, u 1 (2,1%) predmetu podnesak je odbačen jer se radilo o nepotpunoj žalbi, a u 2 (4,3%) predmeta rješenje je oglašeno ništavim.</w:t>
      </w:r>
    </w:p>
    <w:p w14:paraId="0DEC398A" w14:textId="77777777" w:rsidR="00A71F06" w:rsidRPr="006D3E56" w:rsidRDefault="00A71F06" w:rsidP="001F7977">
      <w:pPr>
        <w:rPr>
          <w:rFonts w:ascii="Roboto" w:hAnsi="Roboto"/>
          <w:sz w:val="22"/>
          <w:szCs w:val="22"/>
        </w:rPr>
      </w:pPr>
      <w:r w:rsidRPr="006D3E56">
        <w:rPr>
          <w:rFonts w:ascii="Roboto" w:hAnsi="Roboto"/>
          <w:sz w:val="22"/>
          <w:szCs w:val="22"/>
        </w:rPr>
        <w:t>Dvije zaprimljene žalbe na obavijest riješene su na način da su žalbe odbačene kao nedopuštene.</w:t>
      </w:r>
    </w:p>
    <w:tbl>
      <w:tblPr>
        <w:tblStyle w:val="Reetkatablice"/>
        <w:tblW w:w="0" w:type="auto"/>
        <w:tblLook w:val="04A0" w:firstRow="1" w:lastRow="0" w:firstColumn="1" w:lastColumn="0" w:noHBand="0" w:noVBand="1"/>
      </w:tblPr>
      <w:tblGrid>
        <w:gridCol w:w="9062"/>
      </w:tblGrid>
      <w:tr w:rsidR="00A71F06" w:rsidRPr="006D3E56" w14:paraId="4849188C" w14:textId="77777777" w:rsidTr="00DF7854">
        <w:tc>
          <w:tcPr>
            <w:tcW w:w="16721" w:type="dxa"/>
          </w:tcPr>
          <w:p w14:paraId="3A682465" w14:textId="77777777" w:rsidR="00A71F06" w:rsidRPr="006D3E56" w:rsidRDefault="00A71F06" w:rsidP="001F7977">
            <w:pPr>
              <w:rPr>
                <w:rFonts w:ascii="Roboto" w:hAnsi="Roboto"/>
                <w:color w:val="000000" w:themeColor="text1"/>
                <w:sz w:val="22"/>
                <w:szCs w:val="22"/>
              </w:rPr>
            </w:pPr>
            <w:r w:rsidRPr="006D3E56">
              <w:rPr>
                <w:rFonts w:ascii="Roboto" w:hAnsi="Roboto"/>
                <w:color w:val="000000" w:themeColor="text1"/>
                <w:sz w:val="22"/>
                <w:szCs w:val="22"/>
              </w:rPr>
              <w:t>Iz obrađenih podataka proizlazi da su pravosudna tijela pravilno i zakonito riješila zahtjev u 66% slučajeva te je žalba odbijena kao neosnovana i potvrđena su prvostupanjska rješenja. Ako se usporede podaci  iz  prethodnog izvještajnog razdoblja razvidno je da je došlo do pada broja donesenih zakonitih i pravilnih odluka pravosudnih tijela (2024. - 82,8%).</w:t>
            </w:r>
          </w:p>
        </w:tc>
      </w:tr>
    </w:tbl>
    <w:p w14:paraId="373F953E" w14:textId="77777777" w:rsidR="00A71F06" w:rsidRPr="00CF687D" w:rsidRDefault="00A71F06" w:rsidP="00C07555">
      <w:pPr>
        <w:spacing w:before="120"/>
        <w:rPr>
          <w:rFonts w:ascii="Roboto" w:hAnsi="Roboto"/>
          <w:sz w:val="22"/>
          <w:szCs w:val="22"/>
        </w:rPr>
      </w:pPr>
      <w:r w:rsidRPr="00CF687D">
        <w:rPr>
          <w:rFonts w:ascii="Roboto" w:hAnsi="Roboto"/>
          <w:sz w:val="22"/>
          <w:szCs w:val="22"/>
        </w:rPr>
        <w:t xml:space="preserve">U odnosu na zahtjeve za pristup informacijama podnesene trgovačkim društvima u vlasništvu RH, Povjerenik je tijekom 2025. zaprimio 52 žalbe, od kojih 31 na odbijajuća rješenja te 21 zbog šutnje uprave. </w:t>
      </w:r>
    </w:p>
    <w:p w14:paraId="1D4D31F5" w14:textId="77777777" w:rsidR="00A71F06" w:rsidRPr="006D3E56" w:rsidRDefault="00A71F06" w:rsidP="001F7977">
      <w:pPr>
        <w:rPr>
          <w:rFonts w:ascii="Roboto" w:hAnsi="Roboto" w:cs="Arial"/>
          <w:color w:val="000000" w:themeColor="text1"/>
          <w:sz w:val="22"/>
          <w:szCs w:val="22"/>
        </w:rPr>
      </w:pPr>
      <w:r w:rsidRPr="006D3E56">
        <w:rPr>
          <w:rFonts w:ascii="Roboto" w:hAnsi="Roboto" w:cs="Arial"/>
          <w:color w:val="000000" w:themeColor="text1"/>
          <w:sz w:val="22"/>
          <w:szCs w:val="22"/>
        </w:rPr>
        <w:t xml:space="preserve">Povjerenik je tijekom 2025. riješio 41 (68,3%) žalbu, na način da je u pogledu 14 žalbi zbog šutnje uprave doneseno 3 (21,4%) rješenja o obustavi postupka, 3 (21,4%) rješenja kojima je naloženo rješavanje zahtjeva, 2 (14,3%) rješenja kojima je odbačen podnesak zbog nepotpunosti žalbe, 3 (21,4%) rješenja kojima je žalba odbačena kao nedopuštena, 1 (7,1%) rješenje kojim je žalba odbačena kao nepravovremena te 2 (14,3%) rješenja kojima je žalba odbijena kao neosnovana. U odnosu na prethodno izvještajno razdoblje uočeno je da je u 2025. došlo do smanjenja broja donesenih rješenja o </w:t>
      </w:r>
      <w:proofErr w:type="spellStart"/>
      <w:r w:rsidRPr="006D3E56">
        <w:rPr>
          <w:rFonts w:ascii="Roboto" w:hAnsi="Roboto" w:cs="Arial"/>
          <w:color w:val="000000" w:themeColor="text1"/>
          <w:sz w:val="22"/>
          <w:szCs w:val="22"/>
        </w:rPr>
        <w:t>nalaganju</w:t>
      </w:r>
      <w:proofErr w:type="spellEnd"/>
      <w:r w:rsidRPr="006D3E56">
        <w:rPr>
          <w:rFonts w:ascii="Roboto" w:hAnsi="Roboto" w:cs="Arial"/>
          <w:color w:val="000000" w:themeColor="text1"/>
          <w:sz w:val="22"/>
          <w:szCs w:val="22"/>
        </w:rPr>
        <w:t xml:space="preserve"> i to s 42,9% na 21,4%.</w:t>
      </w:r>
    </w:p>
    <w:tbl>
      <w:tblPr>
        <w:tblStyle w:val="Reetkatablice"/>
        <w:tblW w:w="9067" w:type="dxa"/>
        <w:tblLook w:val="04A0" w:firstRow="1" w:lastRow="0" w:firstColumn="1" w:lastColumn="0" w:noHBand="0" w:noVBand="1"/>
      </w:tblPr>
      <w:tblGrid>
        <w:gridCol w:w="9067"/>
      </w:tblGrid>
      <w:tr w:rsidR="00A71F06" w:rsidRPr="006D3E56" w14:paraId="63DB8A36" w14:textId="77777777" w:rsidTr="007D2D86">
        <w:tc>
          <w:tcPr>
            <w:tcW w:w="9067" w:type="dxa"/>
            <w:vAlign w:val="center"/>
          </w:tcPr>
          <w:p w14:paraId="358253F4" w14:textId="1F871651" w:rsidR="00A71F06" w:rsidRPr="006D3E56" w:rsidRDefault="00A71F06" w:rsidP="001F7977">
            <w:pPr>
              <w:rPr>
                <w:rFonts w:ascii="Roboto" w:hAnsi="Roboto" w:cs="Arial"/>
                <w:color w:val="000000" w:themeColor="text1"/>
                <w:sz w:val="22"/>
                <w:szCs w:val="22"/>
              </w:rPr>
            </w:pPr>
            <w:r w:rsidRPr="007B2495">
              <w:rPr>
                <w:rFonts w:ascii="Roboto" w:hAnsi="Roboto" w:cs="Arial"/>
                <w:color w:val="000000" w:themeColor="text1"/>
                <w:sz w:val="22"/>
                <w:szCs w:val="22"/>
              </w:rPr>
              <w:t xml:space="preserve">Podnošenje žalbe zbog šutnje uprave je u 21,4% slučajeva trgovačkim društvima u vlasništvu RH bilo poticaj da se riješi zahtjev, dok u 21,4% slučajeva unatoč izjavljenoj žalbi trgovačka društva u vlasništvu RH nisu riješila zahtjev te je bilo potrebno donošenje rješenja kojim je naloženo njegovo rješavanje. </w:t>
            </w:r>
            <w:r w:rsidR="007B2495" w:rsidRPr="007B2495">
              <w:rPr>
                <w:rFonts w:ascii="Roboto" w:hAnsi="Roboto" w:cs="Arial"/>
                <w:color w:val="000000" w:themeColor="text1"/>
                <w:sz w:val="22"/>
                <w:szCs w:val="22"/>
              </w:rPr>
              <w:t>U preostalih 57,1% slučajeva donesena su rješenja temeljem kojih trgovačka društva u vlasništvu RH nisu trebala postupati, jer se radilo o rješenjima kojima su žalbe odbačene kao nepotpune, nedopuštene ili nepravovremene ili su odbijene kao neosnovane.</w:t>
            </w:r>
          </w:p>
        </w:tc>
      </w:tr>
    </w:tbl>
    <w:p w14:paraId="785219E6" w14:textId="77777777" w:rsidR="00A71F06" w:rsidRPr="00CF687D" w:rsidRDefault="00A71F06" w:rsidP="00C07555">
      <w:pPr>
        <w:spacing w:before="120"/>
        <w:rPr>
          <w:rFonts w:ascii="Roboto" w:hAnsi="Roboto"/>
          <w:sz w:val="22"/>
          <w:szCs w:val="22"/>
        </w:rPr>
      </w:pPr>
      <w:r w:rsidRPr="00CF687D">
        <w:rPr>
          <w:rFonts w:ascii="Roboto" w:hAnsi="Roboto"/>
          <w:sz w:val="22"/>
          <w:szCs w:val="22"/>
        </w:rPr>
        <w:t xml:space="preserve">Kada je riječ o odbijajućim rješenjima, rješenjima o odbacivanju zahtjeva i rješenjima o žalbi protiv prigovora, riješeno je 27 žalbi na način da je u 13 (48,1%) predmeta utvrđeno da su predmetna tijela pravilno i zakonito riješila zahtjev te je žalba odbijena kao neosnovana i potvrđena su prvostupanjska rješenja, dok je u 13 (48,1%) predmeta utvrđeno da su rješenja nepravilna te su ista poništena, i to na način da je Povjerenik omogućio žalitelju pristup </w:t>
      </w:r>
      <w:r w:rsidRPr="00CF687D">
        <w:rPr>
          <w:rFonts w:ascii="Roboto" w:hAnsi="Roboto"/>
          <w:sz w:val="22"/>
          <w:szCs w:val="22"/>
        </w:rPr>
        <w:lastRenderedPageBreak/>
        <w:t>informaciji u devet predmeta, u četiri slučaja je predmet vratio na ponovni postupak. Također je u jednom slučaju (3,7%) donio rješenje o obustavi postupka.</w:t>
      </w:r>
    </w:p>
    <w:tbl>
      <w:tblPr>
        <w:tblStyle w:val="Reetkatablice"/>
        <w:tblW w:w="8947" w:type="dxa"/>
        <w:tblLook w:val="04A0" w:firstRow="1" w:lastRow="0" w:firstColumn="1" w:lastColumn="0" w:noHBand="0" w:noVBand="1"/>
      </w:tblPr>
      <w:tblGrid>
        <w:gridCol w:w="8947"/>
      </w:tblGrid>
      <w:tr w:rsidR="00A71F06" w:rsidRPr="006D3E56" w14:paraId="3F95C756" w14:textId="77777777" w:rsidTr="00DF7854">
        <w:trPr>
          <w:trHeight w:val="982"/>
        </w:trPr>
        <w:tc>
          <w:tcPr>
            <w:tcW w:w="8947" w:type="dxa"/>
          </w:tcPr>
          <w:p w14:paraId="00B8760F" w14:textId="77777777" w:rsidR="00A71F06" w:rsidRPr="006D3E56" w:rsidRDefault="00A71F06" w:rsidP="001F7977">
            <w:pPr>
              <w:rPr>
                <w:rFonts w:ascii="Roboto" w:hAnsi="Roboto" w:cs="Arial"/>
                <w:color w:val="000000" w:themeColor="text1"/>
                <w:sz w:val="22"/>
                <w:szCs w:val="22"/>
              </w:rPr>
            </w:pPr>
            <w:r w:rsidRPr="006D3E56">
              <w:rPr>
                <w:rFonts w:ascii="Roboto" w:hAnsi="Roboto" w:cs="Arial"/>
                <w:color w:val="000000" w:themeColor="text1"/>
                <w:sz w:val="22"/>
                <w:szCs w:val="22"/>
              </w:rPr>
              <w:t>U usporedbi s 2024. godinom vidljivo je da je u 2025. godini (48,1%) zabilježen niži postotak nepravilnih odluka trgovačkih društava u vlasništvu RH (2024. - 64,29%), što upućuje na zaključak da je došlo do poboljšanje u postupanju tih tijela javne vlasti.</w:t>
            </w:r>
          </w:p>
        </w:tc>
      </w:tr>
    </w:tbl>
    <w:p w14:paraId="700CF652" w14:textId="77777777" w:rsidR="00A71F06" w:rsidRPr="00CF687D" w:rsidRDefault="00A71F06" w:rsidP="00C07555">
      <w:pPr>
        <w:spacing w:before="120"/>
        <w:rPr>
          <w:rFonts w:ascii="Roboto" w:hAnsi="Roboto"/>
          <w:sz w:val="22"/>
          <w:szCs w:val="22"/>
        </w:rPr>
      </w:pPr>
      <w:r w:rsidRPr="00CF687D">
        <w:rPr>
          <w:rFonts w:ascii="Roboto" w:hAnsi="Roboto"/>
          <w:sz w:val="22"/>
          <w:szCs w:val="22"/>
        </w:rPr>
        <w:t>Tijekom 2025. Povjerenik je u odnosu na zahtjeve za pristup informacijama podnesene trgovačkim društvima u vlasništvu JLP(R)S zaprimio 73 žalbe, od kojih 29 na odbijajuća rješenja, 7 na rješenja o odbacivanju zahtjeva, 1 protiv rješenja o odbacivanju žalbe, 7 protiv rješenja o prigovoru i 29 zbog šutnje uprave.</w:t>
      </w:r>
    </w:p>
    <w:p w14:paraId="3C52A96A" w14:textId="77777777" w:rsidR="00A71F06" w:rsidRPr="006D3E56" w:rsidRDefault="00A71F06" w:rsidP="001F7977">
      <w:pPr>
        <w:rPr>
          <w:rFonts w:ascii="Roboto" w:hAnsi="Roboto" w:cs="Arial"/>
          <w:color w:val="000000" w:themeColor="text1"/>
          <w:sz w:val="22"/>
          <w:szCs w:val="22"/>
        </w:rPr>
      </w:pPr>
      <w:r w:rsidRPr="006D3E56">
        <w:rPr>
          <w:rFonts w:ascii="Roboto" w:hAnsi="Roboto" w:cs="Arial"/>
          <w:color w:val="000000" w:themeColor="text1"/>
          <w:sz w:val="22"/>
          <w:szCs w:val="22"/>
        </w:rPr>
        <w:t xml:space="preserve">U pogledu 24 žalbe koje su se odnosile na šutnju uprave doneseno je pet (20,8%) rješenja o odbacivanju žalbe kao nedopuštene ili nepotpune, 12 (50%) rješenja o obustavi postupka, jedno (4,2%) odbijajuće rješenje te šest (25%) rješenja kojima je naloženo rješavanje zahtjeva. </w:t>
      </w:r>
    </w:p>
    <w:tbl>
      <w:tblPr>
        <w:tblStyle w:val="Reetkatablice"/>
        <w:tblW w:w="0" w:type="auto"/>
        <w:tblLook w:val="04A0" w:firstRow="1" w:lastRow="0" w:firstColumn="1" w:lastColumn="0" w:noHBand="0" w:noVBand="1"/>
      </w:tblPr>
      <w:tblGrid>
        <w:gridCol w:w="9062"/>
      </w:tblGrid>
      <w:tr w:rsidR="00A71F06" w:rsidRPr="006D3E56" w14:paraId="348294F8" w14:textId="77777777" w:rsidTr="00DF7854">
        <w:tc>
          <w:tcPr>
            <w:tcW w:w="16721" w:type="dxa"/>
          </w:tcPr>
          <w:p w14:paraId="4A3A2AA3" w14:textId="77777777" w:rsidR="00A71F06" w:rsidRPr="006D3E56" w:rsidRDefault="00A71F06" w:rsidP="001F7977">
            <w:pPr>
              <w:rPr>
                <w:rFonts w:ascii="Roboto" w:hAnsi="Roboto" w:cs="Arial"/>
                <w:color w:val="000000" w:themeColor="text1"/>
                <w:sz w:val="22"/>
                <w:szCs w:val="22"/>
              </w:rPr>
            </w:pPr>
            <w:r w:rsidRPr="006D3E56">
              <w:rPr>
                <w:rFonts w:ascii="Roboto" w:hAnsi="Roboto" w:cs="Arial"/>
                <w:color w:val="000000" w:themeColor="text1"/>
                <w:sz w:val="22"/>
                <w:szCs w:val="22"/>
              </w:rPr>
              <w:t>Na temelju obrađenih podataka vidljivo je da je podnošenje žalbe u odnosu na postupanja trgovačkih društava u vlasništvu JLP(R)S u 50% slučajeva šutnje uprave bilo poticaj da se riješi zahtjev, dok je u 25% slučajeva šutnje uprave bilo potrebno donošenje rješenja kojim je naloženo rješavanje zahtjeva. U odnosu na 2024. vidljivo je da je došlo do blagog povećanja broja slučajeva u kojima je bilo potrebno donošenje rješenja kojim se nalaže rješavanje zahtjeva u 2025. godini (25%) u odnosu na 2024. godinu (22,6%).  što upućuje na potrebu daljnjeg unaprjeđenja pravodobnosti i učinkovitosti postupanja tijela javne vlasti.</w:t>
            </w:r>
          </w:p>
        </w:tc>
      </w:tr>
    </w:tbl>
    <w:p w14:paraId="74AF437B" w14:textId="77777777" w:rsidR="00A71F06" w:rsidRPr="00CF687D" w:rsidRDefault="00A71F06" w:rsidP="001F7977">
      <w:pPr>
        <w:rPr>
          <w:rFonts w:ascii="Roboto" w:hAnsi="Roboto"/>
          <w:sz w:val="22"/>
          <w:szCs w:val="22"/>
        </w:rPr>
      </w:pPr>
      <w:r w:rsidRPr="00CF687D">
        <w:rPr>
          <w:rFonts w:ascii="Roboto" w:hAnsi="Roboto"/>
          <w:sz w:val="22"/>
          <w:szCs w:val="22"/>
        </w:rPr>
        <w:t>Kada se radi o žalbama na rješenja predmetnih tijela, tijekom 2025. je riješeno 41 odnosno 45 žalbi s obzirom da su  četiri predmeta zaključkom spojeni, na način da je u 13 (31,7%) predmeta utvrđeno da su tijela pravilno i zakonito riješila zahtjev te je žalba odbijena kao neosnovana i potvrđeno prvostupanjsko rješenje, dok je u 25 (60,9%) predmeta utvrđeno da su rješenja nepravilna te su ista poništena, i to na način da je Povjerenik omogućio žalitelju pristup informaciji u pet predmeta, u 17 predmeta Povjerenik je poništio rješenja i vratio predmet na ponovni postupak, a u tri predmeta Povjerenik je poništio rješenje i riješio zahtjev. Nadalje, u dva predmeta žalba je odbačena kao nedopuštena ili nepravovremena (4,8%), a u jednom predmetu prvostupanjsko tijelo je samo riješilo žalbu po članku 113. ZUP-a (2,4%).</w:t>
      </w:r>
    </w:p>
    <w:tbl>
      <w:tblPr>
        <w:tblStyle w:val="Reetkatablice"/>
        <w:tblW w:w="9067" w:type="dxa"/>
        <w:tblLook w:val="04A0" w:firstRow="1" w:lastRow="0" w:firstColumn="1" w:lastColumn="0" w:noHBand="0" w:noVBand="1"/>
      </w:tblPr>
      <w:tblGrid>
        <w:gridCol w:w="9067"/>
      </w:tblGrid>
      <w:tr w:rsidR="00A71F06" w:rsidRPr="006D3E56" w14:paraId="1AB098E0" w14:textId="77777777" w:rsidTr="00DF7854">
        <w:tc>
          <w:tcPr>
            <w:tcW w:w="9067" w:type="dxa"/>
          </w:tcPr>
          <w:p w14:paraId="02BCA91E" w14:textId="77777777" w:rsidR="00A71F06" w:rsidRPr="006D3E56" w:rsidRDefault="00A71F06" w:rsidP="001F7977">
            <w:pPr>
              <w:rPr>
                <w:rFonts w:ascii="Roboto" w:hAnsi="Roboto" w:cs="Arial"/>
                <w:color w:val="000000" w:themeColor="text1"/>
                <w:sz w:val="22"/>
                <w:szCs w:val="22"/>
              </w:rPr>
            </w:pPr>
            <w:r w:rsidRPr="006D3E56">
              <w:rPr>
                <w:rFonts w:ascii="Roboto" w:hAnsi="Roboto" w:cs="Arial"/>
                <w:color w:val="000000" w:themeColor="text1"/>
                <w:sz w:val="22"/>
                <w:szCs w:val="22"/>
              </w:rPr>
              <w:t>Kod trgovačkih društava u vlasništvu JLP(R)S je u 2025. došlo do smanjenja broja slučajeva u kojima je pravilno i zakonito riješen zahtjev (tijekom 2024. su u 53,3% slučajeva pravilno i zakonito riješila zahtjev, a u 2025. u 31,7% slučajeva). Slijedom navedenog, došlo je do povećanja broja poništenih odluka s 35,6% slučajeva u 2024. na 60,9% u 2025. što ukazuje na potrebu dosljednije primjene ZPPI-ja te unaprjeđenja zakonitosti i pravilnosti u rješavanju zahtjeva za pristup informacijama.</w:t>
            </w:r>
          </w:p>
        </w:tc>
      </w:tr>
    </w:tbl>
    <w:p w14:paraId="03E58CF7" w14:textId="77777777" w:rsidR="00A71F06" w:rsidRPr="00CF687D" w:rsidRDefault="00A71F06" w:rsidP="001F7977">
      <w:pPr>
        <w:rPr>
          <w:rFonts w:ascii="Roboto" w:hAnsi="Roboto"/>
          <w:sz w:val="22"/>
          <w:szCs w:val="22"/>
        </w:rPr>
      </w:pPr>
      <w:r w:rsidRPr="00CF687D">
        <w:rPr>
          <w:rFonts w:ascii="Roboto" w:hAnsi="Roboto"/>
          <w:sz w:val="22"/>
          <w:szCs w:val="22"/>
        </w:rPr>
        <w:t>Tijekom 2025. u odnosu na zahtjeve za pristup informacijama upućene tijelima javne vlasti - agencijama, zavodima, fondovima ili centrima, Povjerenik je zaprimio 80 žalbi, od kojih 51 zbog šutnje uprave, 15 na odbijajuća rješenja, 10 na rješenja o odbacivanju zahtjeva, jedna na odbacivanje žalbe te tri protiv rješenja o prigovoru.</w:t>
      </w:r>
    </w:p>
    <w:p w14:paraId="185DA411" w14:textId="77777777" w:rsidR="00A71F06" w:rsidRPr="006D3E56" w:rsidRDefault="00A71F06" w:rsidP="001F7977">
      <w:pPr>
        <w:rPr>
          <w:rFonts w:ascii="Roboto" w:hAnsi="Roboto" w:cs="Arial"/>
          <w:color w:val="000000" w:themeColor="text1"/>
          <w:sz w:val="22"/>
          <w:szCs w:val="22"/>
        </w:rPr>
      </w:pPr>
      <w:r w:rsidRPr="006D3E56">
        <w:rPr>
          <w:rFonts w:ascii="Roboto" w:hAnsi="Roboto" w:cs="Arial"/>
          <w:color w:val="000000" w:themeColor="text1"/>
          <w:sz w:val="22"/>
          <w:szCs w:val="22"/>
        </w:rPr>
        <w:t xml:space="preserve">Povjerenik je tijekom 2025. u radu zajedno s prenesenim žalbama iz prethodnog izvještajnog razdoblja imao  ukupno 93 žalbe koja su se odnosile na ove kategorije tijela. Od toga je riješena 81 žalba (87,1%), od kojih se njih 50 (61,7%) odnosilo na šutnju uprave. </w:t>
      </w:r>
    </w:p>
    <w:p w14:paraId="5B6BECD3" w14:textId="77777777" w:rsidR="00A71F06" w:rsidRPr="006D3E56" w:rsidRDefault="00A71F06" w:rsidP="001F7977">
      <w:pPr>
        <w:rPr>
          <w:rFonts w:ascii="Roboto" w:hAnsi="Roboto" w:cs="Arial"/>
          <w:color w:val="000000" w:themeColor="text1"/>
          <w:sz w:val="22"/>
          <w:szCs w:val="22"/>
        </w:rPr>
      </w:pPr>
      <w:r w:rsidRPr="006D3E56">
        <w:rPr>
          <w:rFonts w:ascii="Roboto" w:hAnsi="Roboto" w:cs="Arial"/>
          <w:color w:val="000000" w:themeColor="text1"/>
          <w:sz w:val="22"/>
          <w:szCs w:val="22"/>
        </w:rPr>
        <w:lastRenderedPageBreak/>
        <w:t>Žalbe koje su se odnosile na šutnju uprave su riješene na način da je u 20 (40%) predmeta podnesak odbačen jer se radilo o nepotpunoj, nepravovremenoj ili nedopuštenoj žalbi, u 12 (24%) predmeta je Povjerenik naložio rješavanje zahtjeva,  u 14 (28%) predmeta zahtjev je u međuvremenu riješen pa je postupak obustavljen, a u četiri (8%) predmeta žalba je odbijena kao neosnovana.</w:t>
      </w:r>
    </w:p>
    <w:tbl>
      <w:tblPr>
        <w:tblStyle w:val="Reetkatablice"/>
        <w:tblW w:w="0" w:type="auto"/>
        <w:tblLook w:val="04A0" w:firstRow="1" w:lastRow="0" w:firstColumn="1" w:lastColumn="0" w:noHBand="0" w:noVBand="1"/>
      </w:tblPr>
      <w:tblGrid>
        <w:gridCol w:w="9062"/>
      </w:tblGrid>
      <w:tr w:rsidR="00A71F06" w:rsidRPr="006D3E56" w14:paraId="21C40143" w14:textId="77777777" w:rsidTr="00DF7854">
        <w:tc>
          <w:tcPr>
            <w:tcW w:w="16721" w:type="dxa"/>
          </w:tcPr>
          <w:p w14:paraId="566953E3" w14:textId="77777777" w:rsidR="00A71F06" w:rsidRPr="006D3E56" w:rsidRDefault="00A71F06" w:rsidP="001F7977">
            <w:pPr>
              <w:rPr>
                <w:rFonts w:ascii="Roboto" w:hAnsi="Roboto" w:cs="Arial"/>
                <w:color w:val="000000" w:themeColor="text1"/>
                <w:sz w:val="22"/>
                <w:szCs w:val="22"/>
              </w:rPr>
            </w:pPr>
            <w:r w:rsidRPr="006D3E56">
              <w:rPr>
                <w:rFonts w:ascii="Roboto" w:hAnsi="Roboto" w:cs="Arial"/>
                <w:color w:val="000000" w:themeColor="text1"/>
                <w:sz w:val="22"/>
                <w:szCs w:val="22"/>
              </w:rPr>
              <w:t>Iz navedenoga proizlazi da je u odnosu na postupanja tijela javne vlasti iz ove skupine u 28% slučajeva šutnje uprave podnošenje žalbe bilo poticaj da se riješi zahtjev, dok u 24% slučajeva, usprkos izjavljivanju žalbe Povjereniku, tijela nisu riješila zahtjev te je bilo potrebno donošenje rješenja kojim se nalaže rješavanje zahtjeva.</w:t>
            </w:r>
          </w:p>
        </w:tc>
      </w:tr>
    </w:tbl>
    <w:p w14:paraId="777119FD" w14:textId="77777777" w:rsidR="00A71F06" w:rsidRPr="006D3E56" w:rsidRDefault="00A71F06" w:rsidP="001F7977">
      <w:pPr>
        <w:rPr>
          <w:rFonts w:ascii="Roboto" w:hAnsi="Roboto" w:cs="Arial"/>
          <w:color w:val="000000" w:themeColor="text1"/>
          <w:sz w:val="22"/>
          <w:szCs w:val="22"/>
        </w:rPr>
      </w:pPr>
      <w:r w:rsidRPr="006D3E56">
        <w:rPr>
          <w:rFonts w:ascii="Roboto" w:hAnsi="Roboto" w:cs="Arial"/>
          <w:color w:val="000000" w:themeColor="text1"/>
          <w:sz w:val="22"/>
          <w:szCs w:val="22"/>
        </w:rPr>
        <w:t>Kada je riječ o žalbama na rješenja predmetnih tijela, riješena je 31 (38,2%) žalba na način da je utvrđeno da su tijela pravilno i zakonito riješila u 15 (48,3%) predmeta, dok je u 14 (45,1%) predmeta utvrđeno da su rješenja nepravilna te su ista riješena na način da je Povjerenik poništio rješenje i omogućio pristup informaciji u šest predmeta, poništio rješenje i vratio predmet na ponovni postupak u šest predmeta, dok je u dva predmeta poništio rješenje i riješio zahtjev. Nadalje, Povjerenik je žalbu odbacio kao nepravovremenu ili nedopuštenu u dva predmeta (6,4%).</w:t>
      </w:r>
    </w:p>
    <w:tbl>
      <w:tblPr>
        <w:tblStyle w:val="Reetkatablice"/>
        <w:tblW w:w="9067" w:type="dxa"/>
        <w:tblLook w:val="04A0" w:firstRow="1" w:lastRow="0" w:firstColumn="1" w:lastColumn="0" w:noHBand="0" w:noVBand="1"/>
      </w:tblPr>
      <w:tblGrid>
        <w:gridCol w:w="9067"/>
      </w:tblGrid>
      <w:tr w:rsidR="00A71F06" w:rsidRPr="006D3E56" w14:paraId="78575B3F" w14:textId="77777777" w:rsidTr="00DF7854">
        <w:tc>
          <w:tcPr>
            <w:tcW w:w="9067" w:type="dxa"/>
          </w:tcPr>
          <w:p w14:paraId="48FEF705" w14:textId="77777777" w:rsidR="00A71F06" w:rsidRPr="006D3E56" w:rsidRDefault="00A71F06" w:rsidP="001F7977">
            <w:pPr>
              <w:rPr>
                <w:rFonts w:ascii="Roboto" w:hAnsi="Roboto" w:cs="Arial"/>
                <w:color w:val="000000" w:themeColor="text1"/>
                <w:sz w:val="22"/>
                <w:szCs w:val="22"/>
              </w:rPr>
            </w:pPr>
            <w:r w:rsidRPr="006D3E56">
              <w:rPr>
                <w:rFonts w:ascii="Roboto" w:hAnsi="Roboto" w:cs="Arial"/>
                <w:color w:val="000000" w:themeColor="text1"/>
                <w:sz w:val="22"/>
                <w:szCs w:val="22"/>
              </w:rPr>
              <w:t>Iz obrađenih podataka proizlazi da odluke ove skupine tijela javne vlasti u 45,1% slučajeva nisu u skladu s odredbama ZPPI-ja. Kada se usporede podaci iz prethodnog izvještajnog razdoblja, vidljivo je da  je postotak u 2025. (45,1%) manji nego u 2024. (56%) iz čega proizlazi da je u promatranom razdoblju zabilježeno poboljšanje u postupanju ove skupine tijela javne vlasti, odnosno da je postotak odluka koje nisu u skladu s odredbama ZPPI-ja smanjen. Navedeno upućuje na relativni napredak u usklađenosti postupanja s odredbama ZPPI-ja ali i dalje postoji potreba za daljnjim unapređenjem rada.</w:t>
            </w:r>
          </w:p>
        </w:tc>
      </w:tr>
    </w:tbl>
    <w:p w14:paraId="21FDE6DD" w14:textId="77777777" w:rsidR="00670603" w:rsidRDefault="00670603" w:rsidP="001F7977">
      <w:pPr>
        <w:widowControl w:val="0"/>
        <w:rPr>
          <w:rFonts w:ascii="Roboto" w:hAnsi="Roboto"/>
          <w:sz w:val="22"/>
          <w:szCs w:val="22"/>
        </w:rPr>
      </w:pPr>
    </w:p>
    <w:p w14:paraId="4A547752" w14:textId="17B8A77B" w:rsidR="00A71F06" w:rsidRPr="006D3E56" w:rsidRDefault="00A71F06" w:rsidP="001F7977">
      <w:pPr>
        <w:widowControl w:val="0"/>
        <w:rPr>
          <w:rFonts w:ascii="Roboto" w:hAnsi="Roboto"/>
          <w:sz w:val="22"/>
          <w:szCs w:val="22"/>
        </w:rPr>
      </w:pPr>
      <w:r w:rsidRPr="006D3E56">
        <w:rPr>
          <w:rFonts w:ascii="Roboto" w:hAnsi="Roboto"/>
          <w:sz w:val="22"/>
          <w:szCs w:val="22"/>
        </w:rPr>
        <w:t>U nastavku se analiziraju odluke Povjerenika po žalbama u 2025. prema najčešće korištenim razlozima za odbijanje zahtjeva za pristup informacijama.</w:t>
      </w:r>
    </w:p>
    <w:p w14:paraId="2572734F" w14:textId="4B4A00AB" w:rsidR="00A71F06" w:rsidRPr="006D3E56" w:rsidRDefault="00A71F06" w:rsidP="001F7977">
      <w:pPr>
        <w:widowControl w:val="0"/>
        <w:rPr>
          <w:rFonts w:ascii="Roboto" w:hAnsi="Roboto" w:cs="Arial"/>
          <w:sz w:val="22"/>
          <w:szCs w:val="22"/>
        </w:rPr>
      </w:pPr>
      <w:r w:rsidRPr="006D3E56">
        <w:rPr>
          <w:rFonts w:ascii="Roboto" w:hAnsi="Roboto"/>
          <w:sz w:val="22"/>
          <w:szCs w:val="22"/>
        </w:rPr>
        <w:t xml:space="preserve">Povjerenik je u 2025. zaprimio 114 žalbi (8,7% od ukupno </w:t>
      </w:r>
      <w:r w:rsidR="007B2495">
        <w:rPr>
          <w:rFonts w:ascii="Roboto" w:hAnsi="Roboto"/>
          <w:sz w:val="22"/>
          <w:szCs w:val="22"/>
        </w:rPr>
        <w:t>1.317</w:t>
      </w:r>
      <w:r w:rsidRPr="006D3E56">
        <w:rPr>
          <w:rFonts w:ascii="Roboto" w:hAnsi="Roboto"/>
          <w:sz w:val="22"/>
          <w:szCs w:val="22"/>
        </w:rPr>
        <w:t xml:space="preserve"> zaprimljenih žalbi) zbog odbijanja zahtjeva iz razloga što se traženje korisnika ne smatra traženjem informacije u smislu ZPPI-ja, pa je s prenesenih 25 žalbi iz prethodnog razdoblja u radu ukupno imao 139 predmeta.</w:t>
      </w:r>
      <w:r w:rsidRPr="006D3E56">
        <w:rPr>
          <w:rFonts w:ascii="Roboto" w:hAnsi="Roboto"/>
          <w:b/>
          <w:bCs/>
          <w:sz w:val="22"/>
          <w:szCs w:val="22"/>
        </w:rPr>
        <w:t xml:space="preserve"> </w:t>
      </w:r>
      <w:r w:rsidRPr="006D3E56">
        <w:rPr>
          <w:rFonts w:ascii="Roboto" w:hAnsi="Roboto"/>
          <w:sz w:val="22"/>
          <w:szCs w:val="22"/>
        </w:rPr>
        <w:t xml:space="preserve">Ovdje je potrebno istaknuti kako su 23 predmeta </w:t>
      </w:r>
      <w:r w:rsidRPr="006D3E56">
        <w:rPr>
          <w:rFonts w:ascii="Roboto" w:hAnsi="Roboto" w:cs="Arial"/>
          <w:sz w:val="22"/>
          <w:szCs w:val="22"/>
        </w:rPr>
        <w:t>sukladno članku 44. stavku 1. ZUP-a</w:t>
      </w:r>
      <w:r w:rsidRPr="006D3E56">
        <w:rPr>
          <w:rFonts w:ascii="Roboto" w:hAnsi="Roboto"/>
          <w:sz w:val="22"/>
          <w:szCs w:val="22"/>
        </w:rPr>
        <w:t xml:space="preserve"> zaključcima spojeno, jer je u tri skupine predmeta bila riječ</w:t>
      </w:r>
      <w:r w:rsidRPr="006D3E56">
        <w:rPr>
          <w:rFonts w:ascii="Roboto" w:hAnsi="Roboto" w:cs="Arial"/>
          <w:sz w:val="22"/>
          <w:szCs w:val="22"/>
        </w:rPr>
        <w:t xml:space="preserve"> o bitno istovjetnoj činjeničnoj i pravnoj osnovi, pa se stoga analizira 116 predmeta u radu </w:t>
      </w:r>
      <w:r w:rsidRPr="006D3E56">
        <w:rPr>
          <w:rFonts w:ascii="Roboto" w:hAnsi="Roboto"/>
          <w:sz w:val="22"/>
          <w:szCs w:val="22"/>
        </w:rPr>
        <w:t xml:space="preserve">od kojih je riješeno 90 (77,6%). Povjerenik je u 64 </w:t>
      </w:r>
      <w:r w:rsidRPr="006D3E56">
        <w:rPr>
          <w:rFonts w:ascii="Roboto" w:hAnsi="Roboto"/>
          <w:i/>
          <w:iCs/>
          <w:sz w:val="22"/>
          <w:szCs w:val="22"/>
        </w:rPr>
        <w:t>(</w:t>
      </w:r>
      <w:r w:rsidRPr="006D3E56">
        <w:rPr>
          <w:rFonts w:ascii="Roboto" w:hAnsi="Roboto"/>
          <w:sz w:val="22"/>
          <w:szCs w:val="22"/>
        </w:rPr>
        <w:t xml:space="preserve">71,1%) slučaja donio rješenje kojim je odbio žalbu kao neosnovanu, dok je u 19 (21,1%) slučajeva poništio rješenje tijela, i to tako da je u 6 slučajeva rješenje poništeno i naloženo da se omogući pristup informaciji, u 11 slučajeva je rješenje poništeno i predmet vraćen na ponovni postupak, a u dva slučaja je rješenje poništeno i riješen zahtjev. U 4 slučaja je prvostupanjsko rješenje oglašeno ništavim, a 3 žalbe su odbačene. </w:t>
      </w:r>
    </w:p>
    <w:tbl>
      <w:tblPr>
        <w:tblStyle w:val="Reetkatablice"/>
        <w:tblW w:w="0" w:type="auto"/>
        <w:tblLook w:val="04A0" w:firstRow="1" w:lastRow="0" w:firstColumn="1" w:lastColumn="0" w:noHBand="0" w:noVBand="1"/>
      </w:tblPr>
      <w:tblGrid>
        <w:gridCol w:w="9062"/>
      </w:tblGrid>
      <w:tr w:rsidR="00A71F06" w:rsidRPr="006D3E56" w14:paraId="4F86E01B" w14:textId="77777777" w:rsidTr="00DF7854">
        <w:tc>
          <w:tcPr>
            <w:tcW w:w="9062" w:type="dxa"/>
          </w:tcPr>
          <w:p w14:paraId="32BE7478" w14:textId="18AA2FC6" w:rsidR="00A71F06" w:rsidRPr="006D3E56" w:rsidRDefault="007B2495" w:rsidP="001F7977">
            <w:pPr>
              <w:widowControl w:val="0"/>
              <w:rPr>
                <w:rFonts w:ascii="Roboto" w:hAnsi="Roboto"/>
                <w:sz w:val="22"/>
                <w:szCs w:val="22"/>
              </w:rPr>
            </w:pPr>
            <w:r w:rsidRPr="007B2495">
              <w:rPr>
                <w:rFonts w:ascii="Roboto" w:hAnsi="Roboto"/>
                <w:sz w:val="22"/>
                <w:szCs w:val="22"/>
              </w:rPr>
              <w:t>Obradom podataka predmeta u kojima su zahtjevi korisnika odbijeni iz razloga što se traženje ne smatra traženjem informacije u smislu ZPPI-ja, vidljivo je da je Povjerenik u 2025. poništio nešto manji broj odluka tijela (21,11%) nego u proteklom izvještajnom razdoblju (2024.- 24,5%).</w:t>
            </w:r>
          </w:p>
        </w:tc>
      </w:tr>
    </w:tbl>
    <w:p w14:paraId="045054B6" w14:textId="5703D06B" w:rsidR="00A71F06" w:rsidRPr="006D3E56" w:rsidRDefault="00A71F06" w:rsidP="001F7977">
      <w:pPr>
        <w:widowControl w:val="0"/>
        <w:rPr>
          <w:rFonts w:ascii="Roboto" w:hAnsi="Roboto"/>
          <w:sz w:val="22"/>
          <w:szCs w:val="22"/>
        </w:rPr>
      </w:pPr>
      <w:r w:rsidRPr="006D3E56">
        <w:rPr>
          <w:rFonts w:ascii="Roboto" w:hAnsi="Roboto"/>
          <w:sz w:val="22"/>
          <w:szCs w:val="22"/>
        </w:rPr>
        <w:lastRenderedPageBreak/>
        <w:t xml:space="preserve">U 2025. Povjerenik je zaprimio 93 žalbe (7,1% od ukupno </w:t>
      </w:r>
      <w:r w:rsidR="007B2495">
        <w:rPr>
          <w:rFonts w:ascii="Roboto" w:hAnsi="Roboto"/>
          <w:sz w:val="22"/>
          <w:szCs w:val="22"/>
        </w:rPr>
        <w:t>1.317</w:t>
      </w:r>
      <w:r w:rsidRPr="006D3E56">
        <w:rPr>
          <w:rFonts w:ascii="Roboto" w:hAnsi="Roboto"/>
          <w:sz w:val="22"/>
          <w:szCs w:val="22"/>
        </w:rPr>
        <w:t xml:space="preserve"> zaprimljenih žalbi) na rješenje o odbacivanju zahtjeva jer tijela ne posjeduju informaciju te ne znaju gdje se ona nalazi pa je, uz žalbe prenesene iz prethodnog razdoblja, ukupno u radu imao 121 takav predmet. </w:t>
      </w:r>
    </w:p>
    <w:p w14:paraId="18CE88FC" w14:textId="77777777" w:rsidR="00A71F06" w:rsidRPr="006D3E56" w:rsidRDefault="00A71F06" w:rsidP="001F7977">
      <w:pPr>
        <w:widowControl w:val="0"/>
        <w:rPr>
          <w:rFonts w:ascii="Roboto" w:hAnsi="Roboto"/>
          <w:sz w:val="22"/>
          <w:szCs w:val="22"/>
        </w:rPr>
      </w:pPr>
      <w:r w:rsidRPr="006D3E56">
        <w:rPr>
          <w:rFonts w:ascii="Roboto" w:hAnsi="Roboto"/>
          <w:sz w:val="22"/>
          <w:szCs w:val="22"/>
        </w:rPr>
        <w:t xml:space="preserve">Ovdje se napominje kako je 1 predmet </w:t>
      </w:r>
      <w:r w:rsidRPr="006D3E56">
        <w:rPr>
          <w:rFonts w:ascii="Roboto" w:hAnsi="Roboto" w:cs="Arial"/>
          <w:sz w:val="22"/>
          <w:szCs w:val="22"/>
        </w:rPr>
        <w:t>sukladno članku 44. stavku 1. ZUP-a</w:t>
      </w:r>
      <w:r w:rsidRPr="006D3E56">
        <w:rPr>
          <w:rFonts w:ascii="Roboto" w:hAnsi="Roboto"/>
          <w:sz w:val="22"/>
          <w:szCs w:val="22"/>
        </w:rPr>
        <w:t xml:space="preserve"> zaključkom spojen s drugim predmetom, s obzirom na </w:t>
      </w:r>
      <w:r w:rsidRPr="006D3E56">
        <w:rPr>
          <w:rFonts w:ascii="Roboto" w:hAnsi="Roboto" w:cs="Arial"/>
          <w:sz w:val="22"/>
          <w:szCs w:val="22"/>
        </w:rPr>
        <w:t>bitno istovjetnu činjeničnu i pravnu osnovu, pa se stoga analizira 120 predmeta u radu kod Povjerenika, od kojih su riješene 102 žalbe</w:t>
      </w:r>
      <w:r w:rsidRPr="006D3E56">
        <w:rPr>
          <w:rFonts w:ascii="Roboto" w:hAnsi="Roboto"/>
          <w:sz w:val="22"/>
          <w:szCs w:val="22"/>
        </w:rPr>
        <w:t xml:space="preserve"> (85%), na način da je Povjerenik u 61 (59,8%) slučaju odbio žalbu i potvrdio rješenje tijela, u 25 ili 24,5% slučajeva je poništio rješenja, i to na način da je u šest slučajeva utvrdio da tijelo raspolaže informacijom te je omogućio pravo na pristup zatraženoj informaciji, u 12 slučajeva je predmet vratio na ponovni postupak, a u 7 slučajeva riješio zahtjev. U tri predmeta je postupak obustavljen, u dva predmeta je prvostupanjsko tijelo samo promijenilo odluku i riješilo žalbu prema članku 113. ZUP-a, dok su u devet slučajeva žalbe odbačene te u dva slučaja rješenja oglašena ništavim.</w:t>
      </w:r>
    </w:p>
    <w:tbl>
      <w:tblPr>
        <w:tblStyle w:val="Reetkatablice"/>
        <w:tblW w:w="9067" w:type="dxa"/>
        <w:tblLook w:val="04A0" w:firstRow="1" w:lastRow="0" w:firstColumn="1" w:lastColumn="0" w:noHBand="0" w:noVBand="1"/>
      </w:tblPr>
      <w:tblGrid>
        <w:gridCol w:w="9067"/>
      </w:tblGrid>
      <w:tr w:rsidR="00A71F06" w:rsidRPr="006D3E56" w14:paraId="68E54099" w14:textId="77777777" w:rsidTr="00DF7854">
        <w:tc>
          <w:tcPr>
            <w:tcW w:w="9067" w:type="dxa"/>
          </w:tcPr>
          <w:p w14:paraId="4669EE3C" w14:textId="490FFEE8" w:rsidR="00A71F06" w:rsidRPr="006D3E56" w:rsidRDefault="00A71F06" w:rsidP="001F7977">
            <w:pPr>
              <w:widowControl w:val="0"/>
              <w:rPr>
                <w:rFonts w:ascii="Roboto" w:hAnsi="Roboto" w:cs="Calibri"/>
                <w:sz w:val="22"/>
                <w:szCs w:val="22"/>
              </w:rPr>
            </w:pPr>
            <w:r w:rsidRPr="006D3E56">
              <w:rPr>
                <w:rFonts w:ascii="Roboto" w:hAnsi="Roboto"/>
                <w:sz w:val="22"/>
                <w:szCs w:val="22"/>
              </w:rPr>
              <w:t xml:space="preserve">Analizom podataka o rješavanju žalbi iz 2025. uočeno je </w:t>
            </w:r>
            <w:r w:rsidRPr="006D3E56">
              <w:rPr>
                <w:rFonts w:ascii="Roboto" w:hAnsi="Roboto" w:cs="Calibri"/>
                <w:sz w:val="22"/>
                <w:szCs w:val="22"/>
              </w:rPr>
              <w:t>da je razlog neposjedovanja traženih informacija bio drugi najčešći razlog za uskratu informacija od strane različitih tijela. Usporedbom s 2024. kada je u 75,3% slučajeva potvrđeno rješenj</w:t>
            </w:r>
            <w:r w:rsidR="00D32F24">
              <w:rPr>
                <w:rFonts w:ascii="Roboto" w:hAnsi="Roboto" w:cs="Calibri"/>
                <w:sz w:val="22"/>
                <w:szCs w:val="22"/>
              </w:rPr>
              <w:t>e</w:t>
            </w:r>
            <w:r w:rsidRPr="006D3E56">
              <w:rPr>
                <w:rFonts w:ascii="Roboto" w:hAnsi="Roboto" w:cs="Calibri"/>
                <w:sz w:val="22"/>
                <w:szCs w:val="22"/>
              </w:rPr>
              <w:t xml:space="preserve"> tijela, vidljivo je da je u 2025. taj postotak nešto niži što se tiče korištenja te pravne osnove za odbacivanje zahtjeva.</w:t>
            </w:r>
          </w:p>
        </w:tc>
      </w:tr>
    </w:tbl>
    <w:p w14:paraId="1C815D14" w14:textId="77777777" w:rsidR="00AA14F5" w:rsidRDefault="00AA14F5" w:rsidP="001F7977">
      <w:pPr>
        <w:widowControl w:val="0"/>
        <w:rPr>
          <w:rFonts w:ascii="Roboto" w:hAnsi="Roboto"/>
          <w:sz w:val="22"/>
          <w:szCs w:val="22"/>
        </w:rPr>
      </w:pPr>
    </w:p>
    <w:p w14:paraId="3DEC0E64" w14:textId="332E911A" w:rsidR="00A71F06" w:rsidRPr="006D3E56" w:rsidRDefault="00A71F06" w:rsidP="001F7977">
      <w:pPr>
        <w:widowControl w:val="0"/>
        <w:rPr>
          <w:rFonts w:ascii="Roboto" w:hAnsi="Roboto"/>
          <w:sz w:val="22"/>
          <w:szCs w:val="22"/>
        </w:rPr>
      </w:pPr>
      <w:r w:rsidRPr="006D3E56">
        <w:rPr>
          <w:rFonts w:ascii="Roboto" w:hAnsi="Roboto"/>
          <w:sz w:val="22"/>
          <w:szCs w:val="22"/>
        </w:rPr>
        <w:t xml:space="preserve">U 2025. zaprimljene su ukupno 82 žalbe izjavljene na rješenja koja su donijela prvostupanjska tijela pozivajući se na zlouporabu prava na pristup informacijama, odnosno 6,2% od ukupnog </w:t>
      </w:r>
      <w:r w:rsidR="007B2495">
        <w:rPr>
          <w:rFonts w:ascii="Roboto" w:hAnsi="Roboto"/>
          <w:sz w:val="22"/>
          <w:szCs w:val="22"/>
        </w:rPr>
        <w:t>1.317</w:t>
      </w:r>
      <w:r w:rsidRPr="006D3E56">
        <w:rPr>
          <w:rFonts w:ascii="Roboto" w:hAnsi="Roboto"/>
          <w:sz w:val="22"/>
          <w:szCs w:val="22"/>
        </w:rPr>
        <w:t xml:space="preserve"> zaprimljenih žalbi u 2025. Broj podnesenih žalbi radi zlouporabe prava predstavlja pad od 18,8% u odnosu na prethodnu godinu, jer je tijekom 2024. zaprimljena 101 žalba.</w:t>
      </w:r>
    </w:p>
    <w:p w14:paraId="6AC99480" w14:textId="7E86DA31" w:rsidR="00A71F06" w:rsidRPr="001F7977" w:rsidRDefault="00A71F06" w:rsidP="001F7977">
      <w:pPr>
        <w:widowControl w:val="0"/>
        <w:rPr>
          <w:rFonts w:ascii="Roboto" w:hAnsi="Roboto"/>
          <w:sz w:val="22"/>
          <w:szCs w:val="22"/>
        </w:rPr>
      </w:pPr>
      <w:r w:rsidRPr="006D3E56">
        <w:rPr>
          <w:rFonts w:ascii="Roboto" w:hAnsi="Roboto"/>
          <w:sz w:val="22"/>
          <w:szCs w:val="22"/>
        </w:rPr>
        <w:t>Tijekom 2025. godine u radu je bilo ukupno 111 žalbi radi zlouporabe prava, s obzirom da je broju zaprimljenih žalbi pribrojeno 29 prenesenih žalbi iz prethodnih razdoblja te je doneseno 20 zaključaka kojima su spojene upravne stvari, što znači da je u radu bio 91 predmet, od čega je ukupno riješeno 65 predmeta odnosno 85 predmeta (s obzirom da je 20 predmeta spojeno zaključkom).</w:t>
      </w:r>
    </w:p>
    <w:tbl>
      <w:tblPr>
        <w:tblStyle w:val="Reetkatablice"/>
        <w:tblW w:w="9067" w:type="dxa"/>
        <w:tblLook w:val="04A0" w:firstRow="1" w:lastRow="0" w:firstColumn="1" w:lastColumn="0" w:noHBand="0" w:noVBand="1"/>
      </w:tblPr>
      <w:tblGrid>
        <w:gridCol w:w="9067"/>
      </w:tblGrid>
      <w:tr w:rsidR="00A71F06" w:rsidRPr="006D3E56" w14:paraId="50F10F43" w14:textId="77777777" w:rsidTr="00DF7854">
        <w:tc>
          <w:tcPr>
            <w:tcW w:w="9067" w:type="dxa"/>
          </w:tcPr>
          <w:p w14:paraId="5252E391" w14:textId="77777777" w:rsidR="00A71F06" w:rsidRPr="006D3E56" w:rsidRDefault="00A71F06" w:rsidP="001F7977">
            <w:pPr>
              <w:widowControl w:val="0"/>
              <w:rPr>
                <w:rFonts w:ascii="Roboto" w:hAnsi="Roboto" w:cs="Calibri"/>
                <w:sz w:val="22"/>
                <w:szCs w:val="22"/>
              </w:rPr>
            </w:pPr>
            <w:r w:rsidRPr="006D3E56">
              <w:rPr>
                <w:rFonts w:ascii="Roboto" w:hAnsi="Roboto"/>
                <w:sz w:val="22"/>
                <w:szCs w:val="22"/>
              </w:rPr>
              <w:t>Uspoređujući podatke iz 2024. i uzimajući u obzir podatke iz ranijih razdoblja, proizlazi da je  u 2025. zabilježena tendencija blagog pada zaprimljenih žalbi radi zlouporabe i slijedom toga  manjeg broja žalbi u radu. No isto tako je vidljivo da je od ukupnog broja odbijenih zahtjeva u 2025. više od polovice odbijeno radi zlouporabe prava te da je u odnosu na 2024. zabilježen nešto veći broj poništenih rješenja prvostupanjskih tijela, što znači da se tijela često u svojim rješenjima neosnovano pozivaju na zlouporabu prava na pristup informacijama.</w:t>
            </w:r>
          </w:p>
        </w:tc>
      </w:tr>
    </w:tbl>
    <w:p w14:paraId="3365615E" w14:textId="77777777" w:rsidR="00FA6B7A" w:rsidRDefault="00FA6B7A" w:rsidP="001F7977">
      <w:pPr>
        <w:tabs>
          <w:tab w:val="left" w:pos="1140"/>
        </w:tabs>
        <w:rPr>
          <w:rFonts w:ascii="Roboto" w:hAnsi="Roboto"/>
          <w:sz w:val="22"/>
          <w:szCs w:val="22"/>
        </w:rPr>
      </w:pPr>
    </w:p>
    <w:p w14:paraId="0DD3BA0D" w14:textId="3BAC7A03" w:rsidR="00A71F06" w:rsidRPr="006D3E56" w:rsidRDefault="00A71F06" w:rsidP="001F7977">
      <w:pPr>
        <w:tabs>
          <w:tab w:val="left" w:pos="1140"/>
        </w:tabs>
        <w:rPr>
          <w:rFonts w:ascii="Roboto" w:hAnsi="Roboto"/>
          <w:color w:val="C00000"/>
          <w:sz w:val="22"/>
          <w:szCs w:val="22"/>
        </w:rPr>
      </w:pPr>
      <w:r w:rsidRPr="006D3E56">
        <w:rPr>
          <w:rFonts w:ascii="Roboto" w:hAnsi="Roboto"/>
          <w:sz w:val="22"/>
          <w:szCs w:val="22"/>
        </w:rPr>
        <w:t>Povjerenik</w:t>
      </w:r>
      <w:r w:rsidR="00FA6B7A">
        <w:rPr>
          <w:rFonts w:ascii="Roboto" w:hAnsi="Roboto"/>
          <w:sz w:val="22"/>
          <w:szCs w:val="22"/>
        </w:rPr>
        <w:t xml:space="preserve"> je</w:t>
      </w:r>
      <w:r w:rsidRPr="006D3E56">
        <w:rPr>
          <w:rFonts w:ascii="Roboto" w:hAnsi="Roboto"/>
          <w:sz w:val="22"/>
          <w:szCs w:val="22"/>
        </w:rPr>
        <w:t xml:space="preserve"> tijekom 2025. zaprimio  78 (5,9% od ukupno </w:t>
      </w:r>
      <w:r w:rsidR="007B2495">
        <w:rPr>
          <w:rFonts w:ascii="Roboto" w:hAnsi="Roboto"/>
          <w:sz w:val="22"/>
          <w:szCs w:val="22"/>
        </w:rPr>
        <w:t>1.317</w:t>
      </w:r>
      <w:r w:rsidRPr="006D3E56">
        <w:rPr>
          <w:rFonts w:ascii="Roboto" w:hAnsi="Roboto"/>
          <w:sz w:val="22"/>
          <w:szCs w:val="22"/>
        </w:rPr>
        <w:t xml:space="preserve"> zaprimljenih žalbi) žalbi protiv odluka u kojima je zaštita osobnih podataka bila razlog za odbijanje zahtjeva za pristup informacijama, pa je zajedno sa 35 prenesenih predmeta iz prethodne godine, u radu ukupno imao 113 takvih žalbenih predmeta, od kojih je riješeno 79. </w:t>
      </w:r>
    </w:p>
    <w:p w14:paraId="0E953F52" w14:textId="77777777" w:rsidR="00A71F06" w:rsidRPr="006D3E56" w:rsidRDefault="00A71F06" w:rsidP="001F7977">
      <w:pPr>
        <w:tabs>
          <w:tab w:val="left" w:pos="1140"/>
        </w:tabs>
        <w:rPr>
          <w:rFonts w:ascii="Roboto" w:hAnsi="Roboto"/>
          <w:color w:val="C00000"/>
          <w:sz w:val="22"/>
          <w:szCs w:val="22"/>
        </w:rPr>
      </w:pPr>
      <w:r w:rsidRPr="006D3E56">
        <w:rPr>
          <w:rFonts w:ascii="Roboto" w:hAnsi="Roboto"/>
          <w:sz w:val="22"/>
          <w:szCs w:val="22"/>
        </w:rPr>
        <w:lastRenderedPageBreak/>
        <w:t xml:space="preserve">Povjerenik je u 32 (40,5%) slučaja potvrdio odluku tijela, a u 40 (50,6%) je rješenje prvostupanjskog tijela poništeno kao nepravilno, od čega je u 28 slučajeva omogućen ili djelomično omogućen pristup informaciji, u 10 slučajeva predmet vraćen na ponovni postupak, a u dva slučaja je poništeno rješenje i riješen zahtjev. U pet predmeta je nakon izjavljene žalbe tijelo samo promijenilo svoju odluku, u jednom slučaju je rješenje oglašeno ništavim te je jedna žalba odbačena. </w:t>
      </w:r>
    </w:p>
    <w:tbl>
      <w:tblPr>
        <w:tblStyle w:val="Reetkatablice"/>
        <w:tblW w:w="0" w:type="auto"/>
        <w:tblLook w:val="04A0" w:firstRow="1" w:lastRow="0" w:firstColumn="1" w:lastColumn="0" w:noHBand="0" w:noVBand="1"/>
      </w:tblPr>
      <w:tblGrid>
        <w:gridCol w:w="9062"/>
      </w:tblGrid>
      <w:tr w:rsidR="00A71F06" w:rsidRPr="006D3E56" w14:paraId="4CA99F88" w14:textId="77777777" w:rsidTr="00DF7854">
        <w:tc>
          <w:tcPr>
            <w:tcW w:w="9062" w:type="dxa"/>
          </w:tcPr>
          <w:p w14:paraId="0EAAE1EB" w14:textId="77777777" w:rsidR="00A71F06" w:rsidRPr="006D3E56" w:rsidRDefault="00A71F06" w:rsidP="001F7977">
            <w:pPr>
              <w:rPr>
                <w:rFonts w:ascii="Roboto" w:hAnsi="Roboto"/>
                <w:i/>
                <w:iCs/>
                <w:sz w:val="22"/>
                <w:szCs w:val="22"/>
              </w:rPr>
            </w:pPr>
            <w:r w:rsidRPr="006D3E56">
              <w:rPr>
                <w:rFonts w:ascii="Roboto" w:hAnsi="Roboto"/>
                <w:sz w:val="22"/>
                <w:szCs w:val="22"/>
              </w:rPr>
              <w:t>Prema podacima o riješenim žalbama Povjerenika može se zaključiti kako je i u 2025. još uvijek prisutan dosta veliki postotak nepravilnosti u odlučivanju prvostupanjskih tijela kada koriste ograničenje pristupa informacijama zbog zaštite osobnih podataka, jer su u 51,29% slučajeva korisnicima neopravdano po toj osnovi uskratila informaciju</w:t>
            </w:r>
            <w:r w:rsidRPr="006D3E56">
              <w:rPr>
                <w:rFonts w:ascii="Roboto" w:hAnsi="Roboto"/>
                <w:i/>
                <w:iCs/>
                <w:sz w:val="22"/>
                <w:szCs w:val="22"/>
              </w:rPr>
              <w:t xml:space="preserve">. </w:t>
            </w:r>
          </w:p>
        </w:tc>
      </w:tr>
    </w:tbl>
    <w:p w14:paraId="1F913936" w14:textId="77777777" w:rsidR="00FA6B7A" w:rsidRDefault="00FA6B7A" w:rsidP="001F7977">
      <w:pPr>
        <w:rPr>
          <w:rFonts w:ascii="Roboto" w:hAnsi="Roboto"/>
          <w:sz w:val="22"/>
          <w:szCs w:val="22"/>
        </w:rPr>
      </w:pPr>
      <w:bookmarkStart w:id="7" w:name="_Toc131070570"/>
    </w:p>
    <w:p w14:paraId="6F53A163" w14:textId="62D1A419" w:rsidR="00A71F06" w:rsidRPr="00A2064A" w:rsidRDefault="00A71F06" w:rsidP="001F7977">
      <w:pPr>
        <w:rPr>
          <w:rFonts w:ascii="Roboto" w:hAnsi="Roboto"/>
          <w:strike/>
          <w:sz w:val="22"/>
          <w:szCs w:val="22"/>
        </w:rPr>
      </w:pPr>
      <w:r w:rsidRPr="006D3E56">
        <w:rPr>
          <w:rFonts w:ascii="Roboto" w:hAnsi="Roboto"/>
          <w:sz w:val="22"/>
          <w:szCs w:val="22"/>
        </w:rPr>
        <w:t xml:space="preserve">U 2025. zaprimljeno je 60 žalbi na rješenja u kojima su se prvostupanjska tijela pozivala na ograničenje pristupa informaciji (4,6% od ukupno </w:t>
      </w:r>
      <w:r w:rsidR="007B2495">
        <w:rPr>
          <w:rFonts w:ascii="Roboto" w:hAnsi="Roboto"/>
          <w:sz w:val="22"/>
          <w:szCs w:val="22"/>
        </w:rPr>
        <w:t>1.317</w:t>
      </w:r>
      <w:r w:rsidRPr="006D3E56">
        <w:rPr>
          <w:rFonts w:ascii="Roboto" w:hAnsi="Roboto"/>
          <w:sz w:val="22"/>
          <w:szCs w:val="22"/>
        </w:rPr>
        <w:t xml:space="preserve"> zaprimljenih žalbi) koja je klasificirana stupnjem tajnosti, a brojci od 60 žalbi dodana je i jedna prenesena žalba iz 2024. godine, pa je u radu bila ukupno 61 žalba. Od ukupnog broja žalbi u radu u 2025. riješeno je 60 žalbi na način da je u 59 slučajeva potvrđeno rješenje prvostupanjskog tijela te su žalbe odbijene kao neosnovane, dok je u jednom slučaju u žalbenom postupku Povjerenik poništio prvostupanjsko rješenje te je omogućen pristup informacijama, s obzirom da je utvrđeno da zatražena informacija nije klasificirana stupnjem tajnosti. </w:t>
      </w:r>
    </w:p>
    <w:tbl>
      <w:tblPr>
        <w:tblStyle w:val="Reetkatablice"/>
        <w:tblW w:w="9067" w:type="dxa"/>
        <w:tblLook w:val="04A0" w:firstRow="1" w:lastRow="0" w:firstColumn="1" w:lastColumn="0" w:noHBand="0" w:noVBand="1"/>
      </w:tblPr>
      <w:tblGrid>
        <w:gridCol w:w="9067"/>
      </w:tblGrid>
      <w:tr w:rsidR="00A71F06" w:rsidRPr="006D3E56" w14:paraId="594143F9" w14:textId="77777777" w:rsidTr="00DF7854">
        <w:tc>
          <w:tcPr>
            <w:tcW w:w="9067" w:type="dxa"/>
          </w:tcPr>
          <w:p w14:paraId="76634454" w14:textId="77777777" w:rsidR="00A71F06" w:rsidRPr="006D3E56" w:rsidRDefault="00A71F06" w:rsidP="001F7977">
            <w:pPr>
              <w:rPr>
                <w:rFonts w:ascii="Roboto" w:hAnsi="Roboto"/>
                <w:sz w:val="22"/>
                <w:szCs w:val="22"/>
              </w:rPr>
            </w:pPr>
            <w:r w:rsidRPr="006D3E56">
              <w:rPr>
                <w:rFonts w:ascii="Roboto" w:hAnsi="Roboto"/>
                <w:sz w:val="22"/>
                <w:szCs w:val="22"/>
              </w:rPr>
              <w:t xml:space="preserve">Uz podnesene žalbe u 2025. vezane za ograničenje pristupa informaciji koja je klasificirana stupnjem tajnosti ističe se da se u velikoj mjeri radilo o istovrsnim postupcima Ministarstva financija u kojima su odbijani identični zahtjevi različitih korisnika koji traže informaciju čije ostvarenje pristupa je u interesu svih podnositelja zahtjeva, tako da se ne može zaključiti da postoji širi interes korisnika za informacije koje su klasificirane stupnjem tajnosti. </w:t>
            </w:r>
          </w:p>
        </w:tc>
      </w:tr>
    </w:tbl>
    <w:p w14:paraId="57B4F95D" w14:textId="77777777" w:rsidR="00B62400" w:rsidRDefault="00B62400" w:rsidP="001F7977">
      <w:pPr>
        <w:rPr>
          <w:rFonts w:ascii="Roboto" w:hAnsi="Roboto"/>
          <w:sz w:val="22"/>
          <w:szCs w:val="22"/>
        </w:rPr>
      </w:pPr>
    </w:p>
    <w:p w14:paraId="37D9923B" w14:textId="401A9AE4" w:rsidR="00A71F06" w:rsidRPr="006D3E56" w:rsidRDefault="00A71F06" w:rsidP="001F7977">
      <w:pPr>
        <w:rPr>
          <w:rFonts w:ascii="Roboto" w:hAnsi="Roboto"/>
          <w:sz w:val="22"/>
          <w:szCs w:val="22"/>
        </w:rPr>
      </w:pPr>
      <w:r w:rsidRPr="006D3E56">
        <w:rPr>
          <w:rFonts w:ascii="Roboto" w:hAnsi="Roboto"/>
          <w:sz w:val="22"/>
          <w:szCs w:val="22"/>
        </w:rPr>
        <w:t xml:space="preserve">Povjerenik je tijekom 2025. zaprimio 28 žalbi (2,1% od ukupno </w:t>
      </w:r>
      <w:r w:rsidR="007B2495">
        <w:rPr>
          <w:rFonts w:ascii="Roboto" w:hAnsi="Roboto"/>
          <w:sz w:val="22"/>
          <w:szCs w:val="22"/>
        </w:rPr>
        <w:t>1.317</w:t>
      </w:r>
      <w:r w:rsidRPr="006D3E56">
        <w:rPr>
          <w:rFonts w:ascii="Roboto" w:hAnsi="Roboto"/>
          <w:sz w:val="22"/>
          <w:szCs w:val="22"/>
        </w:rPr>
        <w:t xml:space="preserve"> zaprimljenih žalbi) izjavljenih protiv rješenja u kojima su tijela koristila poslovnu ili profesionalnu tajnu kao razlog za odbijanje zahtjeva, pa je zajedno sa prenesenim žalbama iz prošlog izvještajnog razdoblja imao u radu ukupno 35 takvih žalbenih predmeta.</w:t>
      </w:r>
    </w:p>
    <w:p w14:paraId="30CBB50E" w14:textId="77777777" w:rsidR="00A71F06" w:rsidRPr="006D3E56" w:rsidRDefault="00A71F06" w:rsidP="001F7977">
      <w:pPr>
        <w:rPr>
          <w:rFonts w:ascii="Roboto" w:hAnsi="Roboto"/>
          <w:sz w:val="22"/>
          <w:szCs w:val="22"/>
        </w:rPr>
      </w:pPr>
      <w:r w:rsidRPr="006D3E56">
        <w:rPr>
          <w:rFonts w:ascii="Roboto" w:hAnsi="Roboto"/>
          <w:sz w:val="22"/>
          <w:szCs w:val="22"/>
        </w:rPr>
        <w:t>Od 35 navedenih predmeta u radu riješene su 23 žalbe (65,7%), na način da je u 16 ili 69,9% slučajeva rješenje poništeno, te je u 13 slučajeva u cijelosti ili djelomično omogućen pristup informaciji, a u 3 slučaja predmet vraćen na ponovni postupak. Od riješenih predmeta, u 5 (21,7%) slučajeva je potvrđeno prvostupanjsko rješenje i odbijena žalba, u jednom slučaju je obustavljen postupak, a u jednom je tijelo samo promijenilo odluku.</w:t>
      </w:r>
    </w:p>
    <w:tbl>
      <w:tblPr>
        <w:tblStyle w:val="Reetkatablice"/>
        <w:tblW w:w="0" w:type="auto"/>
        <w:tblLook w:val="04A0" w:firstRow="1" w:lastRow="0" w:firstColumn="1" w:lastColumn="0" w:noHBand="0" w:noVBand="1"/>
      </w:tblPr>
      <w:tblGrid>
        <w:gridCol w:w="9062"/>
      </w:tblGrid>
      <w:tr w:rsidR="00A71F06" w:rsidRPr="006D3E56" w14:paraId="6572EFE8" w14:textId="77777777" w:rsidTr="00DF7854">
        <w:tc>
          <w:tcPr>
            <w:tcW w:w="9062" w:type="dxa"/>
          </w:tcPr>
          <w:p w14:paraId="11EDA8D7" w14:textId="39ED7339" w:rsidR="00A71F06" w:rsidRPr="006D3E56" w:rsidRDefault="007B2495" w:rsidP="001F7977">
            <w:pPr>
              <w:rPr>
                <w:rFonts w:ascii="Roboto" w:hAnsi="Roboto"/>
                <w:color w:val="C00000"/>
                <w:sz w:val="22"/>
                <w:szCs w:val="22"/>
              </w:rPr>
            </w:pPr>
            <w:r w:rsidRPr="007B2495">
              <w:rPr>
                <w:rFonts w:ascii="Roboto" w:hAnsi="Roboto"/>
                <w:color w:val="000000" w:themeColor="text1"/>
                <w:sz w:val="22"/>
                <w:szCs w:val="22"/>
              </w:rPr>
              <w:t xml:space="preserve">Kada se podaci iz 2025. usporede s podacima iz 2024., kada </w:t>
            </w:r>
            <w:r w:rsidR="009C1F6B">
              <w:rPr>
                <w:rFonts w:ascii="Roboto" w:hAnsi="Roboto"/>
                <w:color w:val="000000" w:themeColor="text1"/>
                <w:sz w:val="22"/>
                <w:szCs w:val="22"/>
              </w:rPr>
              <w:t>su</w:t>
            </w:r>
            <w:r w:rsidRPr="007B2495">
              <w:rPr>
                <w:rFonts w:ascii="Roboto" w:hAnsi="Roboto"/>
                <w:color w:val="000000" w:themeColor="text1"/>
                <w:sz w:val="22"/>
                <w:szCs w:val="22"/>
              </w:rPr>
              <w:t xml:space="preserve"> u radu bil</w:t>
            </w:r>
            <w:r w:rsidR="00827E53">
              <w:rPr>
                <w:rFonts w:ascii="Roboto" w:hAnsi="Roboto"/>
                <w:color w:val="000000" w:themeColor="text1"/>
                <w:sz w:val="22"/>
                <w:szCs w:val="22"/>
              </w:rPr>
              <w:t>a</w:t>
            </w:r>
            <w:r w:rsidRPr="007B2495">
              <w:rPr>
                <w:rFonts w:ascii="Roboto" w:hAnsi="Roboto"/>
                <w:color w:val="000000" w:themeColor="text1"/>
                <w:sz w:val="22"/>
                <w:szCs w:val="22"/>
              </w:rPr>
              <w:t xml:space="preserve"> 52 takva predmeta, vidljivo je da je u ovom izvještajnom razdoblju došlo do smanjenja broja predmeta u kojima je bila riječ o ograničenju pristupa informacijama zbog poslovne ili profesionalne tajne.  </w:t>
            </w:r>
          </w:p>
        </w:tc>
      </w:tr>
    </w:tbl>
    <w:p w14:paraId="7D50E4B6" w14:textId="77777777" w:rsidR="009C1F6B" w:rsidRDefault="009C1F6B" w:rsidP="001F7977">
      <w:pPr>
        <w:rPr>
          <w:rFonts w:ascii="Roboto" w:hAnsi="Roboto"/>
          <w:sz w:val="22"/>
          <w:szCs w:val="22"/>
        </w:rPr>
      </w:pPr>
      <w:bookmarkStart w:id="8" w:name="_Toc194064480"/>
    </w:p>
    <w:p w14:paraId="056A9324" w14:textId="7BD03367" w:rsidR="00A71F06" w:rsidRPr="006D3E56" w:rsidRDefault="00A71F06" w:rsidP="001F7977">
      <w:pPr>
        <w:rPr>
          <w:rFonts w:ascii="Roboto" w:hAnsi="Roboto"/>
          <w:sz w:val="22"/>
          <w:szCs w:val="22"/>
        </w:rPr>
      </w:pPr>
      <w:r w:rsidRPr="006D3E56">
        <w:rPr>
          <w:rFonts w:ascii="Roboto" w:hAnsi="Roboto"/>
          <w:sz w:val="22"/>
          <w:szCs w:val="22"/>
        </w:rPr>
        <w:lastRenderedPageBreak/>
        <w:t xml:space="preserve">U 2025. Povjerenik je zaprimio 25 žalbi protiv odluka u kojima je mogući utjecaj na vođenje nekog pravno uređenog postupka bio razlog za odbijanje zahtjeva za pristup informacijama, (1,9% od ukupno </w:t>
      </w:r>
      <w:r w:rsidR="007B2495">
        <w:rPr>
          <w:rFonts w:ascii="Roboto" w:hAnsi="Roboto"/>
          <w:sz w:val="22"/>
          <w:szCs w:val="22"/>
        </w:rPr>
        <w:t>1.317</w:t>
      </w:r>
      <w:r w:rsidRPr="006D3E56">
        <w:rPr>
          <w:rFonts w:ascii="Roboto" w:hAnsi="Roboto"/>
          <w:sz w:val="22"/>
          <w:szCs w:val="22"/>
        </w:rPr>
        <w:t xml:space="preserve"> zaprimljenih žalbi) pa je zajedno s predmetima prenesenim iz ranijeg razdoblja (12) u radu  bilo ukupno 37 predmeta, od kojih je riješeno 22 (59,5%), na način da je u 13 (59,1%) predmeta žalba odbijena kao neosnovana, a u osam predmeta (36,3%) rješenje je poništeno. Kod poništavanja prvostupanjskih rješenja Povjerenik je u četiri slučaja omogućio pristup informacijama, a u 4 slučaja predmet vratio na ponovno rješavanje prvostupanjskom tijelu. U jednom slučaju je prvostupanjsko tijelo samo promijenilo svoju odluku. </w:t>
      </w:r>
    </w:p>
    <w:tbl>
      <w:tblPr>
        <w:tblStyle w:val="Reetkatablice"/>
        <w:tblW w:w="0" w:type="auto"/>
        <w:tblLook w:val="04A0" w:firstRow="1" w:lastRow="0" w:firstColumn="1" w:lastColumn="0" w:noHBand="0" w:noVBand="1"/>
      </w:tblPr>
      <w:tblGrid>
        <w:gridCol w:w="9062"/>
      </w:tblGrid>
      <w:tr w:rsidR="00A71F06" w:rsidRPr="006D3E56" w14:paraId="3DEC0B93" w14:textId="77777777" w:rsidTr="00DF7854">
        <w:tc>
          <w:tcPr>
            <w:tcW w:w="16721" w:type="dxa"/>
          </w:tcPr>
          <w:p w14:paraId="649B8938" w14:textId="77777777" w:rsidR="00A71F06" w:rsidRPr="006D3E56" w:rsidRDefault="00A71F06" w:rsidP="001F7977">
            <w:pPr>
              <w:rPr>
                <w:rFonts w:ascii="Roboto" w:hAnsi="Roboto"/>
                <w:sz w:val="22"/>
                <w:szCs w:val="22"/>
              </w:rPr>
            </w:pPr>
            <w:r w:rsidRPr="006D3E56">
              <w:rPr>
                <w:rFonts w:ascii="Roboto" w:hAnsi="Roboto"/>
                <w:sz w:val="22"/>
                <w:szCs w:val="22"/>
              </w:rPr>
              <w:t>Usporedbom podataka s 2024., u 2025. godini došlo je do povećanja potvrđenih prvostupanjskih rješenja u kojima je korišten ovaj razlog odbijanja zahtjeva te do smanjenja poništenih rješenja tijela.</w:t>
            </w:r>
          </w:p>
        </w:tc>
      </w:tr>
      <w:bookmarkEnd w:id="7"/>
      <w:bookmarkEnd w:id="8"/>
    </w:tbl>
    <w:p w14:paraId="0BE3869B" w14:textId="77777777" w:rsidR="005C02DA" w:rsidRDefault="005C02DA" w:rsidP="001F7977">
      <w:pPr>
        <w:widowControl w:val="0"/>
        <w:ind w:right="-40"/>
        <w:rPr>
          <w:rFonts w:ascii="Roboto" w:hAnsi="Roboto"/>
          <w:sz w:val="22"/>
          <w:szCs w:val="22"/>
        </w:rPr>
      </w:pPr>
    </w:p>
    <w:p w14:paraId="2384E543" w14:textId="2639A108" w:rsidR="00A71F06" w:rsidRPr="006D3E56" w:rsidRDefault="00A71F06" w:rsidP="001F7977">
      <w:pPr>
        <w:widowControl w:val="0"/>
        <w:ind w:right="-40"/>
        <w:rPr>
          <w:rFonts w:ascii="Roboto" w:hAnsi="Roboto"/>
          <w:sz w:val="22"/>
          <w:szCs w:val="22"/>
        </w:rPr>
      </w:pPr>
      <w:r w:rsidRPr="006D3E56">
        <w:rPr>
          <w:rFonts w:ascii="Roboto" w:hAnsi="Roboto"/>
          <w:sz w:val="22"/>
          <w:szCs w:val="22"/>
        </w:rPr>
        <w:t xml:space="preserve">Povjerenik je u 2025. zaprimio 20 žalbi zbog odbijanja zahtjeva </w:t>
      </w:r>
      <w:r w:rsidRPr="006D3E56">
        <w:rPr>
          <w:rFonts w:ascii="Roboto" w:hAnsi="Roboto" w:cs="Arial"/>
          <w:sz w:val="22"/>
          <w:szCs w:val="22"/>
        </w:rPr>
        <w:t>kada je to propisano drugim zakonom</w:t>
      </w:r>
      <w:r w:rsidRPr="006D3E56">
        <w:rPr>
          <w:rFonts w:ascii="Roboto" w:hAnsi="Roboto"/>
          <w:sz w:val="22"/>
          <w:szCs w:val="22"/>
        </w:rPr>
        <w:t xml:space="preserve"> (1,5% od ukupno zaprimljenih žalbi), a s prenesenim žalbama iz ranijeg razdoblja (10) ukupno je u radu bilo 30 predmeta, od čega je riješeno 22 (73,3%), na način da je u osam (26,7%) slučajeva potvrđena odluka tijela. U 13 (59,1%) slučajeva poništeno je rješenje tijela javne vlasti te je u 10 predmeta omogućen pristup informacijama, a u 3 predmet vraćen na ponovno odlučivanje prvostupanjskom tijelu. Od riješenih predmeta u 8 slučajeva su žalbe odbijene te je u jednom slučaju prvostupanjsko rješenje oglašeno ništavim. </w:t>
      </w:r>
    </w:p>
    <w:p w14:paraId="05B60382" w14:textId="1F038281" w:rsidR="00CF687D" w:rsidRPr="001F7977" w:rsidRDefault="00A71F06" w:rsidP="001F7977">
      <w:pPr>
        <w:widowControl w:val="0"/>
        <w:pBdr>
          <w:top w:val="single" w:sz="4" w:space="1" w:color="auto"/>
          <w:left w:val="single" w:sz="4" w:space="4" w:color="auto"/>
          <w:bottom w:val="single" w:sz="4" w:space="1" w:color="auto"/>
          <w:right w:val="single" w:sz="4" w:space="4" w:color="auto"/>
        </w:pBdr>
        <w:ind w:right="-42"/>
        <w:rPr>
          <w:rFonts w:ascii="Roboto" w:hAnsi="Roboto"/>
          <w:sz w:val="22"/>
          <w:szCs w:val="22"/>
        </w:rPr>
      </w:pPr>
      <w:r w:rsidRPr="006D3E56">
        <w:rPr>
          <w:rFonts w:ascii="Roboto" w:hAnsi="Roboto"/>
          <w:sz w:val="22"/>
          <w:szCs w:val="22"/>
        </w:rPr>
        <w:t>Kada se navedeni podaci usporede s 2024., vidljivo je da je u 2025. godini došlo do povećanja broja predmeta u kojima su prvostupanjska tijela koristila ovo zakonsko ograničenje, a također i broja poništenih prvostupanjskih rješenja u kojima su se kod odbijanja zahtjeva prvostupanjska tijela pozivala na članak 15. stavak 2. točku 7. ZPPI-</w:t>
      </w:r>
      <w:proofErr w:type="spellStart"/>
      <w:r w:rsidRPr="006D3E56">
        <w:rPr>
          <w:rFonts w:ascii="Roboto" w:hAnsi="Roboto"/>
          <w:sz w:val="22"/>
          <w:szCs w:val="22"/>
        </w:rPr>
        <w:t>ija</w:t>
      </w:r>
      <w:proofErr w:type="spellEnd"/>
      <w:r w:rsidRPr="006D3E56">
        <w:rPr>
          <w:rFonts w:ascii="Roboto" w:hAnsi="Roboto"/>
          <w:sz w:val="22"/>
          <w:szCs w:val="22"/>
        </w:rPr>
        <w:t>.</w:t>
      </w:r>
    </w:p>
    <w:p w14:paraId="6F090A65" w14:textId="77777777" w:rsidR="00A71F06" w:rsidRPr="006D3E56" w:rsidRDefault="00A71F06" w:rsidP="001F7977">
      <w:pPr>
        <w:rPr>
          <w:rFonts w:ascii="Roboto" w:hAnsi="Roboto" w:cs="Arial"/>
          <w:i/>
          <w:iCs/>
          <w:sz w:val="22"/>
          <w:szCs w:val="22"/>
        </w:rPr>
      </w:pPr>
      <w:r w:rsidRPr="006D3E56">
        <w:rPr>
          <w:rFonts w:ascii="Roboto" w:hAnsi="Roboto" w:cs="Arial"/>
          <w:i/>
          <w:iCs/>
          <w:sz w:val="22"/>
          <w:szCs w:val="22"/>
        </w:rPr>
        <w:t>Žalbe zbog ponovne uporabe informacija</w:t>
      </w:r>
    </w:p>
    <w:p w14:paraId="48E0B10A" w14:textId="77777777" w:rsidR="00A71F06" w:rsidRPr="006D3E56" w:rsidRDefault="00A71F06" w:rsidP="001F7977">
      <w:pPr>
        <w:widowControl w:val="0"/>
        <w:rPr>
          <w:rFonts w:ascii="Roboto" w:hAnsi="Roboto"/>
          <w:sz w:val="22"/>
          <w:szCs w:val="22"/>
        </w:rPr>
      </w:pPr>
      <w:r w:rsidRPr="006D3E56">
        <w:rPr>
          <w:rFonts w:ascii="Roboto" w:hAnsi="Roboto"/>
          <w:sz w:val="22"/>
          <w:szCs w:val="22"/>
        </w:rPr>
        <w:t>Kada se govori o postupanju Povjerenika u žalbenim postupcima kod ponovne uporabe informacija ističe se da je u ovom području redovito mali broj podnesenih žalbi sa stalno prisutnim padom.</w:t>
      </w:r>
    </w:p>
    <w:tbl>
      <w:tblPr>
        <w:tblStyle w:val="Reetkatablice"/>
        <w:tblW w:w="0" w:type="auto"/>
        <w:tblLook w:val="04A0" w:firstRow="1" w:lastRow="0" w:firstColumn="1" w:lastColumn="0" w:noHBand="0" w:noVBand="1"/>
      </w:tblPr>
      <w:tblGrid>
        <w:gridCol w:w="9062"/>
      </w:tblGrid>
      <w:tr w:rsidR="00A71F06" w:rsidRPr="006D3E56" w14:paraId="53B0CA45" w14:textId="77777777" w:rsidTr="00DF7854">
        <w:tc>
          <w:tcPr>
            <w:tcW w:w="16721" w:type="dxa"/>
          </w:tcPr>
          <w:p w14:paraId="6EF49948" w14:textId="77777777" w:rsidR="00A71F06" w:rsidRPr="006D3E56" w:rsidRDefault="00A71F06" w:rsidP="001F7977">
            <w:pPr>
              <w:widowControl w:val="0"/>
              <w:rPr>
                <w:rFonts w:ascii="Roboto" w:hAnsi="Roboto"/>
                <w:sz w:val="22"/>
                <w:szCs w:val="22"/>
              </w:rPr>
            </w:pPr>
            <w:r w:rsidRPr="006D3E56">
              <w:rPr>
                <w:rFonts w:ascii="Roboto" w:hAnsi="Roboto"/>
                <w:sz w:val="22"/>
                <w:szCs w:val="22"/>
              </w:rPr>
              <w:t xml:space="preserve">Povjerenik je u izvještajnom razdoblju u radu imao pet žalbi koje su se odnosile na postupanje prvostupanjskih tijela po zahtjevu za ponovnu uporabu informacija, od čega su dvije zaprimljene u izvještajnom razdoblju i tri žalbe su prenesene iz 2024., a od ukupnog broja u 2025. riješene su četiri žalbe. </w:t>
            </w:r>
          </w:p>
          <w:p w14:paraId="38A95864" w14:textId="77777777" w:rsidR="00A71F06" w:rsidRPr="006D3E56" w:rsidRDefault="00A71F06" w:rsidP="001F7977">
            <w:pPr>
              <w:widowControl w:val="0"/>
              <w:rPr>
                <w:rFonts w:ascii="Roboto" w:hAnsi="Roboto"/>
                <w:sz w:val="22"/>
                <w:szCs w:val="22"/>
              </w:rPr>
            </w:pPr>
            <w:r w:rsidRPr="006D3E56">
              <w:rPr>
                <w:rFonts w:ascii="Roboto" w:hAnsi="Roboto"/>
                <w:sz w:val="22"/>
                <w:szCs w:val="22"/>
              </w:rPr>
              <w:t xml:space="preserve">Žalbe vezane uz ponovnu uporabu informacija u žalbenim postupcima riješene su na način da je u jednom slučaju rješenje poništeno i predmet vraćen na ponovni postupak, u dva slučaja je odbijena žalba kao neosnovana te je u jednom slučaju obustavljen postupak. </w:t>
            </w:r>
          </w:p>
        </w:tc>
      </w:tr>
    </w:tbl>
    <w:p w14:paraId="06E6CFAF" w14:textId="2FC2314B" w:rsidR="00A71F06" w:rsidRPr="006D3E56" w:rsidRDefault="00A71F06" w:rsidP="001F7977">
      <w:pPr>
        <w:widowControl w:val="0"/>
        <w:rPr>
          <w:rFonts w:ascii="Roboto" w:hAnsi="Roboto"/>
          <w:sz w:val="22"/>
          <w:szCs w:val="22"/>
        </w:rPr>
      </w:pPr>
    </w:p>
    <w:p w14:paraId="589D6B66" w14:textId="42648103" w:rsidR="00627733" w:rsidRPr="00C86404" w:rsidRDefault="00627733" w:rsidP="001F7977">
      <w:pPr>
        <w:pStyle w:val="Naslov1"/>
      </w:pPr>
      <w:bookmarkStart w:id="9" w:name="_Toc225867785"/>
      <w:r w:rsidRPr="00C86404">
        <w:t>Izvršenje rješenja Povjerenika za informiranje</w:t>
      </w:r>
      <w:bookmarkEnd w:id="9"/>
    </w:p>
    <w:p w14:paraId="179D13EE" w14:textId="07BF6595" w:rsidR="000A6F49" w:rsidRPr="006D3E56" w:rsidRDefault="000A6F49" w:rsidP="001F7977">
      <w:pPr>
        <w:shd w:val="clear" w:color="auto" w:fill="FFFFFF"/>
        <w:rPr>
          <w:rFonts w:ascii="Roboto" w:hAnsi="Roboto" w:cs="Arial"/>
          <w:iCs/>
          <w:sz w:val="22"/>
          <w:szCs w:val="22"/>
        </w:rPr>
      </w:pPr>
      <w:r w:rsidRPr="006D3E56">
        <w:rPr>
          <w:rFonts w:ascii="Roboto" w:hAnsi="Roboto" w:cs="Arial"/>
          <w:iCs/>
          <w:sz w:val="22"/>
          <w:szCs w:val="22"/>
        </w:rPr>
        <w:t xml:space="preserve">Tijekom 2025. godine Povjerenik je donio 3 rješenja o izvršenju rješenja na prijedlog stranaka u slučajevima u kojima tijela javne vlasti nisu postupila po rješenju Povjerenika te je u jednom slučaju naloženo da se zahtjev korisnika riješi u roku od 8 dana od dana primitka rješenja, a u </w:t>
      </w:r>
      <w:r w:rsidRPr="006D3E56">
        <w:rPr>
          <w:rFonts w:ascii="Roboto" w:hAnsi="Roboto" w:cs="Arial"/>
          <w:iCs/>
          <w:sz w:val="22"/>
          <w:szCs w:val="22"/>
        </w:rPr>
        <w:lastRenderedPageBreak/>
        <w:t>ostala dva slučaja je naloženo da se postupi sukladno određenoj točki izreke rješenja u roku od 8 dana od dana pravomoćnosti rješenja. U navedenim rješenjima Povjerenik je upozoravao čelnik</w:t>
      </w:r>
      <w:r w:rsidR="00031B37">
        <w:rPr>
          <w:rFonts w:ascii="Roboto" w:hAnsi="Roboto" w:cs="Arial"/>
          <w:iCs/>
          <w:sz w:val="22"/>
          <w:szCs w:val="22"/>
        </w:rPr>
        <w:t>a</w:t>
      </w:r>
      <w:r w:rsidRPr="006D3E56">
        <w:rPr>
          <w:rFonts w:ascii="Roboto" w:hAnsi="Roboto" w:cs="Arial"/>
          <w:iCs/>
          <w:sz w:val="22"/>
          <w:szCs w:val="22"/>
        </w:rPr>
        <w:t xml:space="preserve"> tijela da će, ako ne izvrši obvezu iz rješenja, na izvršenje obveze biti prinuđen izricanjem novčane kazne u iznosu 650,00 EUR, koja će biti naplaćena prisilno putem tijela nadležnog za izvršenje novčanih kazni.</w:t>
      </w:r>
    </w:p>
    <w:p w14:paraId="5C49AA8D" w14:textId="5BC2B8C7" w:rsidR="000A6F49" w:rsidRPr="003C0907" w:rsidRDefault="000A6F49" w:rsidP="001F7977">
      <w:pPr>
        <w:shd w:val="clear" w:color="auto" w:fill="FFFFFF"/>
        <w:rPr>
          <w:rFonts w:ascii="Roboto" w:hAnsi="Roboto" w:cs="Arial"/>
          <w:bCs/>
          <w:iCs/>
          <w:sz w:val="22"/>
          <w:szCs w:val="22"/>
        </w:rPr>
      </w:pPr>
      <w:r w:rsidRPr="006D3E56">
        <w:rPr>
          <w:rFonts w:ascii="Roboto" w:hAnsi="Roboto" w:cs="Arial"/>
          <w:bCs/>
          <w:iCs/>
          <w:sz w:val="22"/>
          <w:szCs w:val="22"/>
        </w:rPr>
        <w:t>Tako je Povjerenik u 2025. godini donio po jedno rješenje o izvršenju rješenja u odnosu na predsjednika Hrvatske gospodarske komore, predsjednika Vatrogasne zajednice Zagrebačke županije te predsjednika Hrvatskog nogometnog saveza.</w:t>
      </w:r>
      <w:r w:rsidR="003C0907">
        <w:rPr>
          <w:rFonts w:ascii="Roboto" w:hAnsi="Roboto" w:cs="Arial"/>
          <w:bCs/>
          <w:iCs/>
          <w:sz w:val="22"/>
          <w:szCs w:val="22"/>
        </w:rPr>
        <w:t xml:space="preserve"> </w:t>
      </w:r>
      <w:r w:rsidRPr="006D3E56">
        <w:rPr>
          <w:rFonts w:ascii="Roboto" w:hAnsi="Roboto" w:cs="Arial"/>
          <w:iCs/>
          <w:sz w:val="22"/>
          <w:szCs w:val="22"/>
        </w:rPr>
        <w:t>Navedena tijela javne vlasti su u roku koji je određen u rješenju o izvršenju postupila po rješenju Povjerenika te su donijela odluku o zahtjevu korisnika odnosno omogućila pristup informacijama, iz kojeg razloga nije bilo osnove za daljnjim postupanjem Povjerenika.</w:t>
      </w:r>
    </w:p>
    <w:tbl>
      <w:tblPr>
        <w:tblStyle w:val="Reetkatablice"/>
        <w:tblW w:w="9067" w:type="dxa"/>
        <w:tblLook w:val="04A0" w:firstRow="1" w:lastRow="0" w:firstColumn="1" w:lastColumn="0" w:noHBand="0" w:noVBand="1"/>
      </w:tblPr>
      <w:tblGrid>
        <w:gridCol w:w="9067"/>
      </w:tblGrid>
      <w:tr w:rsidR="000A6F49" w:rsidRPr="006D3E56" w14:paraId="312A00CD" w14:textId="77777777" w:rsidTr="00DF7854">
        <w:tc>
          <w:tcPr>
            <w:tcW w:w="9067" w:type="dxa"/>
          </w:tcPr>
          <w:p w14:paraId="1120C4C9" w14:textId="77777777" w:rsidR="000A6F49" w:rsidRPr="006D3E56" w:rsidRDefault="000A6F49" w:rsidP="001F7977">
            <w:pPr>
              <w:shd w:val="clear" w:color="auto" w:fill="FFFFFF"/>
              <w:rPr>
                <w:rFonts w:ascii="Roboto" w:hAnsi="Roboto" w:cs="Arial"/>
                <w:iCs/>
                <w:sz w:val="22"/>
                <w:szCs w:val="22"/>
              </w:rPr>
            </w:pPr>
            <w:r w:rsidRPr="006D3E56">
              <w:rPr>
                <w:rFonts w:ascii="Roboto" w:hAnsi="Roboto" w:cs="Arial"/>
                <w:iCs/>
                <w:sz w:val="22"/>
                <w:szCs w:val="22"/>
              </w:rPr>
              <w:t>U usporedbi s prošlim izvještajnim razdobljem kada je tijekom 2024. Povjerenik donio 5 rješenja o izvršenju vidljivo je smanjenje slučajeva donošenje donošenja rješenja o izvršenju. Navedeno ukazuje da tijela javne vlasti u velikoj mjeri postupaju po rješenjima Povjerenika i da su samo u 3 slučaja na prijedlog stranaka donesena rješenja o izvršenju.</w:t>
            </w:r>
          </w:p>
        </w:tc>
      </w:tr>
    </w:tbl>
    <w:p w14:paraId="1EDC21A6" w14:textId="23E21300" w:rsidR="00627733" w:rsidRPr="00C86404" w:rsidRDefault="00627733" w:rsidP="001F7977">
      <w:pPr>
        <w:pStyle w:val="Naslov1"/>
      </w:pPr>
      <w:bookmarkStart w:id="10" w:name="_Toc225867786"/>
      <w:r w:rsidRPr="00C86404">
        <w:t>Sudski nadzor</w:t>
      </w:r>
      <w:bookmarkEnd w:id="10"/>
    </w:p>
    <w:p w14:paraId="24106EAE" w14:textId="77777777" w:rsidR="00FE065D" w:rsidRPr="006D3E56" w:rsidRDefault="00FE065D" w:rsidP="001F7977">
      <w:pPr>
        <w:widowControl w:val="0"/>
        <w:shd w:val="clear" w:color="auto" w:fill="FFFFFF" w:themeFill="background1"/>
        <w:rPr>
          <w:rFonts w:ascii="Roboto" w:hAnsi="Roboto" w:cs="Arial"/>
          <w:iCs/>
          <w:sz w:val="22"/>
          <w:szCs w:val="22"/>
        </w:rPr>
      </w:pPr>
      <w:r w:rsidRPr="006D3E56">
        <w:rPr>
          <w:rFonts w:ascii="Roboto" w:hAnsi="Roboto" w:cs="Arial"/>
          <w:iCs/>
          <w:sz w:val="22"/>
          <w:szCs w:val="22"/>
        </w:rPr>
        <w:t>Tijekom 2025. pred Visokim upravnim sudom RH pokrenuto je 112 upravnih sporova, što ukazuje na povećanje broja upravnih sporova u odnosu na 2024. kad je pokrenuto 60 upravnih sporova, odnosno pokrenuto je 86,7% više upravnih sporova u odnosu na prethodno razdoblje.</w:t>
      </w:r>
    </w:p>
    <w:p w14:paraId="2572CCB9" w14:textId="77777777" w:rsidR="00FE065D" w:rsidRPr="006D3E56" w:rsidRDefault="00FE065D" w:rsidP="001F7977">
      <w:pPr>
        <w:widowControl w:val="0"/>
        <w:shd w:val="clear" w:color="auto" w:fill="FFFFFF" w:themeFill="background1"/>
        <w:rPr>
          <w:rFonts w:ascii="Roboto" w:hAnsi="Roboto" w:cs="Arial"/>
          <w:iCs/>
          <w:sz w:val="22"/>
          <w:szCs w:val="22"/>
        </w:rPr>
      </w:pPr>
      <w:r w:rsidRPr="006D3E56">
        <w:rPr>
          <w:rFonts w:ascii="Roboto" w:hAnsi="Roboto" w:cs="Arial"/>
          <w:iCs/>
          <w:sz w:val="22"/>
          <w:szCs w:val="22"/>
        </w:rPr>
        <w:t xml:space="preserve">Upravni sporovi su pokrenuti u 69 slučajeva (61,6%) protiv rješenja Povjerenika, dok je u 42 slučaja (37,5%) upravni spor pokrenut zbog nerješavanja žalbe u zakonskim rokovima (tzv. šutnja uprave), a u jednom predmetu (0.9%) tužba je pokrenuta protiv obavijesti Povjerenika o neprovođenju postupka prisilnog izvršenja rješenja Povjerenika. </w:t>
      </w:r>
    </w:p>
    <w:p w14:paraId="4024A1EF" w14:textId="77777777" w:rsidR="00FE065D" w:rsidRPr="006D3E56" w:rsidRDefault="00FE065D" w:rsidP="001F7977">
      <w:pPr>
        <w:widowControl w:val="0"/>
        <w:shd w:val="clear" w:color="auto" w:fill="FFFFFF" w:themeFill="background1"/>
        <w:rPr>
          <w:rFonts w:ascii="Roboto" w:hAnsi="Roboto" w:cs="Arial"/>
          <w:iCs/>
          <w:sz w:val="22"/>
          <w:szCs w:val="22"/>
        </w:rPr>
      </w:pPr>
      <w:r w:rsidRPr="006D3E56">
        <w:rPr>
          <w:rFonts w:ascii="Roboto" w:hAnsi="Roboto" w:cs="Arial"/>
          <w:iCs/>
          <w:sz w:val="22"/>
          <w:szCs w:val="22"/>
        </w:rPr>
        <w:t>Kad se navedeni podaci usporede s prethodnim razdobljem, vidljiv je porast broja tužbi radi šutnje Povjerenika (čak 42 tužbe), što predstavlja povećanje od 200% u odnosu na 2024. kad je podneseno 14 tužbi radi šutnje Povjerenika, a razlog je u tome što tijela javne vlasti ne dostavljaju spise predmeta, ne dostavljaju informacije koje su predmet postupka ili ne dostavljaju, sukladno članku 121. ZUP-a, žaliteljima rješenja Povjerenika te žalitelji nemaju saznanja da je žalba riješena.</w:t>
      </w:r>
    </w:p>
    <w:p w14:paraId="586527A9" w14:textId="77777777" w:rsidR="00FE065D" w:rsidRPr="006D3E56" w:rsidRDefault="00FE065D" w:rsidP="001F7977">
      <w:pPr>
        <w:pStyle w:val="Bezproreda"/>
        <w:widowControl w:val="0"/>
        <w:spacing w:after="120" w:line="276" w:lineRule="auto"/>
        <w:jc w:val="both"/>
        <w:rPr>
          <w:rFonts w:ascii="Roboto" w:eastAsia="Times New Roman" w:hAnsi="Roboto" w:cs="Arial"/>
          <w:iCs/>
          <w:lang w:eastAsia="hr-HR"/>
        </w:rPr>
      </w:pPr>
      <w:r w:rsidRPr="006D3E56">
        <w:rPr>
          <w:rFonts w:ascii="Roboto" w:eastAsia="Times New Roman" w:hAnsi="Roboto" w:cs="Arial"/>
          <w:iCs/>
          <w:lang w:eastAsia="hr-HR"/>
        </w:rPr>
        <w:t>Tijekom 2025. Povjerenik je zaprimio ukupno 96 odluka Visokog upravnog suda RH (presude i rješenja) u predmetima prava na pristup informacijama od čega se 79 odluka odnosi na upravne sporove pokrenute protiv rješenja Povjerenika, a 10 odluka na upravne sporove pokrenute radi šutnje Povjerenika, pa će navedeni broj (89) biti korišten za daljnju analizu.</w:t>
      </w:r>
    </w:p>
    <w:p w14:paraId="3BAF766E" w14:textId="77777777" w:rsidR="00FE065D" w:rsidRPr="006D3E56" w:rsidRDefault="00FE065D" w:rsidP="001F7977">
      <w:pPr>
        <w:pStyle w:val="Bezproreda"/>
        <w:widowControl w:val="0"/>
        <w:spacing w:after="120" w:line="276" w:lineRule="auto"/>
        <w:jc w:val="both"/>
        <w:rPr>
          <w:rFonts w:ascii="Roboto" w:eastAsia="Times New Roman" w:hAnsi="Roboto" w:cs="Arial"/>
          <w:iCs/>
          <w:lang w:eastAsia="hr-HR"/>
        </w:rPr>
      </w:pPr>
      <w:r w:rsidRPr="006D3E56">
        <w:rPr>
          <w:rFonts w:ascii="Roboto" w:eastAsia="Times New Roman" w:hAnsi="Roboto" w:cs="Arial"/>
          <w:iCs/>
          <w:lang w:eastAsia="hr-HR"/>
        </w:rPr>
        <w:t>Što se tiče preostalih 7 predmeta, u dva predmeta sud je donio rješenje o nastavku upravnog spora, dok je u tri predmeta odbijen zahtjev tužitelja za donošenjem dopunskog rješenja o trošku.</w:t>
      </w:r>
    </w:p>
    <w:p w14:paraId="555F3359" w14:textId="77777777" w:rsidR="00FE065D" w:rsidRPr="006D3E56" w:rsidRDefault="00FE065D" w:rsidP="001F7977">
      <w:pPr>
        <w:pStyle w:val="Bezproreda"/>
        <w:widowControl w:val="0"/>
        <w:spacing w:after="120" w:line="276" w:lineRule="auto"/>
        <w:jc w:val="both"/>
        <w:rPr>
          <w:rFonts w:ascii="Roboto" w:eastAsia="Times New Roman" w:hAnsi="Roboto" w:cs="Arial"/>
          <w:iCs/>
          <w:lang w:eastAsia="hr-HR"/>
        </w:rPr>
      </w:pPr>
      <w:r w:rsidRPr="006D3E56">
        <w:rPr>
          <w:rFonts w:ascii="Roboto" w:eastAsia="Times New Roman" w:hAnsi="Roboto" w:cs="Arial"/>
          <w:iCs/>
          <w:lang w:eastAsia="hr-HR"/>
        </w:rPr>
        <w:t>U jednom predmetu sud je donio dopunsko rješenje o trošku postupka, dok je u jednom predmetu odbačen zahtjev zainteresirane strane za izvršenje rješenja Povjerenika.</w:t>
      </w:r>
    </w:p>
    <w:p w14:paraId="4041D1EC" w14:textId="77777777" w:rsidR="00FE065D" w:rsidRPr="006D3E56" w:rsidRDefault="00FE065D" w:rsidP="001F7977">
      <w:pPr>
        <w:pStyle w:val="Bezproreda"/>
        <w:widowControl w:val="0"/>
        <w:spacing w:after="120" w:line="276" w:lineRule="auto"/>
        <w:jc w:val="both"/>
        <w:rPr>
          <w:rFonts w:ascii="Roboto" w:eastAsia="Times New Roman" w:hAnsi="Roboto" w:cs="Arial"/>
          <w:iCs/>
          <w:lang w:eastAsia="hr-HR"/>
        </w:rPr>
      </w:pPr>
      <w:r w:rsidRPr="006D3E56">
        <w:rPr>
          <w:rFonts w:ascii="Roboto" w:eastAsia="Times New Roman" w:hAnsi="Roboto" w:cs="Arial"/>
          <w:iCs/>
          <w:lang w:eastAsia="hr-HR"/>
        </w:rPr>
        <w:t xml:space="preserve">Od 79 odluka u sporovima koji su pokrenuti protiv rješenja Povjerenika, u 9 predmeta je </w:t>
      </w:r>
      <w:r w:rsidRPr="006D3E56">
        <w:rPr>
          <w:rFonts w:ascii="Roboto" w:eastAsia="Times New Roman" w:hAnsi="Roboto" w:cs="Arial"/>
          <w:iCs/>
          <w:lang w:eastAsia="hr-HR"/>
        </w:rPr>
        <w:lastRenderedPageBreak/>
        <w:t>poništeno rješenje Povjerenika, iz čega proizlazi da je nastavljen trend velikog broja potvrđenih rješenja Povjerenika (88,6%).</w:t>
      </w:r>
    </w:p>
    <w:p w14:paraId="7BD2BF6A" w14:textId="77777777" w:rsidR="007B2495" w:rsidRPr="007B2495" w:rsidRDefault="007B2495" w:rsidP="007B2495">
      <w:pPr>
        <w:widowControl w:val="0"/>
        <w:shd w:val="clear" w:color="auto" w:fill="FFFFFF"/>
        <w:rPr>
          <w:rFonts w:ascii="Roboto" w:hAnsi="Roboto" w:cs="Arial"/>
          <w:iCs/>
          <w:sz w:val="22"/>
          <w:szCs w:val="22"/>
        </w:rPr>
      </w:pPr>
      <w:r w:rsidRPr="007B2495">
        <w:rPr>
          <w:rFonts w:ascii="Roboto" w:hAnsi="Roboto" w:cs="Arial"/>
          <w:iCs/>
          <w:sz w:val="22"/>
          <w:szCs w:val="22"/>
        </w:rPr>
        <w:t xml:space="preserve">Prema statističkim podacima u razdoblju 2021.-2025., ukupno je pokrenuto 5998 žalbenih postupaka, a istovremeno je pokrenuto 404 upravnih sporova (6,7% u odnosu na broj žalbenih postupaka). Dakle, u promatranom razdoblju u 93,3% slučajeva korisnici, odnosno tijela javne vlasti poštuju odluku Povjerenika i ne osporavaju je pred Visokim upravnim sudom RH. </w:t>
      </w:r>
    </w:p>
    <w:p w14:paraId="78B88FF4" w14:textId="5B776F9C" w:rsidR="007B2495" w:rsidRDefault="007B2495" w:rsidP="007B2495">
      <w:pPr>
        <w:widowControl w:val="0"/>
        <w:shd w:val="clear" w:color="auto" w:fill="FFFFFF"/>
        <w:rPr>
          <w:rFonts w:ascii="Roboto" w:hAnsi="Roboto" w:cs="Arial"/>
          <w:iCs/>
          <w:sz w:val="22"/>
          <w:szCs w:val="22"/>
        </w:rPr>
      </w:pPr>
      <w:r w:rsidRPr="007B2495">
        <w:rPr>
          <w:rFonts w:ascii="Roboto" w:hAnsi="Roboto" w:cs="Arial"/>
          <w:iCs/>
          <w:sz w:val="22"/>
          <w:szCs w:val="22"/>
        </w:rPr>
        <w:t>Kad se razmotri ukupan broj upravnih sporova pokrenutih u razdoblju 2021.-2025. vidljiv je trend smanjivanja broja upravnih sporova od 2021. do 2023., a porast broja upravnih sporova u 2024. i 2025. rezultat je sve većeg broja tužbi radi šutnje Povjerenika iz razloga što tijela javne vlasti ne dostavljaju Povjereniku spise predmeta ili informacije koje su predmet postupka te ne dostavljaju žaliteljima rješenja Povjerenika.</w:t>
      </w:r>
    </w:p>
    <w:p w14:paraId="34DDA2AF" w14:textId="0E8AAA6B" w:rsidR="00FE065D" w:rsidRPr="006D3E56" w:rsidRDefault="00FE065D" w:rsidP="007B2495">
      <w:pPr>
        <w:widowControl w:val="0"/>
        <w:shd w:val="clear" w:color="auto" w:fill="FFFFFF"/>
        <w:rPr>
          <w:rFonts w:ascii="Roboto" w:hAnsi="Roboto" w:cs="Arial"/>
          <w:iCs/>
          <w:sz w:val="22"/>
          <w:szCs w:val="22"/>
        </w:rPr>
      </w:pPr>
      <w:r w:rsidRPr="006D3E56">
        <w:rPr>
          <w:rFonts w:ascii="Roboto" w:hAnsi="Roboto" w:cs="Arial"/>
          <w:iCs/>
          <w:sz w:val="22"/>
          <w:szCs w:val="22"/>
        </w:rPr>
        <w:t xml:space="preserve">Prema podacima iz odluka Visokog upravnog suda RH u 2025., proizlazi da je samo u jednom predmetu pokrenutom protiv rješenja Povjerenika naloženo Povjereniku da tužitelju naknadi trošak upravnog spora u iznosu od 415 EUR, a riječ je o predmetu koji se vodio po tužbi Hrvatskog ureda za osiguranje, a koji je prethodno opisan u </w:t>
      </w:r>
      <w:proofErr w:type="spellStart"/>
      <w:r w:rsidRPr="006D3E56">
        <w:rPr>
          <w:rFonts w:ascii="Roboto" w:hAnsi="Roboto" w:cs="Arial"/>
          <w:iCs/>
          <w:sz w:val="22"/>
          <w:szCs w:val="22"/>
        </w:rPr>
        <w:t>potpoglavlju</w:t>
      </w:r>
      <w:proofErr w:type="spellEnd"/>
      <w:r w:rsidRPr="006D3E56">
        <w:rPr>
          <w:rFonts w:ascii="Roboto" w:hAnsi="Roboto" w:cs="Arial"/>
          <w:iCs/>
          <w:sz w:val="22"/>
          <w:szCs w:val="22"/>
        </w:rPr>
        <w:t xml:space="preserve"> „Poništena rješenja Povjerenika“.</w:t>
      </w:r>
    </w:p>
    <w:p w14:paraId="35B6ED90" w14:textId="77777777" w:rsidR="00FE065D" w:rsidRPr="006D3E56" w:rsidRDefault="00FE065D" w:rsidP="001F7977">
      <w:pPr>
        <w:widowControl w:val="0"/>
        <w:shd w:val="clear" w:color="auto" w:fill="FFFFFF"/>
        <w:rPr>
          <w:rFonts w:ascii="Roboto" w:hAnsi="Roboto" w:cs="Arial"/>
          <w:iCs/>
          <w:sz w:val="22"/>
          <w:szCs w:val="22"/>
        </w:rPr>
      </w:pPr>
      <w:r w:rsidRPr="006D3E56">
        <w:rPr>
          <w:rFonts w:ascii="Roboto" w:hAnsi="Roboto" w:cs="Arial"/>
          <w:iCs/>
          <w:sz w:val="22"/>
          <w:szCs w:val="22"/>
        </w:rPr>
        <w:t xml:space="preserve">U odnosu na sporove radi šutnje uprave, Povjerenik je zaprimio dvije odluke u kojima je naložena naknada troškova upravnog spora tužitelju; u prvom Povjereniku je naloženo rješavanje žalbe te je određen trošak upravnog spora u iznosu od 1.250 EUR, a u drugom je obustavljen spor te je određen trošak u iznosu od 1.250 EUR za tužitelja. </w:t>
      </w:r>
    </w:p>
    <w:p w14:paraId="79314F13" w14:textId="0573C47B" w:rsidR="00FE065D" w:rsidRPr="006D3E56" w:rsidRDefault="00FE065D" w:rsidP="001F7977">
      <w:pPr>
        <w:widowControl w:val="0"/>
        <w:rPr>
          <w:rFonts w:ascii="Roboto" w:hAnsi="Roboto" w:cs="Arial"/>
          <w:iCs/>
          <w:sz w:val="22"/>
          <w:szCs w:val="22"/>
        </w:rPr>
      </w:pPr>
      <w:r w:rsidRPr="006D3E56">
        <w:rPr>
          <w:rFonts w:ascii="Roboto" w:hAnsi="Roboto" w:cs="Arial"/>
          <w:iCs/>
          <w:sz w:val="22"/>
          <w:szCs w:val="22"/>
        </w:rPr>
        <w:t xml:space="preserve">Povjerenik je u 2025. podnio jedan prijedlog Državnom odvjetništvu RH za izvanredno preispitivanje zakonitosti pravomoćne presude Visokog upravnog suda RH, </w:t>
      </w:r>
      <w:r w:rsidR="00DB47F1">
        <w:rPr>
          <w:rFonts w:ascii="Roboto" w:hAnsi="Roboto" w:cs="Arial"/>
          <w:iCs/>
          <w:sz w:val="22"/>
          <w:szCs w:val="22"/>
        </w:rPr>
        <w:t>p</w:t>
      </w:r>
      <w:r w:rsidRPr="006D3E56">
        <w:rPr>
          <w:rFonts w:ascii="Roboto" w:hAnsi="Roboto" w:cs="Arial"/>
          <w:iCs/>
          <w:sz w:val="22"/>
          <w:szCs w:val="22"/>
        </w:rPr>
        <w:t xml:space="preserve">oslovni broj: UsII-196/24 od 13. veljače 2025. </w:t>
      </w:r>
    </w:p>
    <w:p w14:paraId="73B376F9" w14:textId="45455629" w:rsidR="00FE065D" w:rsidRPr="006D3E56" w:rsidRDefault="00FE065D" w:rsidP="001F7977">
      <w:pPr>
        <w:widowControl w:val="0"/>
        <w:shd w:val="clear" w:color="auto" w:fill="FFFFFF"/>
        <w:rPr>
          <w:rFonts w:ascii="Roboto" w:hAnsi="Roboto" w:cs="Arial"/>
          <w:iCs/>
          <w:sz w:val="22"/>
          <w:szCs w:val="22"/>
        </w:rPr>
      </w:pPr>
      <w:r w:rsidRPr="006D3E56">
        <w:rPr>
          <w:rFonts w:ascii="Roboto" w:hAnsi="Roboto" w:cs="Arial"/>
          <w:iCs/>
          <w:sz w:val="22"/>
          <w:szCs w:val="22"/>
        </w:rPr>
        <w:t xml:space="preserve">Povjerenik je dostavio odgovor Vrhovnom sudu RH na zaprimljeni zahtjev Državnog odvjetništva RH za izvanrednim preispitivanjem zakonitosti pravomoćne presude Visokog upravnog suda RH, </w:t>
      </w:r>
      <w:r w:rsidR="00833604">
        <w:rPr>
          <w:rFonts w:ascii="Roboto" w:hAnsi="Roboto" w:cs="Arial"/>
          <w:iCs/>
          <w:sz w:val="22"/>
          <w:szCs w:val="22"/>
        </w:rPr>
        <w:t>p</w:t>
      </w:r>
      <w:r w:rsidRPr="006D3E56">
        <w:rPr>
          <w:rFonts w:ascii="Roboto" w:hAnsi="Roboto" w:cs="Arial"/>
          <w:iCs/>
          <w:sz w:val="22"/>
          <w:szCs w:val="22"/>
        </w:rPr>
        <w:t xml:space="preserve">oslovni broj: UsII-234/23 od 18. prosinca 2024. </w:t>
      </w:r>
    </w:p>
    <w:p w14:paraId="46E81E06" w14:textId="77777777" w:rsidR="00FE065D" w:rsidRPr="006D3E56" w:rsidRDefault="00FE065D" w:rsidP="001F7977">
      <w:pPr>
        <w:widowControl w:val="0"/>
        <w:shd w:val="clear" w:color="auto" w:fill="FFFFFF"/>
        <w:rPr>
          <w:rFonts w:ascii="Roboto" w:hAnsi="Roboto" w:cs="Arial"/>
          <w:iCs/>
          <w:sz w:val="22"/>
          <w:szCs w:val="22"/>
        </w:rPr>
      </w:pPr>
      <w:r w:rsidRPr="006D3E56">
        <w:rPr>
          <w:rFonts w:ascii="Roboto" w:hAnsi="Roboto" w:cs="Arial"/>
          <w:iCs/>
          <w:sz w:val="22"/>
          <w:szCs w:val="22"/>
        </w:rPr>
        <w:t>Prema podacima koje je Povjerenik zaprimio od Ustavnog suda RH, Ustavni sud RH je tijekom 2025. zaprimio 12 ustavnih tužbi vezano uz zaštitu ustavnog prava građana na pristup informacijama odnosno ustavnih tužbi podnesenih u povodu odluke donesene po ZPPI-ju, po kojima je donio odluku u 1 predmetu u kojem je ustavna tužba odbačena, dok u 11 predmeta postupak nije bio dovršen u 2025.</w:t>
      </w:r>
    </w:p>
    <w:p w14:paraId="3BA005A4" w14:textId="66A8CA3D" w:rsidR="00A91D5B" w:rsidRPr="00C86404" w:rsidRDefault="00A91D5B" w:rsidP="001F7977">
      <w:pPr>
        <w:pStyle w:val="Naslov1"/>
      </w:pPr>
      <w:bookmarkStart w:id="11" w:name="_Toc225867787"/>
      <w:r w:rsidRPr="00C86404">
        <w:t>Predstavke korisnika na rad tijela javne vlasti</w:t>
      </w:r>
      <w:r w:rsidR="00D5122A" w:rsidRPr="00C86404">
        <w:t xml:space="preserve">, </w:t>
      </w:r>
      <w:r w:rsidRPr="00C86404">
        <w:t xml:space="preserve"> inspekcijski nadzor</w:t>
      </w:r>
      <w:r w:rsidR="0039631F" w:rsidRPr="00C86404">
        <w:t xml:space="preserve"> </w:t>
      </w:r>
      <w:r w:rsidR="00D5122A" w:rsidRPr="00C86404">
        <w:t xml:space="preserve"> i mišljenja o primjeni Zakona</w:t>
      </w:r>
      <w:bookmarkEnd w:id="11"/>
    </w:p>
    <w:p w14:paraId="7D5B99D7" w14:textId="33E82AED" w:rsidR="00CA6ECE" w:rsidRPr="006D3E56" w:rsidRDefault="005654CE" w:rsidP="001F7977">
      <w:pPr>
        <w:widowControl w:val="0"/>
        <w:shd w:val="clear" w:color="auto" w:fill="FFFFFF" w:themeFill="background1"/>
        <w:rPr>
          <w:rFonts w:ascii="Roboto" w:hAnsi="Roboto" w:cs="Arial"/>
          <w:sz w:val="22"/>
          <w:szCs w:val="22"/>
        </w:rPr>
      </w:pPr>
      <w:r w:rsidRPr="006D3E56">
        <w:rPr>
          <w:rFonts w:ascii="Roboto" w:hAnsi="Roboto" w:cs="Arial"/>
          <w:sz w:val="22"/>
          <w:szCs w:val="22"/>
        </w:rPr>
        <w:t>Ured povjerenice zaprimio je u 2025. godini 480 predstavki, što predstavlja rast od 40% u odnosu na 2024. godinu kada su bile zaprimljene 343 predstavke. Ukupno je riješeno 495 predstavki (95%), i to 470 predstavki iz 2025. (98%) i 25 predstavki iz ranijih godina (61%), dok su neriješene predstavke prenijete u 2026. godinu i u postupku su rješavanja.</w:t>
      </w:r>
    </w:p>
    <w:p w14:paraId="50EC89CE" w14:textId="77777777" w:rsidR="005654CE" w:rsidRPr="006D3E56" w:rsidRDefault="005654CE" w:rsidP="00125064">
      <w:pPr>
        <w:widowControl w:val="0"/>
        <w:pBdr>
          <w:top w:val="single" w:sz="4" w:space="1" w:color="auto"/>
          <w:left w:val="single" w:sz="4" w:space="4" w:color="auto"/>
          <w:bottom w:val="single" w:sz="4" w:space="1" w:color="auto"/>
          <w:right w:val="single" w:sz="4" w:space="4" w:color="auto"/>
        </w:pBdr>
        <w:shd w:val="clear" w:color="auto" w:fill="FFFFFF" w:themeFill="background1"/>
        <w:rPr>
          <w:rFonts w:ascii="Roboto" w:hAnsi="Roboto" w:cs="Arial"/>
          <w:sz w:val="22"/>
          <w:szCs w:val="22"/>
        </w:rPr>
      </w:pPr>
      <w:r w:rsidRPr="006D3E56">
        <w:rPr>
          <w:rFonts w:ascii="Roboto" w:hAnsi="Roboto" w:cs="Arial"/>
          <w:sz w:val="22"/>
          <w:szCs w:val="22"/>
        </w:rPr>
        <w:t xml:space="preserve">Od 480 predstavki zaprimljenih u 2025., najveći broj (342 predstavke, odnosno 71% svih zaprimljenih predstavki) riješen je postupanjem tijela javne vlasti, koja su po izdanim </w:t>
      </w:r>
      <w:r w:rsidRPr="006D3E56">
        <w:rPr>
          <w:rFonts w:ascii="Roboto" w:hAnsi="Roboto" w:cs="Arial"/>
          <w:sz w:val="22"/>
          <w:szCs w:val="22"/>
        </w:rPr>
        <w:lastRenderedPageBreak/>
        <w:t xml:space="preserve">upozorenjima uklonila uočene nepravilnosti.  </w:t>
      </w:r>
    </w:p>
    <w:p w14:paraId="6E06A000" w14:textId="77777777" w:rsidR="005654CE" w:rsidRPr="006D3E56" w:rsidRDefault="005654CE" w:rsidP="001F7977">
      <w:pPr>
        <w:widowControl w:val="0"/>
        <w:shd w:val="clear" w:color="auto" w:fill="FFFFFF" w:themeFill="background1"/>
        <w:rPr>
          <w:rFonts w:ascii="Roboto" w:hAnsi="Roboto" w:cs="Arial"/>
          <w:sz w:val="22"/>
          <w:szCs w:val="22"/>
        </w:rPr>
      </w:pPr>
      <w:r w:rsidRPr="006D3E56">
        <w:rPr>
          <w:rFonts w:ascii="Roboto" w:hAnsi="Roboto" w:cs="Arial"/>
          <w:sz w:val="22"/>
          <w:szCs w:val="22"/>
        </w:rPr>
        <w:t>Za naglasiti je kako je tijekom 2025. godine zaprimljena je i jedna predstavka vezana uz način rješavanja zahtjeva za pristup informacijama u kojoj je utvrđeno, imajući u vidu sadržaj postavljenog zahtjeva, da je moguće riječ o informacijama o okolišu. Stoga je od tijela javne vlasti zatraženo postupanje na način da ako se utvrdi da je riječ o zahtjevu za pristup informacijama o okolišu da ga treba riješi na jedan od načina propisan u Zakonu o zaštiti okoliša, a ako se utvrdi da je riječ o zahtjevu za pristup informacijama, da ga treba riješiti sukladno odredbama ZPPI-ja. Tijelo javne vlasti na kraju je riješilo zahtjev prema ZPPI-ju, dostavom tražene informacije.</w:t>
      </w:r>
    </w:p>
    <w:p w14:paraId="108BDF06" w14:textId="23DF29E4" w:rsidR="001D2D55" w:rsidRPr="006D3E56" w:rsidRDefault="001D2D55" w:rsidP="001F7977">
      <w:pPr>
        <w:widowControl w:val="0"/>
        <w:shd w:val="clear" w:color="auto" w:fill="FFFFFF" w:themeFill="background1"/>
        <w:rPr>
          <w:rFonts w:ascii="Roboto" w:hAnsi="Roboto" w:cs="Arial"/>
          <w:sz w:val="22"/>
          <w:szCs w:val="22"/>
        </w:rPr>
      </w:pPr>
      <w:r w:rsidRPr="006D3E56">
        <w:rPr>
          <w:rFonts w:ascii="Roboto" w:hAnsi="Roboto" w:cs="Arial"/>
          <w:sz w:val="22"/>
          <w:szCs w:val="22"/>
        </w:rPr>
        <w:t>U odnosu na tijela koja nisu postupila ni nakon višekratnog upozorenja, manji dio (četiri predstavke) riješen je kroz posredni inspekcijski nadzor, dok se u odnosu na deset podnesenih predstavki planira provedba neposrednog inspekcijskog nadzora u 2026. godini.</w:t>
      </w:r>
    </w:p>
    <w:p w14:paraId="09CF39B3" w14:textId="6BE67569" w:rsidR="00C31FD9" w:rsidRPr="006D3E56" w:rsidRDefault="00BC1858" w:rsidP="001F7977">
      <w:pPr>
        <w:widowControl w:val="0"/>
        <w:shd w:val="clear" w:color="auto" w:fill="FFFFFF" w:themeFill="background1"/>
        <w:rPr>
          <w:rFonts w:ascii="Roboto" w:hAnsi="Roboto" w:cs="Arial"/>
          <w:sz w:val="22"/>
          <w:szCs w:val="22"/>
        </w:rPr>
      </w:pPr>
      <w:r w:rsidRPr="006D3E56">
        <w:rPr>
          <w:rFonts w:ascii="Roboto" w:hAnsi="Roboto" w:cs="Arial"/>
          <w:sz w:val="22"/>
          <w:szCs w:val="22"/>
        </w:rPr>
        <w:t xml:space="preserve">U slučajevima kada tijelo niti po slanju požurnica i dodatnih upozorenja nije otklonilo nepravilnosti i dostavilo izvješće o poduzetom, proveden je </w:t>
      </w:r>
      <w:r w:rsidR="00891EB7" w:rsidRPr="006D3E56">
        <w:rPr>
          <w:rFonts w:ascii="Roboto" w:hAnsi="Roboto" w:cs="Arial"/>
          <w:sz w:val="22"/>
          <w:szCs w:val="22"/>
        </w:rPr>
        <w:t>3</w:t>
      </w:r>
      <w:r w:rsidR="005654CE" w:rsidRPr="006D3E56">
        <w:rPr>
          <w:rFonts w:ascii="Roboto" w:hAnsi="Roboto" w:cs="Arial"/>
          <w:sz w:val="22"/>
          <w:szCs w:val="22"/>
        </w:rPr>
        <w:t>1</w:t>
      </w:r>
      <w:r w:rsidRPr="006D3E56">
        <w:rPr>
          <w:rFonts w:ascii="Roboto" w:hAnsi="Roboto" w:cs="Arial"/>
          <w:sz w:val="22"/>
          <w:szCs w:val="22"/>
        </w:rPr>
        <w:t xml:space="preserve"> inspekcijski nadzor</w:t>
      </w:r>
      <w:r w:rsidR="00C31FD9" w:rsidRPr="006D3E56">
        <w:rPr>
          <w:rFonts w:ascii="Roboto" w:hAnsi="Roboto" w:cs="Arial"/>
          <w:sz w:val="22"/>
          <w:szCs w:val="22"/>
        </w:rPr>
        <w:t>,</w:t>
      </w:r>
      <w:r w:rsidR="00B5323D" w:rsidRPr="006D3E56">
        <w:rPr>
          <w:rFonts w:ascii="Roboto" w:hAnsi="Roboto" w:cs="Arial"/>
          <w:sz w:val="22"/>
          <w:szCs w:val="22"/>
        </w:rPr>
        <w:t xml:space="preserve"> </w:t>
      </w:r>
      <w:r w:rsidR="00C31FD9" w:rsidRPr="006D3E56">
        <w:rPr>
          <w:rFonts w:ascii="Roboto" w:hAnsi="Roboto" w:cs="Arial"/>
          <w:sz w:val="22"/>
          <w:szCs w:val="22"/>
        </w:rPr>
        <w:t xml:space="preserve">i to 8 neposrednih ciljanih inspekcijskih nadzora po službenoj dužnosti (6 JLP(R)S i 2 ustanove) te 23 posredna ciljana inspekcijska nadzora (18 po službenoj dužnosti, 1 posredni inspekcijski nadzor obavljen je po prijedlogu Općinskog državnog odvjetništva u Čakovcu a 4 su inicirana predstavkama i </w:t>
      </w:r>
      <w:proofErr w:type="spellStart"/>
      <w:r w:rsidR="00C31FD9" w:rsidRPr="006D3E56">
        <w:rPr>
          <w:rFonts w:ascii="Roboto" w:hAnsi="Roboto" w:cs="Arial"/>
          <w:sz w:val="22"/>
          <w:szCs w:val="22"/>
        </w:rPr>
        <w:t>nepostupanjem</w:t>
      </w:r>
      <w:proofErr w:type="spellEnd"/>
      <w:r w:rsidR="00C31FD9" w:rsidRPr="006D3E56">
        <w:rPr>
          <w:rFonts w:ascii="Roboto" w:hAnsi="Roboto" w:cs="Arial"/>
          <w:sz w:val="22"/>
          <w:szCs w:val="22"/>
        </w:rPr>
        <w:t xml:space="preserve"> TJV po aktima upozorenja Povjerenika za informiranje). Najveći broj ciljanih posrednih inspekcijskih nadzora u 2025. godini proveden je nad narodnim knjižnicama, muzejima i drugim ustanovama u području kulture i obrazovanja.</w:t>
      </w:r>
    </w:p>
    <w:p w14:paraId="10E884D3" w14:textId="1102B8BF" w:rsidR="00BC1858" w:rsidRPr="006D3E56" w:rsidRDefault="00912FD9" w:rsidP="001F7977">
      <w:pPr>
        <w:widowControl w:val="0"/>
        <w:shd w:val="clear" w:color="auto" w:fill="FFFFFF" w:themeFill="background1"/>
        <w:rPr>
          <w:rFonts w:ascii="Roboto" w:hAnsi="Roboto" w:cs="Arial"/>
          <w:sz w:val="22"/>
          <w:szCs w:val="22"/>
        </w:rPr>
      </w:pPr>
      <w:r w:rsidRPr="006D3E56">
        <w:rPr>
          <w:rFonts w:ascii="Roboto" w:hAnsi="Roboto" w:cs="Arial"/>
          <w:sz w:val="22"/>
          <w:szCs w:val="22"/>
        </w:rPr>
        <w:t>Većina inspekcijskih nadzora provedena je u određenom ciljanom segmentu primjene ZPPI-ja (ispunjavanje obveze proaktivne objave informacija iz članka 10. stavka 1. točaka 3., 7. i 12. ZPPI-ja, ispunjavanje obveze objave dokumenata u svrhu savjetovanja s javnošću prema članku 11. ZPPI-ja i obveze javnosti rada prema članku 12. ZPPI-ja).</w:t>
      </w:r>
    </w:p>
    <w:p w14:paraId="1B4A640B" w14:textId="77777777" w:rsidR="00AB6F77" w:rsidRPr="006D3E56" w:rsidRDefault="00AB6F77" w:rsidP="001F7977">
      <w:pPr>
        <w:widowControl w:val="0"/>
        <w:shd w:val="clear" w:color="auto" w:fill="FFFFFF" w:themeFill="background1"/>
        <w:rPr>
          <w:rFonts w:ascii="Roboto" w:hAnsi="Roboto" w:cs="Arial"/>
          <w:sz w:val="22"/>
          <w:szCs w:val="22"/>
        </w:rPr>
      </w:pPr>
      <w:r w:rsidRPr="006D3E56">
        <w:rPr>
          <w:rFonts w:ascii="Roboto" w:hAnsi="Roboto" w:cs="Arial"/>
          <w:sz w:val="22"/>
          <w:szCs w:val="22"/>
        </w:rPr>
        <w:t>U namjeri da se na jednostavniji i pristupačniji način omogući korištenje dugogodišnje prakse postupanja Povjerenika, nastavljena je objava kratkih prikaza pravnih standarda, mišljenja i komentara u odnosu na primjenu Zakona na mrežnim stranicama Povjerenika te je u rubrici „Iz prakse povjerenika“ u 2025. godini objavljeno 16 takvih tekstova (ukupno 58).</w:t>
      </w:r>
    </w:p>
    <w:p w14:paraId="0873EDDA" w14:textId="1CA498AC" w:rsidR="00AB6F77" w:rsidRPr="006D3E56" w:rsidRDefault="00AB6F77" w:rsidP="001F7977">
      <w:pPr>
        <w:widowControl w:val="0"/>
        <w:shd w:val="clear" w:color="auto" w:fill="FFFFFF" w:themeFill="background1"/>
        <w:rPr>
          <w:rFonts w:ascii="Roboto" w:hAnsi="Roboto" w:cs="Arial"/>
          <w:sz w:val="22"/>
          <w:szCs w:val="22"/>
        </w:rPr>
      </w:pPr>
      <w:r w:rsidRPr="006D3E56">
        <w:rPr>
          <w:rFonts w:ascii="Roboto" w:hAnsi="Roboto" w:cs="Arial"/>
          <w:sz w:val="22"/>
          <w:szCs w:val="22"/>
        </w:rPr>
        <w:t>U 2025. godini zaprimljeno je ukupno 344 pisanih upita korisnika i tijela javne vlasti, odnosno traženja mišljenja o provedbi Zakona, što predstavlja nastavak trenda smanjenja broja upita u odnosu na ranije godine.</w:t>
      </w:r>
      <w:r w:rsidR="00B55B51" w:rsidRPr="006D3E56">
        <w:rPr>
          <w:rFonts w:ascii="Roboto" w:hAnsi="Roboto" w:cs="Arial"/>
          <w:sz w:val="22"/>
          <w:szCs w:val="22"/>
        </w:rPr>
        <w:t xml:space="preserve"> </w:t>
      </w:r>
      <w:r w:rsidRPr="006D3E56">
        <w:rPr>
          <w:rFonts w:ascii="Roboto" w:hAnsi="Roboto" w:cs="Arial"/>
          <w:sz w:val="22"/>
          <w:szCs w:val="22"/>
        </w:rPr>
        <w:t xml:space="preserve">Korisnici upitima u najvećoj mjeri traže mišljenje o primjeni pojedinih zakonskih odredbi i uputu o načinu ostvarivanja prava na informaciju, dok službenici za informiranje traže mišljenje i pomoć oko načina rješavanja zahtjeva za pristup informacijama ili potrebi i načinu proaktivnog objavljivanja pojedinih informacija na internetskoj stranici. </w:t>
      </w:r>
    </w:p>
    <w:p w14:paraId="6478CD3C" w14:textId="77777777" w:rsidR="00642476" w:rsidRPr="006D3E56" w:rsidRDefault="00642476" w:rsidP="001F7977">
      <w:pPr>
        <w:widowControl w:val="0"/>
        <w:pBdr>
          <w:top w:val="single" w:sz="4" w:space="1" w:color="auto"/>
          <w:left w:val="single" w:sz="4" w:space="4" w:color="auto"/>
          <w:bottom w:val="single" w:sz="4" w:space="1" w:color="auto"/>
          <w:right w:val="single" w:sz="4" w:space="4" w:color="auto"/>
        </w:pBdr>
        <w:shd w:val="clear" w:color="auto" w:fill="FFFFFF"/>
        <w:rPr>
          <w:rFonts w:ascii="Roboto" w:hAnsi="Roboto"/>
          <w:sz w:val="22"/>
          <w:szCs w:val="22"/>
        </w:rPr>
      </w:pPr>
      <w:r w:rsidRPr="006D3E56">
        <w:rPr>
          <w:rFonts w:ascii="Roboto" w:hAnsi="Roboto"/>
          <w:sz w:val="22"/>
          <w:szCs w:val="22"/>
        </w:rPr>
        <w:t>Velika većina podnesenih predstavki bila je konstruktivne prirode i njima podnositelji, osim na nerješavanje zahtjeva za pristup informacijama, ukazuju na uočene nepravilnosti vezane uz proaktivnu objavu informacija, osiguravanje javnosti rada na sjednicama tijela i provedbu savjetovanja s javnošću te detektiraju tijela koja nemaju imenovanog službenika za informiranje. Potrebno je naglasiti i da, za razliku od prethodnih godina, u 2025. godini nije zabilježeno neopravdano podnošenje većeg broja predstavki prema jednom tijelu/više tijela od strane jednog podnositelja.</w:t>
      </w:r>
    </w:p>
    <w:p w14:paraId="046EC1E5" w14:textId="09666312" w:rsidR="00531736" w:rsidRPr="006D3E56" w:rsidRDefault="00642476" w:rsidP="001F7977">
      <w:pPr>
        <w:widowControl w:val="0"/>
        <w:pBdr>
          <w:top w:val="single" w:sz="4" w:space="1" w:color="auto"/>
          <w:left w:val="single" w:sz="4" w:space="4" w:color="auto"/>
          <w:bottom w:val="single" w:sz="4" w:space="1" w:color="auto"/>
          <w:right w:val="single" w:sz="4" w:space="4" w:color="auto"/>
        </w:pBdr>
        <w:shd w:val="clear" w:color="auto" w:fill="FFFFFF"/>
        <w:rPr>
          <w:rFonts w:ascii="Roboto" w:hAnsi="Roboto"/>
          <w:sz w:val="22"/>
          <w:szCs w:val="22"/>
        </w:rPr>
      </w:pPr>
      <w:r w:rsidRPr="006D3E56">
        <w:rPr>
          <w:rFonts w:ascii="Roboto" w:hAnsi="Roboto"/>
          <w:sz w:val="22"/>
          <w:szCs w:val="22"/>
        </w:rPr>
        <w:lastRenderedPageBreak/>
        <w:t>Sadržaji upita korisnika (i u bitno manjoj mjeri službenika za informiranje) navode na zaključak o nedovoljnom poznavanju upravnog područja pristupa informacijama i samog Zakona, odnosno potvrđuje kako je potrebno nastaviti na razvoju i provedbi edukativnih sadržaja za što širi krug korisnika</w:t>
      </w:r>
      <w:r w:rsidR="00531736" w:rsidRPr="006D3E56">
        <w:rPr>
          <w:rFonts w:ascii="Roboto" w:hAnsi="Roboto"/>
          <w:sz w:val="22"/>
          <w:szCs w:val="22"/>
        </w:rPr>
        <w:t xml:space="preserve">. </w:t>
      </w:r>
    </w:p>
    <w:p w14:paraId="2167F437" w14:textId="77777777" w:rsidR="00627733" w:rsidRPr="00C86404" w:rsidRDefault="00627733" w:rsidP="001F7977">
      <w:pPr>
        <w:pStyle w:val="Naslov1"/>
      </w:pPr>
      <w:bookmarkStart w:id="12" w:name="_Toc225867788"/>
      <w:r w:rsidRPr="00C86404">
        <w:t>Sankcije</w:t>
      </w:r>
      <w:bookmarkEnd w:id="12"/>
    </w:p>
    <w:p w14:paraId="0822B43E" w14:textId="77777777" w:rsidR="00710C07" w:rsidRPr="006D3E56" w:rsidRDefault="00710C07" w:rsidP="001F7977">
      <w:pPr>
        <w:widowControl w:val="0"/>
        <w:rPr>
          <w:rFonts w:ascii="Roboto" w:hAnsi="Roboto" w:cs="Arial"/>
          <w:iCs/>
          <w:sz w:val="22"/>
          <w:szCs w:val="22"/>
        </w:rPr>
      </w:pPr>
      <w:r w:rsidRPr="006D3E56">
        <w:rPr>
          <w:rFonts w:ascii="Roboto" w:hAnsi="Roboto" w:cs="Arial"/>
          <w:iCs/>
          <w:sz w:val="22"/>
          <w:szCs w:val="22"/>
        </w:rPr>
        <w:t>U 2025. Povjerenik je izdao 3 prekršajna naloga protiv odgovornih osoba u tijelima javne vlasti (2 gradonačelniku Grada Dubrovnika i 1 načelniku Općine Primošten).</w:t>
      </w:r>
    </w:p>
    <w:p w14:paraId="36697089" w14:textId="77777777" w:rsidR="00710C07" w:rsidRPr="006D3E56" w:rsidRDefault="00710C07" w:rsidP="001F7977">
      <w:pPr>
        <w:widowControl w:val="0"/>
        <w:rPr>
          <w:rFonts w:ascii="Roboto" w:hAnsi="Roboto" w:cs="Arial"/>
          <w:iCs/>
          <w:sz w:val="22"/>
          <w:szCs w:val="22"/>
        </w:rPr>
      </w:pPr>
      <w:r w:rsidRPr="006D3E56">
        <w:rPr>
          <w:rFonts w:ascii="Roboto" w:hAnsi="Roboto" w:cs="Arial"/>
          <w:iCs/>
          <w:sz w:val="22"/>
          <w:szCs w:val="22"/>
        </w:rPr>
        <w:t xml:space="preserve">Dva izdana prekršajna naloga Povjerenika odnosila su se na prekršaj iz članka 62. stavka 1. točke 2. ZPPI-ja koji se izriče odgovornoj osobi u tijelu javne vlasti ako ne omogući Povjereniku uvid u informacije koje su predmet postupka, ne dostavi tražene podatke ili dostavi nepotpune odnosno netočne podatke. </w:t>
      </w:r>
    </w:p>
    <w:p w14:paraId="060F1296" w14:textId="77777777" w:rsidR="00710C07" w:rsidRPr="006D3E56" w:rsidRDefault="00710C07" w:rsidP="001F7977">
      <w:pPr>
        <w:widowControl w:val="0"/>
        <w:rPr>
          <w:rFonts w:ascii="Roboto" w:hAnsi="Roboto" w:cs="Arial"/>
          <w:iCs/>
          <w:sz w:val="22"/>
          <w:szCs w:val="22"/>
        </w:rPr>
      </w:pPr>
      <w:r w:rsidRPr="006D3E56">
        <w:rPr>
          <w:rFonts w:ascii="Roboto" w:hAnsi="Roboto" w:cs="Arial"/>
          <w:iCs/>
          <w:sz w:val="22"/>
          <w:szCs w:val="22"/>
        </w:rPr>
        <w:t xml:space="preserve">Jedan izdani prekršajni nalog odnosio se na prekršaj iz članka 62. stavka 1. točke 4. ZPPI-ja koji se izriče odgovornoj osobi u tijelu javne vlasti ako nije u zapisnikom određenom roku otklonila nezakonitosti, nepravilnosti i nedostatke utvrđene zapisnikom. </w:t>
      </w:r>
    </w:p>
    <w:p w14:paraId="0B48BDAB" w14:textId="77777777" w:rsidR="00710C07" w:rsidRPr="006D3E56" w:rsidRDefault="00710C07" w:rsidP="001F7977">
      <w:pPr>
        <w:widowControl w:val="0"/>
        <w:rPr>
          <w:rFonts w:ascii="Roboto" w:hAnsi="Roboto" w:cs="Arial"/>
          <w:iCs/>
          <w:sz w:val="22"/>
          <w:szCs w:val="22"/>
        </w:rPr>
      </w:pPr>
      <w:r w:rsidRPr="006D3E56">
        <w:rPr>
          <w:rFonts w:ascii="Roboto" w:hAnsi="Roboto" w:cs="Arial"/>
          <w:iCs/>
          <w:sz w:val="22"/>
          <w:szCs w:val="22"/>
        </w:rPr>
        <w:t>Na izdane prekršajne naloge izjavljeni su prigovori te su postupci u tijeku.</w:t>
      </w:r>
    </w:p>
    <w:p w14:paraId="00A0ECF1" w14:textId="77777777" w:rsidR="00710C07" w:rsidRPr="006D3E56" w:rsidRDefault="00710C07" w:rsidP="001F7977">
      <w:pPr>
        <w:widowControl w:val="0"/>
        <w:rPr>
          <w:rFonts w:ascii="Roboto" w:hAnsi="Roboto" w:cs="Arial"/>
          <w:iCs/>
          <w:sz w:val="22"/>
          <w:szCs w:val="22"/>
        </w:rPr>
      </w:pPr>
      <w:r w:rsidRPr="006D3E56">
        <w:rPr>
          <w:rFonts w:ascii="Roboto" w:hAnsi="Roboto" w:cs="Arial"/>
          <w:iCs/>
          <w:sz w:val="22"/>
          <w:szCs w:val="22"/>
        </w:rPr>
        <w:t>Povjerenik u izvještajnom razdoblju nije podnosio optužne prijedloge jer nije utvrdio da je došlo do prekršaja iz važećeg članka 61. stavka 1. i 2. ZPPI-ja (prekršaj za fizičku osobu koja ošteti, uništi, sakrije ili na drugi način učini nedostupnim dokument koji sadrži informaciju u namjeri da onemogući ostvarivanje prava na pristup informacijama, prekršaj za  fizičku osobu, odnosno pravnu osobu koja upotrijebi informacije protivno objavljenim uvjetima za ponovnu uporabu informacija iz članka 31. ZPPI-ja).</w:t>
      </w:r>
    </w:p>
    <w:tbl>
      <w:tblPr>
        <w:tblStyle w:val="Reetkatablice"/>
        <w:tblW w:w="0" w:type="auto"/>
        <w:tblLook w:val="04A0" w:firstRow="1" w:lastRow="0" w:firstColumn="1" w:lastColumn="0" w:noHBand="0" w:noVBand="1"/>
      </w:tblPr>
      <w:tblGrid>
        <w:gridCol w:w="9062"/>
      </w:tblGrid>
      <w:tr w:rsidR="00710C07" w:rsidRPr="006D3E56" w14:paraId="1A6262DC" w14:textId="77777777" w:rsidTr="00DF7854">
        <w:tc>
          <w:tcPr>
            <w:tcW w:w="9062" w:type="dxa"/>
          </w:tcPr>
          <w:p w14:paraId="38AE8649" w14:textId="77777777" w:rsidR="00710C07" w:rsidRPr="006D3E56" w:rsidRDefault="00710C07" w:rsidP="001F7977">
            <w:pPr>
              <w:widowControl w:val="0"/>
              <w:rPr>
                <w:rFonts w:ascii="Roboto" w:hAnsi="Roboto" w:cs="Arial"/>
                <w:iCs/>
                <w:sz w:val="22"/>
                <w:szCs w:val="22"/>
              </w:rPr>
            </w:pPr>
            <w:r w:rsidRPr="006D3E56">
              <w:rPr>
                <w:rFonts w:ascii="Roboto" w:hAnsi="Roboto" w:cs="Arial"/>
                <w:iCs/>
                <w:sz w:val="22"/>
                <w:szCs w:val="22"/>
              </w:rPr>
              <w:t>U ovom izvještajnom razdoblju Povjerenik je izrekao manje prekršajnih naloga u odnosu na 2024., kada je izrečeno 8 prekršajnih naloga iz razloga što su tijela javne vlasti postupala u većem broju predmeta (nekada uz upućene požurnice) po traženju Povjerenika za dostavom informacije koje su predmet postupka ili su u roku koji je određen u zapisniku otklonila nezakonitosti, nepravilnosti i nedostatke utvrđene zapisnikom te stoga nije bilo potrebno izricati prekršajne naloge.</w:t>
            </w:r>
          </w:p>
        </w:tc>
      </w:tr>
    </w:tbl>
    <w:p w14:paraId="4B7743AD" w14:textId="77777777" w:rsidR="00710C07" w:rsidRPr="006D3E56" w:rsidRDefault="00710C07" w:rsidP="006D382B">
      <w:pPr>
        <w:widowControl w:val="0"/>
        <w:spacing w:before="120"/>
        <w:rPr>
          <w:rFonts w:ascii="Roboto" w:hAnsi="Roboto" w:cs="Arial"/>
          <w:iCs/>
          <w:sz w:val="22"/>
          <w:szCs w:val="22"/>
        </w:rPr>
      </w:pPr>
      <w:r w:rsidRPr="006D3E56">
        <w:rPr>
          <w:rFonts w:ascii="Roboto" w:hAnsi="Roboto" w:cs="Arial"/>
          <w:iCs/>
          <w:sz w:val="22"/>
          <w:szCs w:val="22"/>
        </w:rPr>
        <w:t xml:space="preserve">Tijekom izvještajnog razdoblja zaprimljeno je 6 odluka prekršajnih sudova, od kojih je 1 odluka Visokog prekršajnog suda RH i 5 odluka prekršajnih sudova, i to četiri presude Općinskog suda u Zadru i jedna presuda Općinskog suda u Zlataru, Stalne službe u Donjoj Stubici. </w:t>
      </w:r>
    </w:p>
    <w:p w14:paraId="017CD47B" w14:textId="77777777" w:rsidR="00710C07" w:rsidRPr="006D3E56" w:rsidRDefault="00710C07" w:rsidP="001F7977">
      <w:pPr>
        <w:widowControl w:val="0"/>
        <w:rPr>
          <w:rFonts w:ascii="Roboto" w:hAnsi="Roboto" w:cs="Arial"/>
          <w:iCs/>
          <w:sz w:val="22"/>
          <w:szCs w:val="22"/>
        </w:rPr>
      </w:pPr>
      <w:r w:rsidRPr="006D3E56">
        <w:rPr>
          <w:rFonts w:ascii="Roboto" w:hAnsi="Roboto" w:cs="Arial"/>
          <w:iCs/>
          <w:sz w:val="22"/>
          <w:szCs w:val="22"/>
        </w:rPr>
        <w:t xml:space="preserve">Povjerenik je protiv oslobađajućih presuda Općinskog suda u Zadru izjavio žalbe te su postupci pred Visokim prekršajnim sudom RH u tijeku. </w:t>
      </w:r>
    </w:p>
    <w:p w14:paraId="3BB5A7CE" w14:textId="28F4EF42" w:rsidR="00710C07" w:rsidRPr="001F7977" w:rsidRDefault="00710C07" w:rsidP="001F7977">
      <w:pPr>
        <w:widowControl w:val="0"/>
        <w:rPr>
          <w:rFonts w:ascii="Roboto" w:hAnsi="Roboto" w:cs="Arial"/>
          <w:iCs/>
          <w:sz w:val="22"/>
          <w:szCs w:val="22"/>
        </w:rPr>
      </w:pPr>
      <w:r w:rsidRPr="006D3E56">
        <w:rPr>
          <w:rFonts w:ascii="Roboto" w:hAnsi="Roboto" w:cs="Arial"/>
          <w:iCs/>
          <w:sz w:val="22"/>
          <w:szCs w:val="22"/>
        </w:rPr>
        <w:t>Visoki prekršajni sud RH je u 2025. donio 1 odluku kojom je usvojio žalbu Povjerenika protiv presude Općinskog suda u Zadru kojom je oslobođen optužbe direktor Turističke zajednice Općine Vir i predmet je vraćen prvostupanjskom sudu na ponovno suđenje.</w:t>
      </w:r>
    </w:p>
    <w:tbl>
      <w:tblPr>
        <w:tblStyle w:val="Reetkatablice"/>
        <w:tblW w:w="0" w:type="auto"/>
        <w:tblLook w:val="04A0" w:firstRow="1" w:lastRow="0" w:firstColumn="1" w:lastColumn="0" w:noHBand="0" w:noVBand="1"/>
      </w:tblPr>
      <w:tblGrid>
        <w:gridCol w:w="9062"/>
      </w:tblGrid>
      <w:tr w:rsidR="00710C07" w:rsidRPr="006D3E56" w14:paraId="0AF97B6A" w14:textId="77777777" w:rsidTr="00DF7854">
        <w:tc>
          <w:tcPr>
            <w:tcW w:w="9062" w:type="dxa"/>
          </w:tcPr>
          <w:p w14:paraId="42F34DB9" w14:textId="77777777" w:rsidR="00710C07" w:rsidRPr="006D3E56" w:rsidRDefault="00710C07" w:rsidP="001F7977">
            <w:pPr>
              <w:widowControl w:val="0"/>
              <w:shd w:val="clear" w:color="auto" w:fill="FFFFFF" w:themeFill="background1"/>
              <w:tabs>
                <w:tab w:val="left" w:pos="-1843"/>
              </w:tabs>
              <w:rPr>
                <w:rFonts w:ascii="Roboto" w:hAnsi="Roboto" w:cs="Arial"/>
                <w:iCs/>
                <w:sz w:val="22"/>
                <w:szCs w:val="22"/>
              </w:rPr>
            </w:pPr>
            <w:r w:rsidRPr="006D3E56">
              <w:rPr>
                <w:rFonts w:ascii="Roboto" w:hAnsi="Roboto" w:cs="Arial"/>
                <w:iCs/>
                <w:sz w:val="22"/>
                <w:szCs w:val="22"/>
              </w:rPr>
              <w:t xml:space="preserve">U izvještajnom razdoblju pokrenuto je manje prekršajnih postupaka imajući u vidu primjenu odredbe o izvršenju rješenja kojeg Povjerenik provodi donošenjem rješenja o izvršenju koje se osigurava izricanjem novčane kazne odgovornoj osobi tijela javne vlasti i što su tijela </w:t>
            </w:r>
            <w:r w:rsidRPr="006D3E56">
              <w:rPr>
                <w:rFonts w:ascii="Roboto" w:hAnsi="Roboto" w:cs="Arial"/>
                <w:iCs/>
                <w:sz w:val="22"/>
                <w:szCs w:val="22"/>
              </w:rPr>
              <w:lastRenderedPageBreak/>
              <w:t>javne vlasti postupala u većem broju predmeta po nalozima Povjerenika. Međutim ukazuje se, kao i u proteklim Izvješćima o provedbi ZPPI-ja, na dugotrajnost postupaka na nekim prekršajnim sudovima ili postupaka po žalbi pred Visokim prekršajnim sudom RH te neujednačenoj praksi pojedinih sudova.</w:t>
            </w:r>
          </w:p>
        </w:tc>
      </w:tr>
    </w:tbl>
    <w:p w14:paraId="2AFFA6D9" w14:textId="44C6C462" w:rsidR="006A077A" w:rsidRPr="00C86404" w:rsidRDefault="00217E30" w:rsidP="001F7977">
      <w:pPr>
        <w:pStyle w:val="Naslov1"/>
      </w:pPr>
      <w:bookmarkStart w:id="13" w:name="_Toc225867789"/>
      <w:r w:rsidRPr="00C86404">
        <w:lastRenderedPageBreak/>
        <w:t xml:space="preserve">B) </w:t>
      </w:r>
      <w:r w:rsidR="006A077A" w:rsidRPr="00C86404">
        <w:t>PRAĆENJE I PROMICANJE PRAVA NA PRISTUP</w:t>
      </w:r>
      <w:r w:rsidRPr="00C86404">
        <w:t xml:space="preserve"> </w:t>
      </w:r>
      <w:r w:rsidR="00A91D5B" w:rsidRPr="00C86404">
        <w:t>I</w:t>
      </w:r>
      <w:r w:rsidR="006A077A" w:rsidRPr="00C86404">
        <w:t>NFORMACIJAMA</w:t>
      </w:r>
      <w:bookmarkEnd w:id="13"/>
    </w:p>
    <w:p w14:paraId="7D6AA3BA" w14:textId="73A514DD" w:rsidR="004614E1" w:rsidRPr="00C86404" w:rsidRDefault="004614E1" w:rsidP="001F7977">
      <w:pPr>
        <w:pStyle w:val="Naslov1"/>
      </w:pPr>
      <w:bookmarkStart w:id="14" w:name="_Toc225867790"/>
      <w:r w:rsidRPr="00C86404">
        <w:t>Proaktivna objava informacija i javnost rada</w:t>
      </w:r>
      <w:bookmarkEnd w:id="14"/>
    </w:p>
    <w:p w14:paraId="7140B560" w14:textId="77777777" w:rsidR="00181E1A" w:rsidRPr="006D3E56" w:rsidRDefault="00181E1A" w:rsidP="001F7977">
      <w:pPr>
        <w:rPr>
          <w:rFonts w:ascii="Roboto" w:hAnsi="Roboto"/>
          <w:sz w:val="22"/>
          <w:szCs w:val="22"/>
        </w:rPr>
      </w:pPr>
      <w:r w:rsidRPr="006D3E56">
        <w:rPr>
          <w:rFonts w:ascii="Roboto" w:hAnsi="Roboto"/>
          <w:sz w:val="22"/>
          <w:szCs w:val="22"/>
        </w:rPr>
        <w:t>Proaktivna objava informacija na internetskim stranicama tijela javne vlasti predstavlja jedan od ključnih mehanizama informiranja javnosti i osiguravanja transparentnosti u suvremenom društvu.</w:t>
      </w:r>
    </w:p>
    <w:p w14:paraId="3E97624B" w14:textId="77777777" w:rsidR="00181E1A" w:rsidRPr="006D3E56" w:rsidRDefault="00181E1A" w:rsidP="001F7977">
      <w:pPr>
        <w:rPr>
          <w:rFonts w:ascii="Roboto" w:hAnsi="Roboto"/>
          <w:sz w:val="22"/>
          <w:szCs w:val="22"/>
        </w:rPr>
      </w:pPr>
      <w:r w:rsidRPr="006D3E56">
        <w:rPr>
          <w:rFonts w:ascii="Roboto" w:hAnsi="Roboto"/>
          <w:sz w:val="22"/>
          <w:szCs w:val="22"/>
        </w:rPr>
        <w:t>Zakonom su taksativno navedene informacije koje tijela trebaju objavljivati na svojim internetskim stranicama pravodobno te osigurati njihovu ažurnost, pri čemu članak 10. stavak 1. Zakona predstavlja minimalni standard proaktivne objave, ne ograničavajući tijela u objavi dodatnih informacija od javnog interesa</w:t>
      </w:r>
    </w:p>
    <w:p w14:paraId="50A2BF65" w14:textId="77777777" w:rsidR="00181E1A" w:rsidRPr="006D3E56" w:rsidRDefault="00181E1A" w:rsidP="00125064">
      <w:pPr>
        <w:pBdr>
          <w:top w:val="single" w:sz="4" w:space="1" w:color="auto"/>
          <w:left w:val="single" w:sz="4" w:space="4" w:color="auto"/>
          <w:bottom w:val="single" w:sz="4" w:space="1" w:color="auto"/>
          <w:right w:val="single" w:sz="4" w:space="4" w:color="auto"/>
        </w:pBdr>
        <w:rPr>
          <w:rFonts w:ascii="Roboto" w:hAnsi="Roboto"/>
          <w:sz w:val="22"/>
          <w:szCs w:val="22"/>
        </w:rPr>
      </w:pPr>
      <w:r w:rsidRPr="006D3E56">
        <w:rPr>
          <w:rFonts w:ascii="Roboto" w:hAnsi="Roboto"/>
          <w:sz w:val="22"/>
          <w:szCs w:val="22"/>
        </w:rPr>
        <w:t xml:space="preserve">Uvidom u Popis tijela javne vlasti, utvrđeno je da 512 od 5.740 ili 8,9% tijela na Popisu nema vlastitu internetsku stranicu, niti je Povjereniku dostavilo poveznicu na </w:t>
      </w:r>
      <w:proofErr w:type="spellStart"/>
      <w:r w:rsidRPr="006D3E56">
        <w:rPr>
          <w:rFonts w:ascii="Roboto" w:hAnsi="Roboto"/>
          <w:sz w:val="22"/>
          <w:szCs w:val="22"/>
        </w:rPr>
        <w:t>podstranicu</w:t>
      </w:r>
      <w:proofErr w:type="spellEnd"/>
      <w:r w:rsidRPr="006D3E56">
        <w:rPr>
          <w:rFonts w:ascii="Roboto" w:hAnsi="Roboto"/>
          <w:sz w:val="22"/>
          <w:szCs w:val="22"/>
        </w:rPr>
        <w:t xml:space="preserve"> drugog tijela na kojem objavljuje informacije iz svog djelokruga. Prethodne godine bila je riječ o 9,4% tijela, što znači da je došlo do zanemarivog poboljšanja u ovom dijelu osiguravanja preduvjeta za ispunjavanje obveza koje propisuje članak 10. stavak 1. Zakona. </w:t>
      </w:r>
    </w:p>
    <w:p w14:paraId="1641D644" w14:textId="77777777" w:rsidR="00181E1A" w:rsidRPr="006D3E56" w:rsidRDefault="00181E1A" w:rsidP="001F7977">
      <w:pPr>
        <w:rPr>
          <w:rFonts w:ascii="Roboto" w:hAnsi="Roboto"/>
          <w:sz w:val="22"/>
          <w:szCs w:val="22"/>
        </w:rPr>
      </w:pPr>
      <w:r w:rsidRPr="006D3E56">
        <w:rPr>
          <w:rFonts w:ascii="Roboto" w:hAnsi="Roboto"/>
          <w:sz w:val="22"/>
          <w:szCs w:val="22"/>
        </w:rPr>
        <w:t>Temeljem prikazanih podataka i analize dostavljenih izvješća za 2025. godinu, može se zaključiti da je razina proaktivne objave informacija tijela javne vlasti u odnosu na prethodnu godinu ostala stabilna, s određenim pozitivnim pomacima u pojedinim segmentima. Gotovo 79% tijela objavljuje zakone, propise ili poveznice na njih, a oko 83% objavljuje opće akte i odluke kojima se utječe na interese korisnika, što je blagi rast u odnosu na 2024. godinu. Najviša razina transparentnosti i dalje je vidljiva u segmentu financijskih dokumenata, gdje oko 88% tijela objavljuje proračune, odnosno financijske planove, financijska izvješća i izvješća o izvršenju proračuna, odnosno financijskog plana. Međutim, kao i ranijih godina, najniža razina objave bilježi se kod popisa korisnika donacija, sponzorstava i drugih bespovratnih sredstava.</w:t>
      </w:r>
    </w:p>
    <w:p w14:paraId="7545F9A6" w14:textId="77777777" w:rsidR="00181E1A" w:rsidRPr="006D3E56" w:rsidRDefault="00181E1A" w:rsidP="001F7977">
      <w:pPr>
        <w:rPr>
          <w:rFonts w:ascii="Roboto" w:hAnsi="Roboto"/>
          <w:sz w:val="22"/>
          <w:szCs w:val="22"/>
        </w:rPr>
      </w:pPr>
      <w:r w:rsidRPr="006D3E56">
        <w:rPr>
          <w:rFonts w:ascii="Roboto" w:hAnsi="Roboto"/>
          <w:sz w:val="22"/>
          <w:szCs w:val="22"/>
        </w:rPr>
        <w:t xml:space="preserve">Iako formalni odgovori tijela pokazuju relativno visoku razinu ispunjenja zakonskih obveza, u praksi se i dalje uočavaju značajne nepravilnosti, poput nedostatne ažurnosti u objavi propisa i općih akata, korištenja formata koji nisu lako </w:t>
      </w:r>
      <w:proofErr w:type="spellStart"/>
      <w:r w:rsidRPr="006D3E56">
        <w:rPr>
          <w:rFonts w:ascii="Roboto" w:hAnsi="Roboto"/>
          <w:sz w:val="22"/>
          <w:szCs w:val="22"/>
        </w:rPr>
        <w:t>pretraživi</w:t>
      </w:r>
      <w:proofErr w:type="spellEnd"/>
      <w:r w:rsidRPr="006D3E56">
        <w:rPr>
          <w:rFonts w:ascii="Roboto" w:hAnsi="Roboto"/>
          <w:sz w:val="22"/>
          <w:szCs w:val="22"/>
        </w:rPr>
        <w:t xml:space="preserve"> ili strojno čitljivi, nepotpune objave informacija o unutarnjem ustrojstvu i kontaktima, kao i o javnim uslugama, te općenito pogrešnog izvještavanja tijela o stvarnoj objavi informacija na internetskim stranicama.</w:t>
      </w:r>
    </w:p>
    <w:p w14:paraId="188750A4" w14:textId="77777777" w:rsidR="00181E1A" w:rsidRPr="006D3E56" w:rsidRDefault="00181E1A" w:rsidP="001F7977">
      <w:pPr>
        <w:rPr>
          <w:rFonts w:ascii="Roboto" w:hAnsi="Roboto"/>
          <w:sz w:val="22"/>
          <w:szCs w:val="22"/>
        </w:rPr>
      </w:pPr>
      <w:r w:rsidRPr="006D3E56">
        <w:rPr>
          <w:rFonts w:ascii="Roboto" w:hAnsi="Roboto"/>
          <w:sz w:val="22"/>
          <w:szCs w:val="22"/>
        </w:rPr>
        <w:t>Navedeni rezultati potvrđuju potrebu za pojednostavljenjem i preciziranjem odredbi članka 10. stavka 1. Zakona, kako bi se olakšala primjena obveze proaktivne objave i osigurala viša razina transparentnosti i otvorenosti tijela javne vlasti.</w:t>
      </w:r>
    </w:p>
    <w:p w14:paraId="2EF499D2" w14:textId="7524F8A4" w:rsidR="005C4543" w:rsidRPr="00C86404" w:rsidRDefault="00EB061B" w:rsidP="001F7977">
      <w:pPr>
        <w:pStyle w:val="Naslov1"/>
      </w:pPr>
      <w:bookmarkStart w:id="15" w:name="_Toc225867791"/>
      <w:r w:rsidRPr="00C86404">
        <w:lastRenderedPageBreak/>
        <w:t>Savjetovanja s javnošću</w:t>
      </w:r>
      <w:bookmarkEnd w:id="15"/>
    </w:p>
    <w:p w14:paraId="351688CD" w14:textId="04A73D86" w:rsidR="00531484" w:rsidRPr="006D3E56" w:rsidRDefault="00531484" w:rsidP="00125064">
      <w:pPr>
        <w:pBdr>
          <w:top w:val="single" w:sz="4" w:space="1" w:color="auto"/>
          <w:left w:val="single" w:sz="4" w:space="4" w:color="auto"/>
          <w:bottom w:val="single" w:sz="4" w:space="1" w:color="auto"/>
          <w:right w:val="single" w:sz="4" w:space="4" w:color="auto"/>
        </w:pBdr>
        <w:rPr>
          <w:rFonts w:ascii="Roboto" w:hAnsi="Roboto" w:cs="Arial"/>
          <w:sz w:val="22"/>
          <w:szCs w:val="22"/>
        </w:rPr>
      </w:pPr>
      <w:r w:rsidRPr="006D3E56">
        <w:rPr>
          <w:rFonts w:ascii="Roboto" w:hAnsi="Roboto" w:cs="Arial"/>
          <w:sz w:val="22"/>
          <w:szCs w:val="22"/>
        </w:rPr>
        <w:t>Analiza dostavljenih podataka tijela javne vlasti ukazuje da se 35% tijela javne vlasti koja su dostavila podatke, prepoznaju kao obveznici provedbe savjetovanja, što predstavlja povećanje od 3% u odnosu na prethodnu godinu. Iako članak 11. ZPPI-ja propisuje da su obveznici provedbe savjetovanja s javnošću tijela državne uprave, druga državna tijela, JLP(R)S i pravne osobe s javnim ovlastima, da nisu obveznici provedbe savjetovanja izjasnilo se 9 državnih tijela, 2 JLP(R)S te čak 3.323 ostale pravne osobe (među kojima su pravne osobe s javnim ovlastima, agencije, ustanove, trgovačka društva i udruge).</w:t>
      </w:r>
    </w:p>
    <w:p w14:paraId="3C8AF7C4" w14:textId="77777777" w:rsidR="00531484" w:rsidRPr="006D3E56" w:rsidRDefault="00531484" w:rsidP="001F7977">
      <w:pPr>
        <w:rPr>
          <w:rFonts w:ascii="Roboto" w:hAnsi="Roboto" w:cs="Arial"/>
          <w:sz w:val="22"/>
          <w:szCs w:val="22"/>
        </w:rPr>
      </w:pPr>
      <w:r w:rsidRPr="006D3E56">
        <w:rPr>
          <w:rFonts w:ascii="Roboto" w:hAnsi="Roboto" w:cs="Arial"/>
          <w:sz w:val="22"/>
          <w:szCs w:val="22"/>
        </w:rPr>
        <w:t>U 2025. godini tijela javne vlasti provela su ukupno 7.099 savjetovanja s javnošću, što je najviše savjetovanja s javnošću od početka praćenja ispunjavanja ove zakonske obveze.</w:t>
      </w:r>
    </w:p>
    <w:p w14:paraId="6227C776" w14:textId="77777777" w:rsidR="00B54C0C" w:rsidRDefault="00531484" w:rsidP="001F7977">
      <w:pPr>
        <w:rPr>
          <w:rFonts w:ascii="Roboto" w:hAnsi="Roboto" w:cs="Arial"/>
          <w:sz w:val="22"/>
          <w:szCs w:val="22"/>
        </w:rPr>
      </w:pPr>
      <w:r w:rsidRPr="006D3E56">
        <w:rPr>
          <w:rFonts w:ascii="Roboto" w:hAnsi="Roboto" w:cs="Arial"/>
          <w:sz w:val="22"/>
          <w:szCs w:val="22"/>
        </w:rPr>
        <w:t>Uočen je blagi napredak u ispunjavanju razine zakonske obveze koja se odnosi na objavu plana savjetovanja s javnošću, iako i dalje tek nešto više od polovice tijela objavljuje planove savjetovanja, što ukazuje na nedovoljnu razinu planiranja unutar tijela javne vlasti.</w:t>
      </w:r>
      <w:r w:rsidR="00B54C0C">
        <w:rPr>
          <w:rFonts w:ascii="Roboto" w:hAnsi="Roboto" w:cs="Arial"/>
          <w:sz w:val="22"/>
          <w:szCs w:val="22"/>
        </w:rPr>
        <w:t xml:space="preserve"> </w:t>
      </w:r>
    </w:p>
    <w:p w14:paraId="383FF845" w14:textId="4356C8C6" w:rsidR="00531484" w:rsidRPr="006D3E56" w:rsidRDefault="00531484" w:rsidP="001F7977">
      <w:pPr>
        <w:rPr>
          <w:rFonts w:ascii="Roboto" w:hAnsi="Roboto" w:cs="Arial"/>
          <w:sz w:val="22"/>
          <w:szCs w:val="22"/>
        </w:rPr>
      </w:pPr>
      <w:r w:rsidRPr="006D3E56">
        <w:rPr>
          <w:rFonts w:ascii="Roboto" w:hAnsi="Roboto" w:cs="Arial"/>
          <w:sz w:val="22"/>
          <w:szCs w:val="22"/>
        </w:rPr>
        <w:t xml:space="preserve">Slijedom navedenog, dolazi do skraćivanja rokova provedbe savjetovanja s javnošću, što je razvidno i iz dostavljenih podataka tijela javne vlasti koja su u 2025. provodila savjetovanja u prosječnom trajanju od 24 dana. Sukladno uputi Povjerenika da je skraćivanje roka provedbe savjetovanja opravdano samo u iznimnim slučajevima i da je u tim slučajevima nužno objaviti obrazloženje razloga koji su doveli do skraćivanja roka, tijela sve više objavljuju takva obrazloženja, što potvrđuju i podaci prema kojima se povećao broj tijela koji objavljuju obrazloženja s razlozima skraćivanja rokova za 9%. </w:t>
      </w:r>
    </w:p>
    <w:p w14:paraId="09243F78" w14:textId="77777777" w:rsidR="00531484" w:rsidRPr="006D3E56" w:rsidRDefault="00531484" w:rsidP="001F7977">
      <w:pPr>
        <w:rPr>
          <w:rFonts w:ascii="Roboto" w:hAnsi="Roboto" w:cs="Arial"/>
          <w:sz w:val="22"/>
          <w:szCs w:val="22"/>
        </w:rPr>
      </w:pPr>
      <w:r w:rsidRPr="006D3E56">
        <w:rPr>
          <w:rFonts w:ascii="Roboto" w:hAnsi="Roboto" w:cs="Arial"/>
          <w:sz w:val="22"/>
          <w:szCs w:val="22"/>
        </w:rPr>
        <w:t xml:space="preserve">Samo trećina tijela javne vlasti objavljivala je sastave radnih skupina koje su izradile nacrte akata koji se stavljaju na savjetovanje. S obzirom da iz navedenih podatka (kada podaci o radnim skupinama nisu objavljeni) nije razvidno jesu li radne skupine bile osnovane ili nisu, uputa je Povjerenika da se svakako objavi i informacija o </w:t>
      </w:r>
      <w:proofErr w:type="spellStart"/>
      <w:r w:rsidRPr="006D3E56">
        <w:rPr>
          <w:rFonts w:ascii="Roboto" w:hAnsi="Roboto" w:cs="Arial"/>
          <w:sz w:val="22"/>
          <w:szCs w:val="22"/>
        </w:rPr>
        <w:t>neosnivanju</w:t>
      </w:r>
      <w:proofErr w:type="spellEnd"/>
      <w:r w:rsidRPr="006D3E56">
        <w:rPr>
          <w:rFonts w:ascii="Roboto" w:hAnsi="Roboto" w:cs="Arial"/>
          <w:sz w:val="22"/>
          <w:szCs w:val="22"/>
        </w:rPr>
        <w:t xml:space="preserve"> radne skupine ako ista nije bila osnovana.</w:t>
      </w:r>
    </w:p>
    <w:p w14:paraId="4EA38E3F" w14:textId="77777777" w:rsidR="00531484" w:rsidRPr="006D3E56" w:rsidRDefault="00531484" w:rsidP="001F7977">
      <w:pPr>
        <w:rPr>
          <w:rFonts w:ascii="Roboto" w:hAnsi="Roboto" w:cs="Arial"/>
          <w:sz w:val="22"/>
          <w:szCs w:val="22"/>
        </w:rPr>
      </w:pPr>
      <w:r w:rsidRPr="006D3E56">
        <w:rPr>
          <w:rFonts w:ascii="Roboto" w:hAnsi="Roboto" w:cs="Arial"/>
          <w:sz w:val="22"/>
          <w:szCs w:val="22"/>
        </w:rPr>
        <w:t>U 2025. došlo je do povećanja od čak 9% u ispunjavanju obveze objave izvješća o provedenim savjetovanjima.</w:t>
      </w:r>
    </w:p>
    <w:p w14:paraId="7394F4CE" w14:textId="77777777" w:rsidR="00531484" w:rsidRPr="006D3E56" w:rsidRDefault="00531484" w:rsidP="001F7977">
      <w:pPr>
        <w:pBdr>
          <w:top w:val="single" w:sz="4" w:space="1" w:color="auto"/>
          <w:left w:val="single" w:sz="4" w:space="4" w:color="auto"/>
          <w:bottom w:val="single" w:sz="4" w:space="1" w:color="auto"/>
          <w:right w:val="single" w:sz="4" w:space="4" w:color="auto"/>
        </w:pBdr>
        <w:rPr>
          <w:rFonts w:ascii="Roboto" w:hAnsi="Roboto" w:cs="Arial"/>
          <w:sz w:val="22"/>
          <w:szCs w:val="22"/>
        </w:rPr>
      </w:pPr>
      <w:r w:rsidRPr="006D3E56">
        <w:rPr>
          <w:rFonts w:ascii="Roboto" w:hAnsi="Roboto" w:cs="Arial"/>
          <w:sz w:val="22"/>
          <w:szCs w:val="22"/>
        </w:rPr>
        <w:t>Iako je u gotovo svim segmentima provedbe savjetovanja s javnošću došlo do blagog poboljšanja, potrebno je i dalje kontinuirano provoditi edukacije službenika za informiranje, koordinatora za savjetovanje, ali i drugih službenika koji u svom radu primjenjuju odredbe ZPPI-ja, o pravilnoj primjeni članka 11. Zakona</w:t>
      </w:r>
    </w:p>
    <w:p w14:paraId="7D4B4487" w14:textId="72502B08" w:rsidR="00531484" w:rsidRPr="006D3E56" w:rsidRDefault="00531484" w:rsidP="001F7977">
      <w:pPr>
        <w:rPr>
          <w:rFonts w:ascii="Roboto" w:hAnsi="Roboto" w:cs="Arial"/>
          <w:sz w:val="22"/>
          <w:szCs w:val="22"/>
        </w:rPr>
      </w:pPr>
      <w:r w:rsidRPr="006D3E56">
        <w:rPr>
          <w:rFonts w:ascii="Roboto" w:hAnsi="Roboto" w:cs="Arial"/>
          <w:sz w:val="22"/>
          <w:szCs w:val="22"/>
        </w:rPr>
        <w:t>U 2025. godini pregled savjetovanja na portalu</w:t>
      </w:r>
      <w:r w:rsidR="00125064">
        <w:rPr>
          <w:rFonts w:ascii="Roboto" w:hAnsi="Roboto" w:cs="Arial"/>
          <w:sz w:val="22"/>
          <w:szCs w:val="22"/>
        </w:rPr>
        <w:t xml:space="preserve"> e-Savjetovanja</w:t>
      </w:r>
      <w:r w:rsidRPr="006D3E56">
        <w:rPr>
          <w:rFonts w:ascii="Roboto" w:hAnsi="Roboto" w:cs="Arial"/>
          <w:sz w:val="22"/>
          <w:szCs w:val="22"/>
        </w:rPr>
        <w:t xml:space="preserve"> izvršen je na dane 30. lipnja i 20. studenog studenoga te se pregledom utvrđivalo: koja se savjetovanja ne provode u odgovarajućem roku, za koja savjetovanja nije objavljeno obrazloženje za skraćivanje roka te za koja završena savjetovanja nije objavljeno izvješće s odgovorima na pristigle komentare i mišljenja. Pregledom su bila obuhvaćena sva tijela koja koriste portal kao platformu za ispunjavanje obaveze provedbe savjetovanja s javnošću. Traženjem postupanja zbog uočenih nepravilnosti bili su obuhvaćeni Ministarstvo zdravstva (30. lipnja 2025.), Ministarstvo mora, prometa i infrastrukture (30. lipnja 2025.), Ministarstvo poljoprivrede, šumarstva i ribarstva (30. lipnja 2025.), Ministarstvo pravosuđa, uprave i digitalne transformacije (20. studenog 2025.) i Ministarstvo kulture i medija (20. studenog 2025.). </w:t>
      </w:r>
    </w:p>
    <w:p w14:paraId="158C6DDC" w14:textId="4B90F28B" w:rsidR="00EB061B" w:rsidRPr="006D3E56" w:rsidRDefault="00531484" w:rsidP="001F7977">
      <w:pPr>
        <w:rPr>
          <w:rFonts w:ascii="Roboto" w:hAnsi="Roboto" w:cs="Arial"/>
          <w:sz w:val="22"/>
          <w:szCs w:val="22"/>
        </w:rPr>
      </w:pPr>
      <w:r w:rsidRPr="006D3E56">
        <w:rPr>
          <w:rFonts w:ascii="Roboto" w:hAnsi="Roboto" w:cs="Arial"/>
          <w:sz w:val="22"/>
          <w:szCs w:val="22"/>
        </w:rPr>
        <w:lastRenderedPageBreak/>
        <w:t>Nadalje, provedeno je dubinsko analitičko praćenje provedbe savjetovanja u 2025. godini za tri ministarstva: Ministarstvo pravosuđa, uprave i digitalne transformacije, Ministarstvo financija i Ministarstvo unutarnjih poslova. Provedenim praćenjima se ujedno ispunjavaju aktivnosti br. 109. i 110. Akcijskog plana za razdoblje od 2025. do 2027. godine uz Strategiju sprječavanja korupcije za razdoblje od 2021. do 2030. godine.</w:t>
      </w:r>
    </w:p>
    <w:p w14:paraId="70A62E2D" w14:textId="2613A936" w:rsidR="00EB061B" w:rsidRPr="00C86404" w:rsidRDefault="00EB061B" w:rsidP="001F7977">
      <w:pPr>
        <w:pStyle w:val="Naslov1"/>
      </w:pPr>
      <w:bookmarkStart w:id="16" w:name="_Toc225867792"/>
      <w:r w:rsidRPr="00C86404">
        <w:t>Javnost rada</w:t>
      </w:r>
      <w:bookmarkEnd w:id="16"/>
    </w:p>
    <w:p w14:paraId="4DAC90F0" w14:textId="77777777" w:rsidR="00E04AD7" w:rsidRPr="006D3E56" w:rsidRDefault="00E04AD7" w:rsidP="001F7977">
      <w:pPr>
        <w:rPr>
          <w:rFonts w:ascii="Roboto" w:hAnsi="Roboto"/>
          <w:sz w:val="22"/>
          <w:szCs w:val="22"/>
        </w:rPr>
      </w:pPr>
      <w:r w:rsidRPr="006D3E56">
        <w:rPr>
          <w:rFonts w:ascii="Roboto" w:hAnsi="Roboto"/>
          <w:sz w:val="22"/>
          <w:szCs w:val="22"/>
        </w:rPr>
        <w:t>U 2025. godini je prema prikazanim rezultatima došlo do blagog napretka u ispunjavanju zakonske obveze javnosti rada (najviše se objavljuju dnevni redovi i zaključci sa službenih sjednica). Razina objave ZPPI-</w:t>
      </w:r>
      <w:proofErr w:type="spellStart"/>
      <w:r w:rsidRPr="006D3E56">
        <w:rPr>
          <w:rFonts w:ascii="Roboto" w:hAnsi="Roboto"/>
          <w:sz w:val="22"/>
          <w:szCs w:val="22"/>
        </w:rPr>
        <w:t>jem</w:t>
      </w:r>
      <w:proofErr w:type="spellEnd"/>
      <w:r w:rsidRPr="006D3E56">
        <w:rPr>
          <w:rFonts w:ascii="Roboto" w:hAnsi="Roboto"/>
          <w:sz w:val="22"/>
          <w:szCs w:val="22"/>
        </w:rPr>
        <w:t xml:space="preserve"> propisanih informacija u odnosu na druga službena tijela (tzv. stručna, savjetodavna, nadzorna, izvršna, disciplinska i dr.) izrazito je niska i odnosi se eventualno na objavu informacija o radu tih službenih tijela kroz objavu statuta i poslovnika. </w:t>
      </w:r>
    </w:p>
    <w:p w14:paraId="70411782" w14:textId="77777777" w:rsidR="00E04AD7" w:rsidRPr="006D3E56" w:rsidRDefault="00E04AD7" w:rsidP="001F7977">
      <w:pPr>
        <w:rPr>
          <w:rFonts w:ascii="Roboto" w:hAnsi="Roboto"/>
          <w:sz w:val="22"/>
          <w:szCs w:val="22"/>
        </w:rPr>
      </w:pPr>
      <w:r w:rsidRPr="006D3E56">
        <w:rPr>
          <w:rFonts w:ascii="Roboto" w:hAnsi="Roboto"/>
          <w:sz w:val="22"/>
          <w:szCs w:val="22"/>
        </w:rPr>
        <w:t>Međutim, Povjerenik kontinuirano ističe da je za ispunjavanje ove obveze nužna podrška čelnika tijela i ostalih zaposlenika tijela javne vlasti, poglavito onih zaduženih za provođenje sjednica, kako bi se pravodobno, potpuno i točno objavljivale sve propisane informacije.</w:t>
      </w:r>
    </w:p>
    <w:p w14:paraId="4F05C2C2" w14:textId="77777777" w:rsidR="00E04AD7" w:rsidRPr="006D3E56" w:rsidRDefault="00E04AD7" w:rsidP="001F7977">
      <w:pPr>
        <w:rPr>
          <w:rFonts w:ascii="Roboto" w:hAnsi="Roboto"/>
          <w:sz w:val="22"/>
          <w:szCs w:val="22"/>
        </w:rPr>
      </w:pPr>
      <w:r w:rsidRPr="006D3E56">
        <w:rPr>
          <w:rFonts w:ascii="Roboto" w:hAnsi="Roboto"/>
          <w:sz w:val="22"/>
          <w:szCs w:val="22"/>
        </w:rPr>
        <w:t xml:space="preserve">Sve navedeno utječe da se ova zakonska obveza u pravilu ne ispunjava na zadovoljavajući način jer se propisane informacije objavljuju samo u odnosu na upravljačka službena tijela i to djelomično, dok se u pravilu ne objavljuju za druga službena tijela. </w:t>
      </w:r>
    </w:p>
    <w:p w14:paraId="03221653" w14:textId="0D9F0EDB" w:rsidR="005C4543" w:rsidRPr="00C86404" w:rsidRDefault="000B407D" w:rsidP="001F7977">
      <w:pPr>
        <w:pStyle w:val="Naslov1"/>
      </w:pPr>
      <w:bookmarkStart w:id="17" w:name="_Toc225867793"/>
      <w:r w:rsidRPr="00C86404">
        <w:t>Ponovna uporaba informacija</w:t>
      </w:r>
      <w:bookmarkEnd w:id="17"/>
    </w:p>
    <w:p w14:paraId="297ED85F" w14:textId="0D549256" w:rsidR="00577CD8" w:rsidRPr="006D3E56" w:rsidRDefault="00577CD8" w:rsidP="001F7977">
      <w:pPr>
        <w:rPr>
          <w:rFonts w:ascii="Roboto" w:hAnsi="Roboto"/>
          <w:sz w:val="22"/>
          <w:szCs w:val="22"/>
        </w:rPr>
      </w:pPr>
      <w:r w:rsidRPr="006D3E56">
        <w:rPr>
          <w:rFonts w:ascii="Roboto" w:hAnsi="Roboto"/>
          <w:sz w:val="22"/>
          <w:szCs w:val="22"/>
        </w:rPr>
        <w:t xml:space="preserve">Tijela javne vlasti obvezna su, radi poticanja i olakšavanja ponovne uporabe podataka u elektroničkom obliku, na jednostavno pretraživ način objavljivati takve informacije na Portalu otvorenih podataka. Podaci pritom trebaju biti popraćeni odgovarajućim </w:t>
      </w:r>
      <w:proofErr w:type="spellStart"/>
      <w:r w:rsidRPr="006D3E56">
        <w:rPr>
          <w:rFonts w:ascii="Roboto" w:hAnsi="Roboto"/>
          <w:sz w:val="22"/>
          <w:szCs w:val="22"/>
        </w:rPr>
        <w:t>metapodacima</w:t>
      </w:r>
      <w:proofErr w:type="spellEnd"/>
      <w:r w:rsidRPr="006D3E56">
        <w:rPr>
          <w:rFonts w:ascii="Roboto" w:hAnsi="Roboto"/>
          <w:sz w:val="22"/>
          <w:szCs w:val="22"/>
        </w:rPr>
        <w:t xml:space="preserve"> te dostupni u strojno čitljivom, otvorenom i pristupačnom formatu, u skladu s važećim otvorenim standardima.</w:t>
      </w:r>
      <w:r w:rsidR="00AE66D0">
        <w:rPr>
          <w:rFonts w:ascii="Roboto" w:hAnsi="Roboto"/>
          <w:sz w:val="22"/>
          <w:szCs w:val="22"/>
        </w:rPr>
        <w:t xml:space="preserve"> </w:t>
      </w:r>
    </w:p>
    <w:p w14:paraId="023F8703" w14:textId="77777777" w:rsidR="00577CD8" w:rsidRPr="006D3E56" w:rsidRDefault="00577CD8" w:rsidP="001F7977">
      <w:pPr>
        <w:rPr>
          <w:rFonts w:ascii="Roboto" w:hAnsi="Roboto"/>
          <w:sz w:val="22"/>
          <w:szCs w:val="22"/>
        </w:rPr>
      </w:pPr>
      <w:r w:rsidRPr="006D3E56">
        <w:rPr>
          <w:rFonts w:ascii="Roboto" w:hAnsi="Roboto"/>
          <w:sz w:val="22"/>
          <w:szCs w:val="22"/>
        </w:rPr>
        <w:t xml:space="preserve">Unatoč kontinuiranom rastu broja objavljenih skupova podataka i uključenih izdavača, i dalje su prisutni određeni izazovi. Skupovi podataka često nisu objavljeni u formatima prikladnima za ponovnu uporabu, što umanjuje njihovu korisnost, kvaliteta </w:t>
      </w:r>
      <w:proofErr w:type="spellStart"/>
      <w:r w:rsidRPr="006D3E56">
        <w:rPr>
          <w:rFonts w:ascii="Roboto" w:hAnsi="Roboto"/>
          <w:sz w:val="22"/>
          <w:szCs w:val="22"/>
        </w:rPr>
        <w:t>metapodataka</w:t>
      </w:r>
      <w:proofErr w:type="spellEnd"/>
      <w:r w:rsidRPr="006D3E56">
        <w:rPr>
          <w:rFonts w:ascii="Roboto" w:hAnsi="Roboto"/>
          <w:sz w:val="22"/>
          <w:szCs w:val="22"/>
        </w:rPr>
        <w:t xml:space="preserve"> nerijetko je nedostatna, a dio poveznica vodi na neaktivne ili nepostojeće stranice.</w:t>
      </w:r>
    </w:p>
    <w:p w14:paraId="5A2B310A" w14:textId="77777777" w:rsidR="00577CD8" w:rsidRPr="006D3E56" w:rsidRDefault="00577CD8" w:rsidP="001F7977">
      <w:pPr>
        <w:rPr>
          <w:rFonts w:ascii="Roboto" w:hAnsi="Roboto"/>
          <w:sz w:val="22"/>
          <w:szCs w:val="22"/>
        </w:rPr>
      </w:pPr>
      <w:r w:rsidRPr="006D3E56">
        <w:rPr>
          <w:rFonts w:ascii="Roboto" w:hAnsi="Roboto"/>
          <w:sz w:val="22"/>
          <w:szCs w:val="22"/>
        </w:rPr>
        <w:t xml:space="preserve">U 2025. godini je 22% tijela navelo da ispunjava zakonsku obvezu objave </w:t>
      </w:r>
      <w:proofErr w:type="spellStart"/>
      <w:r w:rsidRPr="006D3E56">
        <w:rPr>
          <w:rFonts w:ascii="Roboto" w:hAnsi="Roboto"/>
          <w:sz w:val="22"/>
          <w:szCs w:val="22"/>
        </w:rPr>
        <w:t>asset</w:t>
      </w:r>
      <w:proofErr w:type="spellEnd"/>
      <w:r w:rsidRPr="006D3E56">
        <w:rPr>
          <w:rFonts w:ascii="Roboto" w:hAnsi="Roboto"/>
          <w:sz w:val="22"/>
          <w:szCs w:val="22"/>
        </w:rPr>
        <w:t xml:space="preserve"> liste (15% ispunjava i 7% djelomično ispunjava), dok ih 56% smatra da se na njih navedena obveza ne odnosi jer ne raspolažu registrima, bazama i skupovima podataka za ponovnu uporabu, među kojima i 29 JLS (u 2024. - 30), 16 agencija i drugih pravnih osoba s javnim ovlastima, 3 tijela državne uprave i 13 državnih tijela. </w:t>
      </w:r>
    </w:p>
    <w:p w14:paraId="46053A41" w14:textId="77777777" w:rsidR="00577CD8" w:rsidRPr="006D3E56" w:rsidRDefault="00577CD8" w:rsidP="001F7977">
      <w:pPr>
        <w:rPr>
          <w:rFonts w:ascii="Roboto" w:hAnsi="Roboto"/>
          <w:sz w:val="22"/>
          <w:szCs w:val="22"/>
        </w:rPr>
      </w:pPr>
      <w:r w:rsidRPr="006D3E56">
        <w:rPr>
          <w:rFonts w:ascii="Roboto" w:hAnsi="Roboto"/>
          <w:sz w:val="22"/>
          <w:szCs w:val="22"/>
        </w:rPr>
        <w:t>Dodatno, analize i godišnja izvješća ukazuju da značajan broj tijela javne vlasti (22%) još uvijek ne ispunjava obvezu proaktivne objave informacija o registrima, bazama i skupovima podataka za ponovnu uporabu (</w:t>
      </w:r>
      <w:proofErr w:type="spellStart"/>
      <w:r w:rsidRPr="006D3E56">
        <w:rPr>
          <w:rFonts w:ascii="Roboto" w:hAnsi="Roboto"/>
          <w:sz w:val="22"/>
          <w:szCs w:val="22"/>
        </w:rPr>
        <w:t>asset</w:t>
      </w:r>
      <w:proofErr w:type="spellEnd"/>
      <w:r w:rsidRPr="006D3E56">
        <w:rPr>
          <w:rFonts w:ascii="Roboto" w:hAnsi="Roboto"/>
          <w:sz w:val="22"/>
          <w:szCs w:val="22"/>
        </w:rPr>
        <w:t xml:space="preserve"> liste).</w:t>
      </w:r>
    </w:p>
    <w:p w14:paraId="44F66757" w14:textId="35D006C3" w:rsidR="005C4543" w:rsidRPr="00C86404" w:rsidRDefault="005C4543" w:rsidP="001F7977">
      <w:pPr>
        <w:pStyle w:val="Naslov1"/>
      </w:pPr>
      <w:bookmarkStart w:id="18" w:name="_Toc225867794"/>
      <w:r w:rsidRPr="00C86404">
        <w:lastRenderedPageBreak/>
        <w:t xml:space="preserve">Promicanje </w:t>
      </w:r>
      <w:r w:rsidR="00096F28" w:rsidRPr="00C86404">
        <w:t xml:space="preserve">prava na </w:t>
      </w:r>
      <w:r w:rsidRPr="00C86404">
        <w:t>pristup informacijama</w:t>
      </w:r>
      <w:r w:rsidR="00C37819" w:rsidRPr="00C86404">
        <w:t xml:space="preserve"> i edukacija</w:t>
      </w:r>
      <w:bookmarkEnd w:id="18"/>
    </w:p>
    <w:p w14:paraId="3CE70F21" w14:textId="70F2F76A" w:rsidR="00C42E15" w:rsidRPr="006D3E56" w:rsidRDefault="00C42E15" w:rsidP="001F7977">
      <w:pPr>
        <w:pBdr>
          <w:top w:val="single" w:sz="4" w:space="1" w:color="auto"/>
          <w:left w:val="single" w:sz="4" w:space="4" w:color="auto"/>
          <w:bottom w:val="single" w:sz="4" w:space="1" w:color="auto"/>
          <w:right w:val="single" w:sz="4" w:space="4" w:color="auto"/>
        </w:pBdr>
        <w:rPr>
          <w:rFonts w:ascii="Roboto" w:eastAsia="Calibri" w:hAnsi="Roboto" w:cs="Arial"/>
          <w:sz w:val="22"/>
          <w:szCs w:val="22"/>
        </w:rPr>
      </w:pPr>
      <w:r w:rsidRPr="006D3E56">
        <w:rPr>
          <w:rFonts w:ascii="Roboto" w:eastAsia="Calibri" w:hAnsi="Roboto" w:cs="Arial"/>
          <w:sz w:val="22"/>
          <w:szCs w:val="22"/>
        </w:rPr>
        <w:t>Ured kontinuirano provodi različite edukativne i promotivne aktivnosti s ciljem podizanja razine znanja i svijesti o ostvarivanju prava na pristup i ponovnu uporabu informacija, kako na razini tijela javne vlasti i službenika za informiranje, tako i među korisnicima – udrugama, medijima, građanima i drugim sudionicima te je tijekom 202</w:t>
      </w:r>
      <w:r w:rsidR="00577CD8" w:rsidRPr="006D3E56">
        <w:rPr>
          <w:rFonts w:ascii="Roboto" w:eastAsia="Calibri" w:hAnsi="Roboto" w:cs="Arial"/>
          <w:sz w:val="22"/>
          <w:szCs w:val="22"/>
        </w:rPr>
        <w:t>5</w:t>
      </w:r>
      <w:r w:rsidRPr="006D3E56">
        <w:rPr>
          <w:rFonts w:ascii="Roboto" w:eastAsia="Calibri" w:hAnsi="Roboto" w:cs="Arial"/>
          <w:sz w:val="22"/>
          <w:szCs w:val="22"/>
        </w:rPr>
        <w:t>. održano 3</w:t>
      </w:r>
      <w:r w:rsidR="00577CD8" w:rsidRPr="006D3E56">
        <w:rPr>
          <w:rFonts w:ascii="Roboto" w:eastAsia="Calibri" w:hAnsi="Roboto" w:cs="Arial"/>
          <w:sz w:val="22"/>
          <w:szCs w:val="22"/>
        </w:rPr>
        <w:t>5</w:t>
      </w:r>
      <w:r w:rsidRPr="006D3E56">
        <w:rPr>
          <w:rFonts w:ascii="Roboto" w:eastAsia="Calibri" w:hAnsi="Roboto" w:cs="Arial"/>
          <w:sz w:val="22"/>
          <w:szCs w:val="22"/>
        </w:rPr>
        <w:t xml:space="preserve"> edukacija za ukupno 4</w:t>
      </w:r>
      <w:r w:rsidR="00577CD8" w:rsidRPr="006D3E56">
        <w:rPr>
          <w:rFonts w:ascii="Roboto" w:eastAsia="Calibri" w:hAnsi="Roboto" w:cs="Arial"/>
          <w:sz w:val="22"/>
          <w:szCs w:val="22"/>
        </w:rPr>
        <w:t>8</w:t>
      </w:r>
      <w:r w:rsidRPr="006D3E56">
        <w:rPr>
          <w:rFonts w:ascii="Roboto" w:eastAsia="Calibri" w:hAnsi="Roboto" w:cs="Arial"/>
          <w:sz w:val="22"/>
          <w:szCs w:val="22"/>
        </w:rPr>
        <w:t>0 polaznika</w:t>
      </w:r>
      <w:r w:rsidR="00A27B0A" w:rsidRPr="006D3E56">
        <w:rPr>
          <w:rFonts w:ascii="Roboto" w:eastAsia="Calibri" w:hAnsi="Roboto" w:cs="Arial"/>
          <w:sz w:val="22"/>
          <w:szCs w:val="22"/>
        </w:rPr>
        <w:t>, a uključujući Godišnje savjetovanje službenika za informiranje, kao javno događanje s edukativnom komponentom, bilo ih je ukupno 605.</w:t>
      </w:r>
    </w:p>
    <w:p w14:paraId="4B51CA80" w14:textId="77777777" w:rsidR="00655072" w:rsidRPr="006D3E56" w:rsidRDefault="00655072" w:rsidP="001F7977">
      <w:pPr>
        <w:rPr>
          <w:rFonts w:ascii="Roboto" w:hAnsi="Roboto" w:cs="Arial"/>
          <w:sz w:val="22"/>
          <w:szCs w:val="22"/>
        </w:rPr>
      </w:pPr>
      <w:r w:rsidRPr="006D3E56">
        <w:rPr>
          <w:rFonts w:ascii="Roboto" w:hAnsi="Roboto" w:cs="Arial"/>
          <w:sz w:val="22"/>
          <w:szCs w:val="22"/>
        </w:rPr>
        <w:t xml:space="preserve">Dodatno, Ured je sudjelovao u održavanju dva pilot-izdanja </w:t>
      </w:r>
      <w:proofErr w:type="spellStart"/>
      <w:r w:rsidRPr="006D3E56">
        <w:rPr>
          <w:rFonts w:ascii="Roboto" w:hAnsi="Roboto" w:cs="Arial"/>
          <w:sz w:val="22"/>
          <w:szCs w:val="22"/>
        </w:rPr>
        <w:t>novouspostavljene</w:t>
      </w:r>
      <w:proofErr w:type="spellEnd"/>
      <w:r w:rsidRPr="006D3E56">
        <w:rPr>
          <w:rFonts w:ascii="Roboto" w:hAnsi="Roboto" w:cs="Arial"/>
          <w:sz w:val="22"/>
          <w:szCs w:val="22"/>
        </w:rPr>
        <w:t xml:space="preserve"> radionice „Otvorena vlast: modeli suradnje i međunarodne dobre prakse“, u suradnji s Uredom za udruge Vlade RH, a čije je održavanje predviđeno Nacrtom akcijskog plana Partnerstva za otvorenu vlast za razdoblje 2026.–2028.</w:t>
      </w:r>
    </w:p>
    <w:p w14:paraId="1BD27668" w14:textId="007EB554" w:rsidR="00655072" w:rsidRPr="006D3E56" w:rsidRDefault="00655072" w:rsidP="001F7977">
      <w:pPr>
        <w:rPr>
          <w:rFonts w:ascii="Roboto" w:hAnsi="Roboto" w:cs="Arial"/>
          <w:sz w:val="22"/>
          <w:szCs w:val="22"/>
        </w:rPr>
      </w:pPr>
      <w:r w:rsidRPr="006D3E56">
        <w:rPr>
          <w:rFonts w:ascii="Roboto" w:hAnsi="Roboto" w:cs="Arial"/>
          <w:sz w:val="22"/>
          <w:szCs w:val="22"/>
        </w:rPr>
        <w:t xml:space="preserve">Povjerenik za informiranje održao je sedmo godišnje savjetovanje službenika za informiranje u Opatiji, 24. i 25. rujna 2025. godine. </w:t>
      </w:r>
    </w:p>
    <w:p w14:paraId="7AAAB9FB" w14:textId="77777777" w:rsidR="00655072" w:rsidRPr="006D3E56" w:rsidRDefault="00655072" w:rsidP="001F7977">
      <w:pPr>
        <w:rPr>
          <w:rFonts w:ascii="Roboto" w:hAnsi="Roboto" w:cs="Arial"/>
          <w:sz w:val="22"/>
          <w:szCs w:val="22"/>
        </w:rPr>
      </w:pPr>
      <w:r w:rsidRPr="006D3E56">
        <w:rPr>
          <w:rFonts w:ascii="Roboto" w:hAnsi="Roboto" w:cs="Arial"/>
          <w:sz w:val="22"/>
          <w:szCs w:val="22"/>
        </w:rPr>
        <w:t>Uz zaštitnu funkciju, kao i praćenje primjene Zakona, važan segment rada Povjerenika predstavlja aktivno promicanje prava na pristup informacijama i ponovne uporabe informacija.</w:t>
      </w:r>
    </w:p>
    <w:p w14:paraId="07FA3ED9" w14:textId="6F06A9B4" w:rsidR="00231ED9" w:rsidRPr="006D3E56" w:rsidRDefault="00231ED9" w:rsidP="001F7977">
      <w:pPr>
        <w:rPr>
          <w:rFonts w:ascii="Roboto" w:hAnsi="Roboto" w:cs="Arial"/>
          <w:sz w:val="22"/>
          <w:szCs w:val="22"/>
        </w:rPr>
      </w:pPr>
      <w:r w:rsidRPr="006D3E56">
        <w:rPr>
          <w:rFonts w:ascii="Roboto" w:hAnsi="Roboto" w:cs="Arial"/>
          <w:sz w:val="22"/>
          <w:szCs w:val="22"/>
        </w:rPr>
        <w:t>Međunarodni dan prava na pristup informacijama – 28. rujna, obilježen je u okviru Godišnjeg savjetovanja službenika za informiranje u Opatiji, kao tematski razgovor o primjeni i izazovima u provedbi ZPPI-ja. Dodatno, Ured je u prosincu organizirao i specijalizirani okrugli stol sa službenicima za informiranje tijela javne vlasti na temu „Primjena i izazovi u provedbi Zakona o pravu na pristup informacijama“. Ova aktivnost je predviđena Akcijskim planom za razdoblje od 2025. do 2027. uz Strategiju sprječavanja korupcije za razdoblje 2021.-2030. godine.</w:t>
      </w:r>
    </w:p>
    <w:p w14:paraId="2649B325" w14:textId="17FF00F4" w:rsidR="00231ED9" w:rsidRPr="006D3E56" w:rsidRDefault="00231ED9" w:rsidP="001F7977">
      <w:pPr>
        <w:rPr>
          <w:rFonts w:ascii="Roboto" w:hAnsi="Roboto" w:cs="Arial"/>
          <w:sz w:val="22"/>
          <w:szCs w:val="22"/>
        </w:rPr>
      </w:pPr>
      <w:r w:rsidRPr="006D3E56">
        <w:rPr>
          <w:rFonts w:ascii="Roboto" w:hAnsi="Roboto" w:cs="Arial"/>
          <w:sz w:val="22"/>
          <w:szCs w:val="22"/>
        </w:rPr>
        <w:t xml:space="preserve">Nadalje, u organizaciji MPUDT, Povjerenika za informiranje, krovnih nacionalnih udruga osoba s invaliditetom i Državne škole za javnu upravu, u Zagrebu je 23. rujna 2025. održan šesti po redu online okrugli stol „Digitalna pristupačnost od zakona do prakse“, na kojem su sudjelovali povjerenica i savjetnik povjerenice. </w:t>
      </w:r>
    </w:p>
    <w:p w14:paraId="3030AA32" w14:textId="07F7CE3B" w:rsidR="00231ED9" w:rsidRPr="006D3E56" w:rsidRDefault="00972BC5" w:rsidP="001F7977">
      <w:pPr>
        <w:rPr>
          <w:rFonts w:ascii="Roboto" w:hAnsi="Roboto" w:cs="Arial"/>
          <w:sz w:val="22"/>
          <w:szCs w:val="22"/>
        </w:rPr>
      </w:pPr>
      <w:r>
        <w:rPr>
          <w:rFonts w:ascii="Roboto" w:hAnsi="Roboto" w:cs="Arial"/>
          <w:sz w:val="22"/>
          <w:szCs w:val="22"/>
        </w:rPr>
        <w:t>P</w:t>
      </w:r>
      <w:r w:rsidR="00231ED9" w:rsidRPr="006D3E56">
        <w:rPr>
          <w:rFonts w:ascii="Roboto" w:hAnsi="Roboto" w:cs="Arial"/>
          <w:sz w:val="22"/>
          <w:szCs w:val="22"/>
        </w:rPr>
        <w:t xml:space="preserve">ovjerenica je u rujnu 2025. sudjelovala na 19. hrvatsko-francuskim </w:t>
      </w:r>
      <w:proofErr w:type="spellStart"/>
      <w:r w:rsidR="00231ED9" w:rsidRPr="006D3E56">
        <w:rPr>
          <w:rFonts w:ascii="Roboto" w:hAnsi="Roboto" w:cs="Arial"/>
          <w:sz w:val="22"/>
          <w:szCs w:val="22"/>
        </w:rPr>
        <w:t>upravnopravnim</w:t>
      </w:r>
      <w:proofErr w:type="spellEnd"/>
      <w:r w:rsidR="00231ED9" w:rsidRPr="006D3E56">
        <w:rPr>
          <w:rFonts w:ascii="Roboto" w:hAnsi="Roboto" w:cs="Arial"/>
          <w:sz w:val="22"/>
          <w:szCs w:val="22"/>
        </w:rPr>
        <w:t xml:space="preserve"> danima u Splitu. Tema skupa bila je „Kontrola nad javnom upravom“ te je povjerenica održala izlaganje na temu „Transparentnost javne uprave kroz prizmu prava na pristup informacijama“. </w:t>
      </w:r>
      <w:r>
        <w:rPr>
          <w:rFonts w:ascii="Roboto" w:hAnsi="Roboto" w:cs="Arial"/>
          <w:sz w:val="22"/>
          <w:szCs w:val="22"/>
        </w:rPr>
        <w:t>Dodatno, p</w:t>
      </w:r>
      <w:r w:rsidR="00231ED9" w:rsidRPr="006D3E56">
        <w:rPr>
          <w:rFonts w:ascii="Roboto" w:hAnsi="Roboto" w:cs="Arial"/>
          <w:sz w:val="22"/>
          <w:szCs w:val="22"/>
        </w:rPr>
        <w:t>ovjerenica je krajem studenog 2025. sudjelovala i na okruglom stolu „Kako vlada Vlada?“ u organizaciji udruge Gong, na kojem se, između ostalog, raspravljalo o postupanju različitih tijela javne vlasti po zahtjevima, ispunjavanju zakonskih obveza te razini svijesti među građanima i aktivnom ostvarivanju prava na pristup informacijama.</w:t>
      </w:r>
    </w:p>
    <w:p w14:paraId="55FDFCEE" w14:textId="3E26F6ED" w:rsidR="00231ED9" w:rsidRPr="006D3E56" w:rsidRDefault="00231ED9" w:rsidP="001F7977">
      <w:pPr>
        <w:rPr>
          <w:rFonts w:ascii="Roboto" w:hAnsi="Roboto" w:cs="Arial"/>
          <w:sz w:val="22"/>
          <w:szCs w:val="22"/>
        </w:rPr>
      </w:pPr>
      <w:r w:rsidRPr="006D3E56">
        <w:rPr>
          <w:rFonts w:ascii="Roboto" w:hAnsi="Roboto" w:cs="Arial"/>
          <w:sz w:val="22"/>
          <w:szCs w:val="22"/>
        </w:rPr>
        <w:t xml:space="preserve">Ured je 9. prosinca 2025. sudjelovao i na okruglom stolu „Međunarodni dan borbe protiv korupcije – borba svaki dan“, koji se u organizaciji zastupnice Mirele </w:t>
      </w:r>
      <w:proofErr w:type="spellStart"/>
      <w:r w:rsidRPr="006D3E56">
        <w:rPr>
          <w:rFonts w:ascii="Roboto" w:hAnsi="Roboto" w:cs="Arial"/>
          <w:sz w:val="22"/>
          <w:szCs w:val="22"/>
        </w:rPr>
        <w:t>Ahmetović</w:t>
      </w:r>
      <w:proofErr w:type="spellEnd"/>
      <w:r w:rsidRPr="006D3E56">
        <w:rPr>
          <w:rFonts w:ascii="Roboto" w:hAnsi="Roboto" w:cs="Arial"/>
          <w:sz w:val="22"/>
          <w:szCs w:val="22"/>
        </w:rPr>
        <w:t xml:space="preserve"> održao u Hrvatskom saboru. </w:t>
      </w:r>
    </w:p>
    <w:p w14:paraId="0BDD1C38" w14:textId="10B6E896" w:rsidR="00231ED9" w:rsidRPr="006D3E56" w:rsidRDefault="00125064" w:rsidP="001F7977">
      <w:pPr>
        <w:rPr>
          <w:rFonts w:ascii="Roboto" w:hAnsi="Roboto" w:cs="Arial"/>
          <w:sz w:val="22"/>
          <w:szCs w:val="22"/>
        </w:rPr>
      </w:pPr>
      <w:r>
        <w:rPr>
          <w:rFonts w:ascii="Roboto" w:hAnsi="Roboto" w:cs="Arial"/>
          <w:sz w:val="22"/>
          <w:szCs w:val="22"/>
        </w:rPr>
        <w:t>N</w:t>
      </w:r>
      <w:r w:rsidR="00231ED9" w:rsidRPr="006D3E56">
        <w:rPr>
          <w:rFonts w:ascii="Roboto" w:hAnsi="Roboto" w:cs="Arial"/>
          <w:sz w:val="22"/>
          <w:szCs w:val="22"/>
        </w:rPr>
        <w:t>astavljena je objava jezgrovitog prikaza najvažnijih dosegnutih pravnih standarda od strane Povjerenika (u dijelu potvrđenih i od Visokog upravnog suda RH) u primjeni prava na pristup informacijama. Stoga je u rubrici „Iz prakse Povjerenika“ objavljeno 16 novih mišljenja, uputa i sažetaka odluka Povjerenika. Nastavljena je i objava odluka u Tražilici TOM (22 rješenja Povjerenika iz 2025.)</w:t>
      </w:r>
      <w:r>
        <w:rPr>
          <w:rFonts w:ascii="Roboto" w:hAnsi="Roboto" w:cs="Arial"/>
          <w:sz w:val="22"/>
          <w:szCs w:val="22"/>
        </w:rPr>
        <w:t>.</w:t>
      </w:r>
    </w:p>
    <w:p w14:paraId="3C903715" w14:textId="77777777" w:rsidR="00231ED9" w:rsidRPr="006D3E56" w:rsidRDefault="00231ED9" w:rsidP="001F7977">
      <w:pPr>
        <w:rPr>
          <w:rFonts w:ascii="Roboto" w:hAnsi="Roboto" w:cs="Arial"/>
          <w:sz w:val="22"/>
          <w:szCs w:val="22"/>
        </w:rPr>
      </w:pPr>
      <w:r w:rsidRPr="006D3E56">
        <w:rPr>
          <w:rFonts w:ascii="Roboto" w:hAnsi="Roboto" w:cs="Arial"/>
          <w:sz w:val="22"/>
          <w:szCs w:val="22"/>
        </w:rPr>
        <w:lastRenderedPageBreak/>
        <w:t>Tijekom 2025. Povjerenik je nastavio sudjelovati u aktivnostima povezanima s procesom pristupanja Republike Hrvatske Organizaciji za ekonomsku suradnju i razvoj (OECD). Na poziv MPUDT sudjelovao je u radu Radne skupine za otvorenu vlast (WPOG) te Radne skupine za javni integritet i borbu protiv korupcije (PIAC), osobito u dijelu koji se odnosi na usvajanje Preporuke o otvorenoj vlasti. U tom je okviru redovito dostavljao tražene podatke o radu institucije i stanju ostvarivanja prava na pristup i ponovnu uporabu informacija u Republici Hrvatskoj te sudjelovao na radnim sastancima.</w:t>
      </w:r>
    </w:p>
    <w:p w14:paraId="5E178558" w14:textId="70BAE480" w:rsidR="00231ED9" w:rsidRPr="006D3E56" w:rsidRDefault="00231ED9" w:rsidP="001F7977">
      <w:pPr>
        <w:rPr>
          <w:rFonts w:ascii="Roboto" w:hAnsi="Roboto" w:cs="Arial"/>
          <w:sz w:val="22"/>
          <w:szCs w:val="22"/>
        </w:rPr>
      </w:pPr>
      <w:r w:rsidRPr="006D3E56">
        <w:rPr>
          <w:rFonts w:ascii="Roboto" w:hAnsi="Roboto" w:cs="Arial"/>
          <w:sz w:val="22"/>
          <w:szCs w:val="22"/>
        </w:rPr>
        <w:t xml:space="preserve">Povjerenik je od 2022. član međunarodnog foruma International </w:t>
      </w:r>
      <w:proofErr w:type="spellStart"/>
      <w:r w:rsidRPr="006D3E56">
        <w:rPr>
          <w:rFonts w:ascii="Roboto" w:hAnsi="Roboto" w:cs="Arial"/>
          <w:sz w:val="22"/>
          <w:szCs w:val="22"/>
        </w:rPr>
        <w:t>Conference</w:t>
      </w:r>
      <w:proofErr w:type="spellEnd"/>
      <w:r w:rsidRPr="006D3E56">
        <w:rPr>
          <w:rFonts w:ascii="Roboto" w:hAnsi="Roboto" w:cs="Arial"/>
          <w:sz w:val="22"/>
          <w:szCs w:val="22"/>
        </w:rPr>
        <w:t xml:space="preserve"> </w:t>
      </w:r>
      <w:proofErr w:type="spellStart"/>
      <w:r w:rsidRPr="006D3E56">
        <w:rPr>
          <w:rFonts w:ascii="Roboto" w:hAnsi="Roboto" w:cs="Arial"/>
          <w:sz w:val="22"/>
          <w:szCs w:val="22"/>
        </w:rPr>
        <w:t>of</w:t>
      </w:r>
      <w:proofErr w:type="spellEnd"/>
      <w:r w:rsidRPr="006D3E56">
        <w:rPr>
          <w:rFonts w:ascii="Roboto" w:hAnsi="Roboto" w:cs="Arial"/>
          <w:sz w:val="22"/>
          <w:szCs w:val="22"/>
        </w:rPr>
        <w:t xml:space="preserve"> </w:t>
      </w:r>
      <w:proofErr w:type="spellStart"/>
      <w:r w:rsidRPr="006D3E56">
        <w:rPr>
          <w:rFonts w:ascii="Roboto" w:hAnsi="Roboto" w:cs="Arial"/>
          <w:sz w:val="22"/>
          <w:szCs w:val="22"/>
        </w:rPr>
        <w:t>Information</w:t>
      </w:r>
      <w:proofErr w:type="spellEnd"/>
      <w:r w:rsidRPr="006D3E56">
        <w:rPr>
          <w:rFonts w:ascii="Roboto" w:hAnsi="Roboto" w:cs="Arial"/>
          <w:sz w:val="22"/>
          <w:szCs w:val="22"/>
        </w:rPr>
        <w:t xml:space="preserve"> </w:t>
      </w:r>
      <w:proofErr w:type="spellStart"/>
      <w:r w:rsidRPr="006D3E56">
        <w:rPr>
          <w:rFonts w:ascii="Roboto" w:hAnsi="Roboto" w:cs="Arial"/>
          <w:sz w:val="22"/>
          <w:szCs w:val="22"/>
        </w:rPr>
        <w:t>Commissioners</w:t>
      </w:r>
      <w:proofErr w:type="spellEnd"/>
      <w:r w:rsidRPr="006D3E56">
        <w:rPr>
          <w:rFonts w:ascii="Roboto" w:hAnsi="Roboto" w:cs="Arial"/>
          <w:sz w:val="22"/>
          <w:szCs w:val="22"/>
        </w:rPr>
        <w:t xml:space="preserve"> – ICIC, koji povezuje povjerenike za informiranje, pravobranitelje i druga tijela zadužena za nadzor provedbe propisa o pristupu informacijama iz cijelog svijeta. 16. po redu Međunarodna konferencija povjerenika za informiranje održana je 23.-25. lipnja 2025. u Berlinu, u organizaciji njemačkog Saveznog povjerenika za zaštitu osobnih podataka i slobodan pristup informacijama (</w:t>
      </w:r>
      <w:proofErr w:type="spellStart"/>
      <w:r w:rsidRPr="006D3E56">
        <w:rPr>
          <w:rFonts w:ascii="Roboto" w:hAnsi="Roboto" w:cs="Arial"/>
          <w:sz w:val="22"/>
          <w:szCs w:val="22"/>
        </w:rPr>
        <w:t>Federal</w:t>
      </w:r>
      <w:proofErr w:type="spellEnd"/>
      <w:r w:rsidRPr="006D3E56">
        <w:rPr>
          <w:rFonts w:ascii="Roboto" w:hAnsi="Roboto" w:cs="Arial"/>
          <w:sz w:val="22"/>
          <w:szCs w:val="22"/>
        </w:rPr>
        <w:t xml:space="preserve"> </w:t>
      </w:r>
      <w:proofErr w:type="spellStart"/>
      <w:r w:rsidRPr="006D3E56">
        <w:rPr>
          <w:rFonts w:ascii="Roboto" w:hAnsi="Roboto" w:cs="Arial"/>
          <w:sz w:val="22"/>
          <w:szCs w:val="22"/>
        </w:rPr>
        <w:t>Commissioner</w:t>
      </w:r>
      <w:proofErr w:type="spellEnd"/>
      <w:r w:rsidRPr="006D3E56">
        <w:rPr>
          <w:rFonts w:ascii="Roboto" w:hAnsi="Roboto" w:cs="Arial"/>
          <w:sz w:val="22"/>
          <w:szCs w:val="22"/>
        </w:rPr>
        <w:t xml:space="preserve"> for Data Protection </w:t>
      </w:r>
      <w:proofErr w:type="spellStart"/>
      <w:r w:rsidRPr="006D3E56">
        <w:rPr>
          <w:rFonts w:ascii="Roboto" w:hAnsi="Roboto" w:cs="Arial"/>
          <w:sz w:val="22"/>
          <w:szCs w:val="22"/>
        </w:rPr>
        <w:t>and</w:t>
      </w:r>
      <w:proofErr w:type="spellEnd"/>
      <w:r w:rsidRPr="006D3E56">
        <w:rPr>
          <w:rFonts w:ascii="Roboto" w:hAnsi="Roboto" w:cs="Arial"/>
          <w:sz w:val="22"/>
          <w:szCs w:val="22"/>
        </w:rPr>
        <w:t xml:space="preserve"> </w:t>
      </w:r>
      <w:proofErr w:type="spellStart"/>
      <w:r w:rsidRPr="006D3E56">
        <w:rPr>
          <w:rFonts w:ascii="Roboto" w:hAnsi="Roboto" w:cs="Arial"/>
          <w:sz w:val="22"/>
          <w:szCs w:val="22"/>
        </w:rPr>
        <w:t>Freedom</w:t>
      </w:r>
      <w:proofErr w:type="spellEnd"/>
      <w:r w:rsidRPr="006D3E56">
        <w:rPr>
          <w:rFonts w:ascii="Roboto" w:hAnsi="Roboto" w:cs="Arial"/>
          <w:sz w:val="22"/>
          <w:szCs w:val="22"/>
        </w:rPr>
        <w:t xml:space="preserve"> </w:t>
      </w:r>
      <w:proofErr w:type="spellStart"/>
      <w:r w:rsidRPr="006D3E56">
        <w:rPr>
          <w:rFonts w:ascii="Roboto" w:hAnsi="Roboto" w:cs="Arial"/>
          <w:sz w:val="22"/>
          <w:szCs w:val="22"/>
        </w:rPr>
        <w:t>of</w:t>
      </w:r>
      <w:proofErr w:type="spellEnd"/>
      <w:r w:rsidRPr="006D3E56">
        <w:rPr>
          <w:rFonts w:ascii="Roboto" w:hAnsi="Roboto" w:cs="Arial"/>
          <w:sz w:val="22"/>
          <w:szCs w:val="22"/>
        </w:rPr>
        <w:t xml:space="preserve"> </w:t>
      </w:r>
      <w:proofErr w:type="spellStart"/>
      <w:r w:rsidRPr="006D3E56">
        <w:rPr>
          <w:rFonts w:ascii="Roboto" w:hAnsi="Roboto" w:cs="Arial"/>
          <w:sz w:val="22"/>
          <w:szCs w:val="22"/>
        </w:rPr>
        <w:t>Information</w:t>
      </w:r>
      <w:proofErr w:type="spellEnd"/>
      <w:r w:rsidRPr="006D3E56">
        <w:rPr>
          <w:rFonts w:ascii="Roboto" w:hAnsi="Roboto" w:cs="Arial"/>
          <w:sz w:val="22"/>
          <w:szCs w:val="22"/>
        </w:rPr>
        <w:t xml:space="preserve">, </w:t>
      </w:r>
      <w:proofErr w:type="spellStart"/>
      <w:r w:rsidRPr="006D3E56">
        <w:rPr>
          <w:rFonts w:ascii="Roboto" w:hAnsi="Roboto" w:cs="Arial"/>
          <w:sz w:val="22"/>
          <w:szCs w:val="22"/>
        </w:rPr>
        <w:t>BfDI</w:t>
      </w:r>
      <w:proofErr w:type="spellEnd"/>
      <w:r w:rsidRPr="006D3E56">
        <w:rPr>
          <w:rFonts w:ascii="Roboto" w:hAnsi="Roboto" w:cs="Arial"/>
          <w:sz w:val="22"/>
          <w:szCs w:val="22"/>
        </w:rPr>
        <w:t>)</w:t>
      </w:r>
      <w:r w:rsidR="00125064">
        <w:rPr>
          <w:rFonts w:ascii="Roboto" w:hAnsi="Roboto" w:cs="Arial"/>
          <w:sz w:val="22"/>
          <w:szCs w:val="22"/>
        </w:rPr>
        <w:t xml:space="preserve"> na kojoj je osnovana </w:t>
      </w:r>
      <w:r w:rsidRPr="006D3E56">
        <w:rPr>
          <w:rFonts w:ascii="Roboto" w:hAnsi="Roboto" w:cs="Arial"/>
          <w:sz w:val="22"/>
          <w:szCs w:val="22"/>
        </w:rPr>
        <w:t>europsk</w:t>
      </w:r>
      <w:r w:rsidR="00125064">
        <w:rPr>
          <w:rFonts w:ascii="Roboto" w:hAnsi="Roboto" w:cs="Arial"/>
          <w:sz w:val="22"/>
          <w:szCs w:val="22"/>
        </w:rPr>
        <w:t>a</w:t>
      </w:r>
      <w:r w:rsidRPr="006D3E56">
        <w:rPr>
          <w:rFonts w:ascii="Roboto" w:hAnsi="Roboto" w:cs="Arial"/>
          <w:sz w:val="22"/>
          <w:szCs w:val="22"/>
        </w:rPr>
        <w:t xml:space="preserve"> mrež</w:t>
      </w:r>
      <w:r w:rsidR="00125064">
        <w:rPr>
          <w:rFonts w:ascii="Roboto" w:hAnsi="Roboto" w:cs="Arial"/>
          <w:sz w:val="22"/>
          <w:szCs w:val="22"/>
        </w:rPr>
        <w:t>a</w:t>
      </w:r>
      <w:r w:rsidRPr="006D3E56">
        <w:rPr>
          <w:rFonts w:ascii="Roboto" w:hAnsi="Roboto" w:cs="Arial"/>
          <w:sz w:val="22"/>
          <w:szCs w:val="22"/>
        </w:rPr>
        <w:t xml:space="preserve"> povjerenika za informiranje (European Network for Transparency </w:t>
      </w:r>
      <w:proofErr w:type="spellStart"/>
      <w:r w:rsidRPr="006D3E56">
        <w:rPr>
          <w:rFonts w:ascii="Roboto" w:hAnsi="Roboto" w:cs="Arial"/>
          <w:sz w:val="22"/>
          <w:szCs w:val="22"/>
        </w:rPr>
        <w:t>and</w:t>
      </w:r>
      <w:proofErr w:type="spellEnd"/>
      <w:r w:rsidRPr="006D3E56">
        <w:rPr>
          <w:rFonts w:ascii="Roboto" w:hAnsi="Roboto" w:cs="Arial"/>
          <w:sz w:val="22"/>
          <w:szCs w:val="22"/>
        </w:rPr>
        <w:t xml:space="preserve"> </w:t>
      </w:r>
      <w:proofErr w:type="spellStart"/>
      <w:r w:rsidRPr="006D3E56">
        <w:rPr>
          <w:rFonts w:ascii="Roboto" w:hAnsi="Roboto" w:cs="Arial"/>
          <w:sz w:val="22"/>
          <w:szCs w:val="22"/>
        </w:rPr>
        <w:t>Right</w:t>
      </w:r>
      <w:proofErr w:type="spellEnd"/>
      <w:r w:rsidRPr="006D3E56">
        <w:rPr>
          <w:rFonts w:ascii="Roboto" w:hAnsi="Roboto" w:cs="Arial"/>
          <w:sz w:val="22"/>
          <w:szCs w:val="22"/>
        </w:rPr>
        <w:t xml:space="preserve"> to </w:t>
      </w:r>
      <w:proofErr w:type="spellStart"/>
      <w:r w:rsidRPr="006D3E56">
        <w:rPr>
          <w:rFonts w:ascii="Roboto" w:hAnsi="Roboto" w:cs="Arial"/>
          <w:sz w:val="22"/>
          <w:szCs w:val="22"/>
        </w:rPr>
        <w:t>Information</w:t>
      </w:r>
      <w:proofErr w:type="spellEnd"/>
      <w:r w:rsidRPr="006D3E56">
        <w:rPr>
          <w:rFonts w:ascii="Roboto" w:hAnsi="Roboto" w:cs="Arial"/>
          <w:sz w:val="22"/>
          <w:szCs w:val="22"/>
        </w:rPr>
        <w:t xml:space="preserve"> – ENTRI</w:t>
      </w:r>
      <w:r w:rsidR="00125064">
        <w:rPr>
          <w:rFonts w:ascii="Roboto" w:hAnsi="Roboto" w:cs="Arial"/>
          <w:sz w:val="22"/>
          <w:szCs w:val="22"/>
        </w:rPr>
        <w:t>)</w:t>
      </w:r>
      <w:r w:rsidRPr="006D3E56">
        <w:rPr>
          <w:rFonts w:ascii="Roboto" w:hAnsi="Roboto" w:cs="Arial"/>
          <w:sz w:val="22"/>
          <w:szCs w:val="22"/>
        </w:rPr>
        <w:t>.</w:t>
      </w:r>
    </w:p>
    <w:p w14:paraId="47635C3B" w14:textId="3C90704B" w:rsidR="00231ED9" w:rsidRPr="006D3E56" w:rsidRDefault="00231ED9" w:rsidP="001F7977">
      <w:pPr>
        <w:rPr>
          <w:rFonts w:ascii="Roboto" w:hAnsi="Roboto" w:cs="Arial"/>
          <w:sz w:val="22"/>
          <w:szCs w:val="22"/>
        </w:rPr>
      </w:pPr>
      <w:r w:rsidRPr="006D3E56">
        <w:rPr>
          <w:rFonts w:ascii="Roboto" w:hAnsi="Roboto" w:cs="Arial"/>
          <w:sz w:val="22"/>
          <w:szCs w:val="22"/>
        </w:rPr>
        <w:t xml:space="preserve">Povjerenik za informiranje </w:t>
      </w:r>
      <w:r w:rsidR="00125064">
        <w:rPr>
          <w:rFonts w:ascii="Roboto" w:hAnsi="Roboto" w:cs="Arial"/>
          <w:sz w:val="22"/>
          <w:szCs w:val="22"/>
        </w:rPr>
        <w:t xml:space="preserve">je </w:t>
      </w:r>
      <w:r w:rsidRPr="006D3E56">
        <w:rPr>
          <w:rFonts w:ascii="Roboto" w:hAnsi="Roboto" w:cs="Arial"/>
          <w:sz w:val="22"/>
          <w:szCs w:val="22"/>
        </w:rPr>
        <w:t>tijekom 2025. uključen u međunarodnu inicijativu Koalicije za proaktivnu objavu informacija (</w:t>
      </w:r>
      <w:proofErr w:type="spellStart"/>
      <w:r w:rsidRPr="006D3E56">
        <w:rPr>
          <w:rFonts w:ascii="Roboto" w:hAnsi="Roboto" w:cs="Arial"/>
          <w:sz w:val="22"/>
          <w:szCs w:val="22"/>
        </w:rPr>
        <w:t>Proactive</w:t>
      </w:r>
      <w:proofErr w:type="spellEnd"/>
      <w:r w:rsidRPr="006D3E56">
        <w:rPr>
          <w:rFonts w:ascii="Roboto" w:hAnsi="Roboto" w:cs="Arial"/>
          <w:sz w:val="22"/>
          <w:szCs w:val="22"/>
        </w:rPr>
        <w:t xml:space="preserve"> </w:t>
      </w:r>
      <w:proofErr w:type="spellStart"/>
      <w:r w:rsidRPr="006D3E56">
        <w:rPr>
          <w:rFonts w:ascii="Roboto" w:hAnsi="Roboto" w:cs="Arial"/>
          <w:sz w:val="22"/>
          <w:szCs w:val="22"/>
        </w:rPr>
        <w:t>Disclosure</w:t>
      </w:r>
      <w:proofErr w:type="spellEnd"/>
      <w:r w:rsidRPr="006D3E56">
        <w:rPr>
          <w:rFonts w:ascii="Roboto" w:hAnsi="Roboto" w:cs="Arial"/>
          <w:sz w:val="22"/>
          <w:szCs w:val="22"/>
        </w:rPr>
        <w:t xml:space="preserve"> </w:t>
      </w:r>
      <w:proofErr w:type="spellStart"/>
      <w:r w:rsidRPr="006D3E56">
        <w:rPr>
          <w:rFonts w:ascii="Roboto" w:hAnsi="Roboto" w:cs="Arial"/>
          <w:sz w:val="22"/>
          <w:szCs w:val="22"/>
        </w:rPr>
        <w:t>Coalition</w:t>
      </w:r>
      <w:proofErr w:type="spellEnd"/>
      <w:r w:rsidRPr="006D3E56">
        <w:rPr>
          <w:rFonts w:ascii="Roboto" w:hAnsi="Roboto" w:cs="Arial"/>
          <w:sz w:val="22"/>
          <w:szCs w:val="22"/>
        </w:rPr>
        <w:t xml:space="preserve">), koju je pokrenula Nizozemska u okviru inicijative Partnerstvo za otvorenu vlast, uz podršku Radne skupine za otvorenu vlast OECD-a (WPOG). </w:t>
      </w:r>
    </w:p>
    <w:p w14:paraId="378C8853" w14:textId="2D092794" w:rsidR="00231ED9" w:rsidRPr="006D3E56" w:rsidRDefault="00231ED9" w:rsidP="001F7977">
      <w:pPr>
        <w:rPr>
          <w:rFonts w:ascii="Roboto" w:hAnsi="Roboto" w:cs="Arial"/>
          <w:sz w:val="22"/>
          <w:szCs w:val="22"/>
        </w:rPr>
      </w:pPr>
      <w:r w:rsidRPr="006D3E56">
        <w:rPr>
          <w:rFonts w:ascii="Roboto" w:hAnsi="Roboto" w:cs="Arial"/>
          <w:sz w:val="22"/>
          <w:szCs w:val="22"/>
        </w:rPr>
        <w:t xml:space="preserve">Nadalje, službenici Ureda sudjelovali su na radionici namijenjenoj predstavnicima institucija nadležnih za osiguravanje prava na pristup informacijama iz europskih država, održanoj u Prištini, Kosovo, 7. i 8. travnja 2025., u organizaciji kosovske Agencije za informacije i privatnost. </w:t>
      </w:r>
    </w:p>
    <w:p w14:paraId="2556AD7F" w14:textId="532A814A" w:rsidR="00231ED9" w:rsidRPr="006D3E56" w:rsidRDefault="00231ED9" w:rsidP="001F7977">
      <w:pPr>
        <w:rPr>
          <w:rFonts w:ascii="Roboto" w:hAnsi="Roboto" w:cs="Arial"/>
          <w:sz w:val="22"/>
          <w:szCs w:val="22"/>
        </w:rPr>
      </w:pPr>
      <w:r w:rsidRPr="006D3E56">
        <w:rPr>
          <w:rFonts w:ascii="Roboto" w:hAnsi="Roboto" w:cs="Arial"/>
          <w:sz w:val="22"/>
          <w:szCs w:val="22"/>
        </w:rPr>
        <w:t xml:space="preserve">U okviru regionalne suradnje, nastavljeno je održavanje sastanaka u sklopu </w:t>
      </w:r>
      <w:proofErr w:type="spellStart"/>
      <w:r w:rsidRPr="006D3E56">
        <w:rPr>
          <w:rFonts w:ascii="Roboto" w:hAnsi="Roboto" w:cs="Arial"/>
          <w:sz w:val="22"/>
          <w:szCs w:val="22"/>
        </w:rPr>
        <w:t>Incijative</w:t>
      </w:r>
      <w:proofErr w:type="spellEnd"/>
      <w:r w:rsidRPr="006D3E56">
        <w:rPr>
          <w:rFonts w:ascii="Roboto" w:hAnsi="Roboto" w:cs="Arial"/>
          <w:sz w:val="22"/>
          <w:szCs w:val="22"/>
        </w:rPr>
        <w:t xml:space="preserve"> 2020</w:t>
      </w:r>
      <w:r w:rsidR="00125064">
        <w:rPr>
          <w:rFonts w:ascii="Roboto" w:hAnsi="Roboto" w:cs="Arial"/>
          <w:sz w:val="22"/>
          <w:szCs w:val="22"/>
        </w:rPr>
        <w:t xml:space="preserve"> te je š</w:t>
      </w:r>
      <w:r w:rsidRPr="006D3E56">
        <w:rPr>
          <w:rFonts w:ascii="Roboto" w:hAnsi="Roboto" w:cs="Arial"/>
          <w:sz w:val="22"/>
          <w:szCs w:val="22"/>
        </w:rPr>
        <w:t>esti sastanak održan je 13.-15. listopada 2025. u Prizrenu, Kosovo.</w:t>
      </w:r>
    </w:p>
    <w:p w14:paraId="125001DE" w14:textId="20AEC2C9" w:rsidR="00231ED9" w:rsidRPr="006D3E56" w:rsidRDefault="00231ED9" w:rsidP="001F7977">
      <w:pPr>
        <w:rPr>
          <w:rFonts w:ascii="Roboto" w:hAnsi="Roboto" w:cs="Arial"/>
          <w:sz w:val="22"/>
          <w:szCs w:val="22"/>
        </w:rPr>
      </w:pPr>
      <w:r w:rsidRPr="006D3E56">
        <w:rPr>
          <w:rFonts w:ascii="Roboto" w:hAnsi="Roboto" w:cs="Arial"/>
          <w:sz w:val="22"/>
          <w:szCs w:val="22"/>
        </w:rPr>
        <w:t>Povjerenik je u srpnju ugostio delegaciju iz Azerbajdžana, koja je bila u dvodnevnoj studijskoj posjeti Agenciji za zaštitu osobnih podataka</w:t>
      </w:r>
      <w:r w:rsidR="00C74341">
        <w:rPr>
          <w:rFonts w:ascii="Roboto" w:hAnsi="Roboto" w:cs="Arial"/>
          <w:sz w:val="22"/>
          <w:szCs w:val="22"/>
        </w:rPr>
        <w:t>, dok je u</w:t>
      </w:r>
      <w:r w:rsidRPr="006D3E56">
        <w:rPr>
          <w:rFonts w:ascii="Roboto" w:hAnsi="Roboto" w:cs="Arial"/>
          <w:sz w:val="22"/>
          <w:szCs w:val="22"/>
        </w:rPr>
        <w:t xml:space="preserve"> prosincu bio domaćin studijskom posjetu kolega iz Ureda slovenskog povjerenika za informiranje. </w:t>
      </w:r>
    </w:p>
    <w:p w14:paraId="010092CE" w14:textId="28198B29" w:rsidR="007140E8" w:rsidRPr="006D3E56" w:rsidRDefault="00231ED9" w:rsidP="001F7977">
      <w:pPr>
        <w:rPr>
          <w:rFonts w:ascii="Roboto" w:hAnsi="Roboto" w:cs="Arial"/>
          <w:sz w:val="22"/>
          <w:szCs w:val="22"/>
        </w:rPr>
      </w:pPr>
      <w:r w:rsidRPr="006D3E56">
        <w:rPr>
          <w:rFonts w:ascii="Roboto" w:hAnsi="Roboto" w:cs="Arial"/>
          <w:sz w:val="22"/>
          <w:szCs w:val="22"/>
        </w:rPr>
        <w:t xml:space="preserve">Valja spomenuti i da su dvije službenice Ureda povjerenice u rujnu sudjelovale kao ekspertice u trodnevnoj TAIEX stručnoj misiji posvećenoj implementaciji novodonesenog Zakona o otvorenim podacima i ponovnoj uporabi informacija javnog sektora u Albaniji. </w:t>
      </w:r>
    </w:p>
    <w:p w14:paraId="78D8D72C" w14:textId="0C9324B5" w:rsidR="0085052B" w:rsidRPr="00C86404" w:rsidRDefault="0085052B" w:rsidP="001F7977">
      <w:pPr>
        <w:pStyle w:val="Naslov1"/>
      </w:pPr>
      <w:bookmarkStart w:id="19" w:name="_Toc225867795"/>
      <w:r w:rsidRPr="00C86404">
        <w:t>C) P</w:t>
      </w:r>
      <w:r w:rsidR="00F76685" w:rsidRPr="00C86404">
        <w:t>OSTUPANJE POVJERENIKA U DRUGIM PODRUČJIMA</w:t>
      </w:r>
      <w:bookmarkEnd w:id="19"/>
    </w:p>
    <w:p w14:paraId="494A7233" w14:textId="764B1DE5" w:rsidR="00125064" w:rsidRDefault="00563CD8" w:rsidP="001F7977">
      <w:pPr>
        <w:rPr>
          <w:rFonts w:ascii="Roboto" w:hAnsi="Roboto" w:cs="Arial"/>
          <w:iCs/>
          <w:sz w:val="22"/>
          <w:szCs w:val="22"/>
        </w:rPr>
      </w:pPr>
      <w:r w:rsidRPr="006D3E56">
        <w:rPr>
          <w:rFonts w:ascii="Roboto" w:hAnsi="Roboto" w:cs="Arial"/>
          <w:iCs/>
          <w:sz w:val="22"/>
          <w:szCs w:val="22"/>
        </w:rPr>
        <w:t>Povjerenik ni u 2025. nije zaprimao žalbe temeljem Zakona o okolišu</w:t>
      </w:r>
      <w:r w:rsidR="00125064">
        <w:rPr>
          <w:rFonts w:ascii="Roboto" w:hAnsi="Roboto" w:cs="Arial"/>
          <w:iCs/>
          <w:sz w:val="22"/>
          <w:szCs w:val="22"/>
        </w:rPr>
        <w:t>,</w:t>
      </w:r>
      <w:r w:rsidRPr="006D3E56">
        <w:rPr>
          <w:rFonts w:ascii="Roboto" w:hAnsi="Roboto" w:cs="Arial"/>
          <w:iCs/>
          <w:sz w:val="22"/>
          <w:szCs w:val="22"/>
        </w:rPr>
        <w:t xml:space="preserve"> već su žalbe zaprimane i rješavane prema odredbama ZPPI-ja, kao općeg propisa koji uređuje dostupnost informacija.</w:t>
      </w:r>
      <w:r w:rsidR="00125064">
        <w:rPr>
          <w:rFonts w:ascii="Roboto" w:hAnsi="Roboto" w:cs="Arial"/>
          <w:iCs/>
          <w:sz w:val="22"/>
          <w:szCs w:val="22"/>
        </w:rPr>
        <w:t xml:space="preserve"> </w:t>
      </w:r>
    </w:p>
    <w:p w14:paraId="20F20201" w14:textId="7B7BA234" w:rsidR="00563CD8" w:rsidRPr="006D3E56" w:rsidRDefault="00125064" w:rsidP="001F7977">
      <w:pPr>
        <w:rPr>
          <w:rFonts w:ascii="Roboto" w:hAnsi="Roboto" w:cs="Arial"/>
          <w:iCs/>
          <w:sz w:val="22"/>
          <w:szCs w:val="22"/>
        </w:rPr>
      </w:pPr>
      <w:r>
        <w:rPr>
          <w:rFonts w:ascii="Roboto" w:hAnsi="Roboto" w:cs="Arial"/>
          <w:iCs/>
          <w:sz w:val="22"/>
          <w:szCs w:val="22"/>
        </w:rPr>
        <w:t>U</w:t>
      </w:r>
      <w:r w:rsidR="00563CD8" w:rsidRPr="006D3E56">
        <w:rPr>
          <w:rFonts w:ascii="Roboto" w:hAnsi="Roboto" w:cs="Arial"/>
          <w:iCs/>
          <w:sz w:val="22"/>
          <w:szCs w:val="22"/>
        </w:rPr>
        <w:t xml:space="preserve"> 2025. </w:t>
      </w:r>
      <w:r>
        <w:rPr>
          <w:rFonts w:ascii="Roboto" w:hAnsi="Roboto" w:cs="Arial"/>
          <w:iCs/>
          <w:sz w:val="22"/>
          <w:szCs w:val="22"/>
        </w:rPr>
        <w:t>zaprimljeno</w:t>
      </w:r>
      <w:r w:rsidR="00563CD8" w:rsidRPr="006D3E56">
        <w:rPr>
          <w:rFonts w:ascii="Roboto" w:hAnsi="Roboto" w:cs="Arial"/>
          <w:iCs/>
          <w:sz w:val="22"/>
          <w:szCs w:val="22"/>
        </w:rPr>
        <w:t xml:space="preserve"> </w:t>
      </w:r>
      <w:r>
        <w:rPr>
          <w:rFonts w:ascii="Roboto" w:hAnsi="Roboto" w:cs="Arial"/>
          <w:iCs/>
          <w:sz w:val="22"/>
          <w:szCs w:val="22"/>
        </w:rPr>
        <w:t xml:space="preserve">je </w:t>
      </w:r>
      <w:r w:rsidR="00563CD8" w:rsidRPr="006D3E56">
        <w:rPr>
          <w:rFonts w:ascii="Roboto" w:hAnsi="Roboto" w:cs="Arial"/>
          <w:iCs/>
          <w:sz w:val="22"/>
          <w:szCs w:val="22"/>
        </w:rPr>
        <w:t xml:space="preserve">44 </w:t>
      </w:r>
      <w:r>
        <w:rPr>
          <w:rFonts w:ascii="Roboto" w:hAnsi="Roboto" w:cs="Arial"/>
          <w:iCs/>
          <w:sz w:val="22"/>
          <w:szCs w:val="22"/>
        </w:rPr>
        <w:t xml:space="preserve">žalbi </w:t>
      </w:r>
      <w:r w:rsidR="00563CD8" w:rsidRPr="006D3E56">
        <w:rPr>
          <w:rFonts w:ascii="Roboto" w:hAnsi="Roboto" w:cs="Arial"/>
          <w:iCs/>
          <w:sz w:val="22"/>
          <w:szCs w:val="22"/>
        </w:rPr>
        <w:t>koje su sadržajno vezane uz informacije o okolišu, što predstavlja povećanje u odnosu na 2024. za 62,9% kada ih je bilo 27. Od tog broja, njih 30 (68,2%) je izjavljeno zbog neodlučivanja tijela javne vlasti u rokovima propisanima ZPPI-</w:t>
      </w:r>
      <w:proofErr w:type="spellStart"/>
      <w:r w:rsidR="00563CD8" w:rsidRPr="006D3E56">
        <w:rPr>
          <w:rFonts w:ascii="Roboto" w:hAnsi="Roboto" w:cs="Arial"/>
          <w:iCs/>
          <w:sz w:val="22"/>
          <w:szCs w:val="22"/>
        </w:rPr>
        <w:t>jem</w:t>
      </w:r>
      <w:proofErr w:type="spellEnd"/>
      <w:r w:rsidR="00563CD8" w:rsidRPr="006D3E56">
        <w:rPr>
          <w:rFonts w:ascii="Roboto" w:hAnsi="Roboto" w:cs="Arial"/>
          <w:iCs/>
          <w:sz w:val="22"/>
          <w:szCs w:val="22"/>
        </w:rPr>
        <w:t xml:space="preserve">, što je manje povećanje udjela broja žalbi izjavljenih zbog šutnje uprave u odnosu na prethodno izvještajno razdoblje kada je on iznosio 59,3%. Žalbi izjavljenih protiv rješenja o odbijanju ili </w:t>
      </w:r>
      <w:r w:rsidR="00563CD8" w:rsidRPr="006D3E56">
        <w:rPr>
          <w:rFonts w:ascii="Roboto" w:hAnsi="Roboto" w:cs="Arial"/>
          <w:iCs/>
          <w:sz w:val="22"/>
          <w:szCs w:val="22"/>
        </w:rPr>
        <w:lastRenderedPageBreak/>
        <w:t xml:space="preserve">odbacivanju zahtjeva bilo je 13 (29,5%), a jedna (2,3%) žalba je izjavljena protiv rješenja čelnika tijela o prigovoru. </w:t>
      </w:r>
    </w:p>
    <w:p w14:paraId="66CA3C41" w14:textId="2D5A4D76" w:rsidR="00563CD8" w:rsidRPr="006D3E56" w:rsidRDefault="00563CD8" w:rsidP="001F7977">
      <w:pPr>
        <w:rPr>
          <w:rFonts w:ascii="Roboto" w:hAnsi="Roboto" w:cs="Arial"/>
          <w:iCs/>
          <w:sz w:val="22"/>
          <w:szCs w:val="22"/>
        </w:rPr>
      </w:pPr>
      <w:r w:rsidRPr="006D3E56">
        <w:rPr>
          <w:rFonts w:ascii="Roboto" w:hAnsi="Roboto" w:cs="Arial"/>
          <w:iCs/>
          <w:sz w:val="22"/>
          <w:szCs w:val="22"/>
        </w:rPr>
        <w:t>U 2025. je u radu bilo ukupno 51 žalb</w:t>
      </w:r>
      <w:r w:rsidR="002846FB">
        <w:rPr>
          <w:rFonts w:ascii="Roboto" w:hAnsi="Roboto" w:cs="Arial"/>
          <w:iCs/>
          <w:sz w:val="22"/>
          <w:szCs w:val="22"/>
        </w:rPr>
        <w:t>i</w:t>
      </w:r>
      <w:r w:rsidRPr="006D3E56">
        <w:rPr>
          <w:rFonts w:ascii="Roboto" w:hAnsi="Roboto" w:cs="Arial"/>
          <w:iCs/>
          <w:sz w:val="22"/>
          <w:szCs w:val="22"/>
        </w:rPr>
        <w:t>, pri čemu je iz prethodnog izvještajnog razdoblja preneseno 7, a riješeno je njih 27 (52,9%).</w:t>
      </w:r>
      <w:r w:rsidR="002846FB">
        <w:rPr>
          <w:rFonts w:ascii="Roboto" w:hAnsi="Roboto" w:cs="Arial"/>
          <w:iCs/>
          <w:sz w:val="22"/>
          <w:szCs w:val="22"/>
        </w:rPr>
        <w:t xml:space="preserve"> </w:t>
      </w:r>
    </w:p>
    <w:p w14:paraId="15227BAF" w14:textId="36DB722D" w:rsidR="00563CD8" w:rsidRPr="006D3E56" w:rsidRDefault="00563CD8" w:rsidP="001F7977">
      <w:pPr>
        <w:rPr>
          <w:rFonts w:ascii="Roboto" w:hAnsi="Roboto" w:cs="Arial"/>
          <w:iCs/>
          <w:sz w:val="22"/>
          <w:szCs w:val="22"/>
        </w:rPr>
      </w:pPr>
      <w:r w:rsidRPr="006D3E56">
        <w:rPr>
          <w:rFonts w:ascii="Roboto" w:hAnsi="Roboto" w:cs="Arial"/>
          <w:iCs/>
          <w:sz w:val="22"/>
          <w:szCs w:val="22"/>
        </w:rPr>
        <w:t>U 2025. Povjerenik je zaprimio  jednu žalbu koja se odnosi na dostupnost arhivskog gradiva te je ista prenesena u rad u 2026., a nije bilo u radu žalbi prenesenih iz ranijeg razdoblja.</w:t>
      </w:r>
      <w:r w:rsidR="002846FB">
        <w:rPr>
          <w:rFonts w:ascii="Roboto" w:hAnsi="Roboto" w:cs="Arial"/>
          <w:iCs/>
          <w:sz w:val="22"/>
          <w:szCs w:val="22"/>
        </w:rPr>
        <w:t xml:space="preserve"> </w:t>
      </w:r>
      <w:r w:rsidRPr="006D3E56">
        <w:rPr>
          <w:rFonts w:ascii="Roboto" w:hAnsi="Roboto" w:cs="Arial"/>
          <w:iCs/>
          <w:sz w:val="22"/>
          <w:szCs w:val="22"/>
        </w:rPr>
        <w:t>Zaprimljena žalba bila je izjavljene zbog šutnje uprave odnosno zbog neodlučivanja Gradske knjižnice i čitaonice Vinkovci o zahtjevu trgovačkog društva za pristup arhivskom gradivu.</w:t>
      </w:r>
    </w:p>
    <w:p w14:paraId="15939C72" w14:textId="77777777" w:rsidR="00262EBE" w:rsidRPr="006D3E56" w:rsidRDefault="00262EBE" w:rsidP="001F7977">
      <w:pPr>
        <w:rPr>
          <w:rFonts w:ascii="Roboto" w:hAnsi="Roboto" w:cs="Arial"/>
          <w:sz w:val="22"/>
          <w:szCs w:val="22"/>
        </w:rPr>
      </w:pPr>
      <w:r w:rsidRPr="006D3E56">
        <w:rPr>
          <w:rFonts w:ascii="Roboto" w:hAnsi="Roboto" w:cs="Arial"/>
          <w:sz w:val="22"/>
          <w:szCs w:val="22"/>
        </w:rPr>
        <w:t>Sukladno obvezi iz članka 11. stavka 1. Zakon o pristupačnosti mrežnih stranica i programskih rješenja za pokretne uređaje tijela javnog sektora („Narodne novine“, broj 17/2019; dalje u tekstu: Zakon o pristupačnosti), Povjerenik je u drugoj polovici 2025. proveo godišnje praćenje usklađenosti mrežnih stranica i programskih rješenja za pokretne uređaje tijela javnog sektora sa zahtjevima pristupačnosti. Praćenje je provedeno sukladno metodologiji praćenja utvrđenoj Provedbenom odlukom Komisije (EU) 2018/1524.</w:t>
      </w:r>
    </w:p>
    <w:p w14:paraId="4A56F270" w14:textId="131C9D4D" w:rsidR="00047C34" w:rsidRPr="006D3E56" w:rsidRDefault="00262EBE" w:rsidP="001F7977">
      <w:pPr>
        <w:rPr>
          <w:rFonts w:ascii="Roboto" w:hAnsi="Roboto" w:cs="Arial"/>
          <w:sz w:val="22"/>
          <w:szCs w:val="22"/>
        </w:rPr>
      </w:pPr>
      <w:r w:rsidRPr="006D3E56">
        <w:rPr>
          <w:rFonts w:ascii="Roboto" w:hAnsi="Roboto" w:cs="Arial"/>
          <w:sz w:val="22"/>
          <w:szCs w:val="22"/>
        </w:rPr>
        <w:t>Praćenjem je ustanovljeno da 104 mrežne stranice zadovoljavaju više od 75% zahtjeva pristupačnosti, a 31 mrežna stranica zadovoljila je više od 90% zahtjeva. Promatrajući po regijama, sa zahtjevima pristupačnosti u prosjeku najviše su usklađene stranice Jadranske regije (81% usklađenosti) a najmanje Panonske regije (71% usklađenosti). Najveća prosječna pristupačnost zabilježena je u djelatnosti zdravstva i socijalne zaštite (82%), a najniža u području odgoja, obrazovanja, znanosti i sporta (71%).</w:t>
      </w:r>
    </w:p>
    <w:p w14:paraId="61882B6A" w14:textId="2E8D2B3F" w:rsidR="0085052B" w:rsidRPr="00C86404" w:rsidRDefault="0085052B" w:rsidP="001F7977">
      <w:pPr>
        <w:pStyle w:val="Naslov1"/>
      </w:pPr>
      <w:bookmarkStart w:id="20" w:name="_Toc225867796"/>
      <w:r w:rsidRPr="00C86404">
        <w:t xml:space="preserve">D) </w:t>
      </w:r>
      <w:r w:rsidR="007A4CB9" w:rsidRPr="00C86404">
        <w:t>URED POVJERENIKA</w:t>
      </w:r>
      <w:bookmarkEnd w:id="20"/>
    </w:p>
    <w:p w14:paraId="76B1EE6C" w14:textId="0921230A" w:rsidR="002815BB" w:rsidRPr="006D3E56" w:rsidRDefault="002815BB" w:rsidP="001F7977">
      <w:pPr>
        <w:rPr>
          <w:rFonts w:ascii="Roboto" w:hAnsi="Roboto" w:cs="Arial"/>
          <w:sz w:val="22"/>
          <w:szCs w:val="22"/>
        </w:rPr>
      </w:pPr>
      <w:r w:rsidRPr="006D3E56">
        <w:rPr>
          <w:rFonts w:ascii="Roboto" w:hAnsi="Roboto" w:cs="Arial"/>
          <w:sz w:val="22"/>
          <w:szCs w:val="22"/>
        </w:rPr>
        <w:t>U Uredu povjerenika ustrojene su tri službe za pojedina područja rada i sistematizirano 17 radnih mjesta s ukupno 30 izvršitelja. Na dan 31. prosinca 202</w:t>
      </w:r>
      <w:r w:rsidR="00EB2707" w:rsidRPr="006D3E56">
        <w:rPr>
          <w:rFonts w:ascii="Roboto" w:hAnsi="Roboto" w:cs="Arial"/>
          <w:sz w:val="22"/>
          <w:szCs w:val="22"/>
        </w:rPr>
        <w:t>5</w:t>
      </w:r>
      <w:r w:rsidRPr="006D3E56">
        <w:rPr>
          <w:rFonts w:ascii="Roboto" w:hAnsi="Roboto" w:cs="Arial"/>
          <w:sz w:val="22"/>
          <w:szCs w:val="22"/>
        </w:rPr>
        <w:t>., uz povjerenicu kao državnu dužnosnicu, bilo je zaposleno 1</w:t>
      </w:r>
      <w:r w:rsidR="00EB2707" w:rsidRPr="006D3E56">
        <w:rPr>
          <w:rFonts w:ascii="Roboto" w:hAnsi="Roboto" w:cs="Arial"/>
          <w:sz w:val="22"/>
          <w:szCs w:val="22"/>
        </w:rPr>
        <w:t>9</w:t>
      </w:r>
      <w:r w:rsidRPr="006D3E56">
        <w:rPr>
          <w:rFonts w:ascii="Roboto" w:hAnsi="Roboto" w:cs="Arial"/>
          <w:sz w:val="22"/>
          <w:szCs w:val="22"/>
        </w:rPr>
        <w:t xml:space="preserve"> državnih službenika, odnosno 6</w:t>
      </w:r>
      <w:r w:rsidR="00EB2707" w:rsidRPr="006D3E56">
        <w:rPr>
          <w:rFonts w:ascii="Roboto" w:hAnsi="Roboto" w:cs="Arial"/>
          <w:sz w:val="22"/>
          <w:szCs w:val="22"/>
        </w:rPr>
        <w:t>3</w:t>
      </w:r>
      <w:r w:rsidRPr="006D3E56">
        <w:rPr>
          <w:rFonts w:ascii="Roboto" w:hAnsi="Roboto" w:cs="Arial"/>
          <w:sz w:val="22"/>
          <w:szCs w:val="22"/>
        </w:rPr>
        <w:t>% od ukupnog broja predviđenih izvršitelja. Računovodstveno-financijski poslovi te poslovi održavanja informatičkog sustava povjereni su i 202</w:t>
      </w:r>
      <w:r w:rsidR="00EB2707" w:rsidRPr="006D3E56">
        <w:rPr>
          <w:rFonts w:ascii="Roboto" w:hAnsi="Roboto" w:cs="Arial"/>
          <w:sz w:val="22"/>
          <w:szCs w:val="22"/>
        </w:rPr>
        <w:t>5</w:t>
      </w:r>
      <w:r w:rsidRPr="006D3E56">
        <w:rPr>
          <w:rFonts w:ascii="Roboto" w:hAnsi="Roboto" w:cs="Arial"/>
          <w:sz w:val="22"/>
          <w:szCs w:val="22"/>
        </w:rPr>
        <w:t>. vanjskim pružateljima usluga.</w:t>
      </w:r>
    </w:p>
    <w:p w14:paraId="23148B10" w14:textId="6223B18F" w:rsidR="002815BB" w:rsidRPr="002846FB" w:rsidRDefault="002815BB" w:rsidP="001F7977">
      <w:pPr>
        <w:keepNext/>
        <w:rPr>
          <w:rFonts w:ascii="Roboto" w:hAnsi="Roboto" w:cs="Arial"/>
          <w:color w:val="000000" w:themeColor="text1"/>
          <w:sz w:val="18"/>
          <w:szCs w:val="18"/>
        </w:rPr>
      </w:pPr>
      <w:r w:rsidRPr="002846FB">
        <w:rPr>
          <w:rFonts w:ascii="Roboto" w:hAnsi="Roboto" w:cs="Arial"/>
          <w:color w:val="000000" w:themeColor="text1"/>
          <w:sz w:val="18"/>
          <w:szCs w:val="18"/>
        </w:rPr>
        <w:t xml:space="preserve">Tablica </w:t>
      </w:r>
      <w:r w:rsidR="002846FB">
        <w:rPr>
          <w:rFonts w:ascii="Roboto" w:hAnsi="Roboto" w:cs="Arial"/>
          <w:color w:val="000000" w:themeColor="text1"/>
          <w:sz w:val="18"/>
          <w:szCs w:val="18"/>
        </w:rPr>
        <w:t>1</w:t>
      </w:r>
      <w:r w:rsidRPr="002846FB">
        <w:rPr>
          <w:rFonts w:ascii="Roboto" w:hAnsi="Roboto" w:cs="Arial"/>
          <w:color w:val="000000" w:themeColor="text1"/>
          <w:sz w:val="18"/>
          <w:szCs w:val="18"/>
        </w:rPr>
        <w:t>. Struktura financijskog plana Povjerenika za informiranje i izvršenje u 202</w:t>
      </w:r>
      <w:r w:rsidR="002846FB">
        <w:rPr>
          <w:rFonts w:ascii="Roboto" w:hAnsi="Roboto" w:cs="Arial"/>
          <w:color w:val="000000" w:themeColor="text1"/>
          <w:sz w:val="18"/>
          <w:szCs w:val="18"/>
        </w:rPr>
        <w:t>5</w:t>
      </w:r>
      <w:r w:rsidRPr="002846FB">
        <w:rPr>
          <w:rFonts w:ascii="Roboto" w:hAnsi="Roboto" w:cs="Arial"/>
          <w:color w:val="000000" w:themeColor="text1"/>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1"/>
        <w:gridCol w:w="3127"/>
        <w:gridCol w:w="1203"/>
        <w:gridCol w:w="1204"/>
        <w:gridCol w:w="1203"/>
        <w:gridCol w:w="1204"/>
      </w:tblGrid>
      <w:tr w:rsidR="00EB2707" w:rsidRPr="00CF687D" w14:paraId="4C315B64" w14:textId="77777777" w:rsidTr="00CF687D">
        <w:trPr>
          <w:trHeight w:val="492"/>
        </w:trPr>
        <w:tc>
          <w:tcPr>
            <w:tcW w:w="1121" w:type="dxa"/>
            <w:vMerge w:val="restart"/>
            <w:shd w:val="clear" w:color="000000" w:fill="FFFFFF"/>
            <w:noWrap/>
            <w:vAlign w:val="center"/>
            <w:hideMark/>
          </w:tcPr>
          <w:p w14:paraId="60E5E016" w14:textId="77777777" w:rsidR="00547628" w:rsidRPr="00CF687D" w:rsidRDefault="00547628" w:rsidP="001F7977">
            <w:pPr>
              <w:jc w:val="center"/>
              <w:rPr>
                <w:rFonts w:ascii="Roboto" w:hAnsi="Roboto" w:cs="Calibri"/>
                <w:b/>
                <w:bCs/>
                <w:sz w:val="18"/>
                <w:szCs w:val="18"/>
              </w:rPr>
            </w:pPr>
            <w:r w:rsidRPr="00CF687D">
              <w:rPr>
                <w:rFonts w:ascii="Roboto" w:hAnsi="Roboto" w:cs="Calibri"/>
                <w:b/>
                <w:bCs/>
                <w:sz w:val="18"/>
                <w:szCs w:val="18"/>
              </w:rPr>
              <w:t>258</w:t>
            </w:r>
          </w:p>
        </w:tc>
        <w:tc>
          <w:tcPr>
            <w:tcW w:w="3127" w:type="dxa"/>
            <w:vMerge w:val="restart"/>
            <w:shd w:val="clear" w:color="000000" w:fill="FFFFFF"/>
            <w:noWrap/>
            <w:vAlign w:val="center"/>
            <w:hideMark/>
          </w:tcPr>
          <w:p w14:paraId="6DD29603" w14:textId="4C41E7D7" w:rsidR="00547628" w:rsidRPr="00CF687D" w:rsidRDefault="00547628" w:rsidP="001F7977">
            <w:pPr>
              <w:jc w:val="center"/>
              <w:rPr>
                <w:rFonts w:ascii="Roboto" w:hAnsi="Roboto" w:cs="Calibri"/>
                <w:b/>
                <w:bCs/>
                <w:sz w:val="18"/>
                <w:szCs w:val="18"/>
              </w:rPr>
            </w:pPr>
            <w:r w:rsidRPr="00CF687D">
              <w:rPr>
                <w:rFonts w:ascii="Roboto" w:hAnsi="Roboto" w:cs="Calibri"/>
                <w:b/>
                <w:bCs/>
                <w:sz w:val="18"/>
                <w:szCs w:val="18"/>
              </w:rPr>
              <w:t>POVJERENIK ZA INFORMIRANJE 202</w:t>
            </w:r>
            <w:r w:rsidR="00EB2707" w:rsidRPr="00CF687D">
              <w:rPr>
                <w:rFonts w:ascii="Roboto" w:hAnsi="Roboto" w:cs="Calibri"/>
                <w:b/>
                <w:bCs/>
                <w:sz w:val="18"/>
                <w:szCs w:val="18"/>
              </w:rPr>
              <w:t>5</w:t>
            </w:r>
            <w:r w:rsidRPr="00CF687D">
              <w:rPr>
                <w:rFonts w:ascii="Roboto" w:hAnsi="Roboto" w:cs="Calibri"/>
                <w:b/>
                <w:bCs/>
                <w:sz w:val="18"/>
                <w:szCs w:val="18"/>
              </w:rPr>
              <w:t>.</w:t>
            </w:r>
          </w:p>
        </w:tc>
        <w:tc>
          <w:tcPr>
            <w:tcW w:w="1203" w:type="dxa"/>
            <w:vMerge w:val="restart"/>
            <w:shd w:val="clear" w:color="000000" w:fill="FFFFFF"/>
            <w:noWrap/>
            <w:vAlign w:val="center"/>
            <w:hideMark/>
          </w:tcPr>
          <w:p w14:paraId="42D1F21E" w14:textId="31B88D2E" w:rsidR="00547628" w:rsidRPr="00CF687D" w:rsidRDefault="00547628" w:rsidP="001F7977">
            <w:pPr>
              <w:jc w:val="center"/>
              <w:rPr>
                <w:rFonts w:ascii="Roboto" w:hAnsi="Roboto" w:cs="Calibri"/>
                <w:b/>
                <w:bCs/>
                <w:sz w:val="18"/>
                <w:szCs w:val="18"/>
              </w:rPr>
            </w:pPr>
            <w:r w:rsidRPr="00CF687D">
              <w:rPr>
                <w:rFonts w:ascii="Roboto" w:hAnsi="Roboto" w:cs="Calibri"/>
                <w:b/>
                <w:bCs/>
                <w:sz w:val="18"/>
                <w:szCs w:val="18"/>
              </w:rPr>
              <w:t>Plan</w:t>
            </w:r>
          </w:p>
        </w:tc>
        <w:tc>
          <w:tcPr>
            <w:tcW w:w="1204" w:type="dxa"/>
            <w:vMerge w:val="restart"/>
            <w:shd w:val="clear" w:color="000000" w:fill="FFFFFF"/>
            <w:vAlign w:val="center"/>
            <w:hideMark/>
          </w:tcPr>
          <w:p w14:paraId="0B423AA6" w14:textId="100CDC48" w:rsidR="00547628" w:rsidRPr="00CF687D" w:rsidRDefault="00547628" w:rsidP="001F7977">
            <w:pPr>
              <w:jc w:val="center"/>
              <w:rPr>
                <w:rFonts w:ascii="Roboto" w:hAnsi="Roboto" w:cs="Calibri"/>
                <w:b/>
                <w:bCs/>
                <w:sz w:val="18"/>
                <w:szCs w:val="18"/>
              </w:rPr>
            </w:pPr>
            <w:r w:rsidRPr="00CF687D">
              <w:rPr>
                <w:rFonts w:ascii="Roboto" w:hAnsi="Roboto" w:cs="Calibri"/>
                <w:b/>
                <w:bCs/>
                <w:sz w:val="18"/>
                <w:szCs w:val="18"/>
              </w:rPr>
              <w:t>Izvršeno</w:t>
            </w:r>
          </w:p>
        </w:tc>
        <w:tc>
          <w:tcPr>
            <w:tcW w:w="1203" w:type="dxa"/>
            <w:vMerge w:val="restart"/>
            <w:shd w:val="clear" w:color="000000" w:fill="FFFFFF"/>
            <w:vAlign w:val="center"/>
            <w:hideMark/>
          </w:tcPr>
          <w:p w14:paraId="06D0AC4E" w14:textId="77777777" w:rsidR="00547628" w:rsidRPr="00CF687D" w:rsidRDefault="00547628" w:rsidP="001F7977">
            <w:pPr>
              <w:jc w:val="center"/>
              <w:rPr>
                <w:rFonts w:ascii="Roboto" w:hAnsi="Roboto" w:cs="Calibri"/>
                <w:b/>
                <w:bCs/>
                <w:sz w:val="18"/>
                <w:szCs w:val="18"/>
              </w:rPr>
            </w:pPr>
            <w:r w:rsidRPr="00CF687D">
              <w:rPr>
                <w:rFonts w:ascii="Roboto" w:hAnsi="Roboto" w:cs="Calibri"/>
                <w:b/>
                <w:bCs/>
                <w:sz w:val="18"/>
                <w:szCs w:val="18"/>
              </w:rPr>
              <w:t>Izvršenje (%)</w:t>
            </w:r>
          </w:p>
        </w:tc>
        <w:tc>
          <w:tcPr>
            <w:tcW w:w="1204" w:type="dxa"/>
            <w:vMerge w:val="restart"/>
            <w:shd w:val="clear" w:color="000000" w:fill="FFFFFF"/>
            <w:vAlign w:val="center"/>
            <w:hideMark/>
          </w:tcPr>
          <w:p w14:paraId="0E6ED015" w14:textId="77777777" w:rsidR="00547628" w:rsidRPr="00CF687D" w:rsidRDefault="00547628" w:rsidP="001F7977">
            <w:pPr>
              <w:jc w:val="center"/>
              <w:rPr>
                <w:rFonts w:ascii="Roboto" w:hAnsi="Roboto" w:cs="Calibri"/>
                <w:b/>
                <w:bCs/>
                <w:sz w:val="18"/>
                <w:szCs w:val="18"/>
              </w:rPr>
            </w:pPr>
            <w:r w:rsidRPr="00CF687D">
              <w:rPr>
                <w:rFonts w:ascii="Roboto" w:hAnsi="Roboto" w:cs="Calibri"/>
                <w:b/>
                <w:bCs/>
                <w:sz w:val="18"/>
                <w:szCs w:val="18"/>
              </w:rPr>
              <w:t>Preostalo</w:t>
            </w:r>
          </w:p>
        </w:tc>
      </w:tr>
      <w:tr w:rsidR="00EB2707" w:rsidRPr="00CF687D" w14:paraId="6EC76166" w14:textId="77777777" w:rsidTr="00CF687D">
        <w:trPr>
          <w:trHeight w:val="281"/>
        </w:trPr>
        <w:tc>
          <w:tcPr>
            <w:tcW w:w="1121" w:type="dxa"/>
            <w:vMerge/>
            <w:vAlign w:val="center"/>
            <w:hideMark/>
          </w:tcPr>
          <w:p w14:paraId="1C8BFA26" w14:textId="77777777" w:rsidR="00547628" w:rsidRPr="00CF687D" w:rsidRDefault="00547628" w:rsidP="001F7977">
            <w:pPr>
              <w:jc w:val="left"/>
              <w:rPr>
                <w:rFonts w:ascii="Roboto" w:hAnsi="Roboto" w:cs="Calibri"/>
                <w:sz w:val="18"/>
                <w:szCs w:val="18"/>
              </w:rPr>
            </w:pPr>
          </w:p>
        </w:tc>
        <w:tc>
          <w:tcPr>
            <w:tcW w:w="3127" w:type="dxa"/>
            <w:vMerge/>
            <w:vAlign w:val="center"/>
            <w:hideMark/>
          </w:tcPr>
          <w:p w14:paraId="41085015" w14:textId="77777777" w:rsidR="00547628" w:rsidRPr="00CF687D" w:rsidRDefault="00547628" w:rsidP="001F7977">
            <w:pPr>
              <w:jc w:val="left"/>
              <w:rPr>
                <w:rFonts w:ascii="Roboto" w:hAnsi="Roboto" w:cs="Calibri"/>
                <w:sz w:val="18"/>
                <w:szCs w:val="18"/>
              </w:rPr>
            </w:pPr>
          </w:p>
        </w:tc>
        <w:tc>
          <w:tcPr>
            <w:tcW w:w="1203" w:type="dxa"/>
            <w:vMerge/>
            <w:vAlign w:val="center"/>
            <w:hideMark/>
          </w:tcPr>
          <w:p w14:paraId="76F50C05" w14:textId="77777777" w:rsidR="00547628" w:rsidRPr="00CF687D" w:rsidRDefault="00547628" w:rsidP="001F7977">
            <w:pPr>
              <w:jc w:val="left"/>
              <w:rPr>
                <w:rFonts w:ascii="Roboto" w:hAnsi="Roboto" w:cs="Calibri"/>
                <w:sz w:val="18"/>
                <w:szCs w:val="18"/>
              </w:rPr>
            </w:pPr>
          </w:p>
        </w:tc>
        <w:tc>
          <w:tcPr>
            <w:tcW w:w="1204" w:type="dxa"/>
            <w:vMerge/>
            <w:vAlign w:val="center"/>
            <w:hideMark/>
          </w:tcPr>
          <w:p w14:paraId="31DB0637" w14:textId="77777777" w:rsidR="00547628" w:rsidRPr="00CF687D" w:rsidRDefault="00547628" w:rsidP="001F7977">
            <w:pPr>
              <w:jc w:val="left"/>
              <w:rPr>
                <w:rFonts w:ascii="Roboto" w:hAnsi="Roboto" w:cs="Calibri"/>
                <w:sz w:val="18"/>
                <w:szCs w:val="18"/>
              </w:rPr>
            </w:pPr>
          </w:p>
        </w:tc>
        <w:tc>
          <w:tcPr>
            <w:tcW w:w="1203" w:type="dxa"/>
            <w:vMerge/>
            <w:vAlign w:val="center"/>
            <w:hideMark/>
          </w:tcPr>
          <w:p w14:paraId="3A8A431F" w14:textId="77777777" w:rsidR="00547628" w:rsidRPr="00CF687D" w:rsidRDefault="00547628" w:rsidP="001F7977">
            <w:pPr>
              <w:jc w:val="left"/>
              <w:rPr>
                <w:rFonts w:ascii="Roboto" w:hAnsi="Roboto" w:cs="Calibri"/>
                <w:sz w:val="18"/>
                <w:szCs w:val="18"/>
              </w:rPr>
            </w:pPr>
          </w:p>
        </w:tc>
        <w:tc>
          <w:tcPr>
            <w:tcW w:w="1204" w:type="dxa"/>
            <w:vMerge/>
            <w:vAlign w:val="center"/>
            <w:hideMark/>
          </w:tcPr>
          <w:p w14:paraId="653DDF9D" w14:textId="77777777" w:rsidR="00547628" w:rsidRPr="00CF687D" w:rsidRDefault="00547628" w:rsidP="001F7977">
            <w:pPr>
              <w:jc w:val="left"/>
              <w:rPr>
                <w:rFonts w:ascii="Roboto" w:hAnsi="Roboto" w:cs="Calibri"/>
                <w:sz w:val="18"/>
                <w:szCs w:val="18"/>
              </w:rPr>
            </w:pPr>
          </w:p>
        </w:tc>
      </w:tr>
      <w:tr w:rsidR="00EB2707" w:rsidRPr="00CF687D" w14:paraId="009EF46C" w14:textId="77777777" w:rsidTr="00CF687D">
        <w:trPr>
          <w:trHeight w:val="346"/>
        </w:trPr>
        <w:tc>
          <w:tcPr>
            <w:tcW w:w="1121" w:type="dxa"/>
            <w:shd w:val="clear" w:color="000000" w:fill="DCE6F1"/>
            <w:noWrap/>
            <w:vAlign w:val="center"/>
            <w:hideMark/>
          </w:tcPr>
          <w:p w14:paraId="71F083DB" w14:textId="77777777" w:rsidR="00547628" w:rsidRPr="00CF687D" w:rsidRDefault="00547628" w:rsidP="001F7977">
            <w:pPr>
              <w:jc w:val="center"/>
              <w:rPr>
                <w:rFonts w:ascii="Roboto" w:hAnsi="Roboto" w:cs="Calibri"/>
                <w:sz w:val="18"/>
                <w:szCs w:val="18"/>
              </w:rPr>
            </w:pPr>
            <w:r w:rsidRPr="00CF687D">
              <w:rPr>
                <w:rFonts w:ascii="Roboto" w:hAnsi="Roboto" w:cs="Calibri"/>
                <w:sz w:val="18"/>
                <w:szCs w:val="18"/>
              </w:rPr>
              <w:t>25805</w:t>
            </w:r>
          </w:p>
        </w:tc>
        <w:tc>
          <w:tcPr>
            <w:tcW w:w="3127" w:type="dxa"/>
            <w:shd w:val="clear" w:color="000000" w:fill="DCE6F1"/>
            <w:noWrap/>
            <w:vAlign w:val="center"/>
            <w:hideMark/>
          </w:tcPr>
          <w:p w14:paraId="32FF67DD" w14:textId="77777777" w:rsidR="00547628" w:rsidRPr="00CF687D" w:rsidRDefault="00547628" w:rsidP="001F7977">
            <w:pPr>
              <w:jc w:val="left"/>
              <w:rPr>
                <w:rFonts w:ascii="Roboto" w:hAnsi="Roboto" w:cs="Calibri"/>
                <w:sz w:val="18"/>
                <w:szCs w:val="18"/>
              </w:rPr>
            </w:pPr>
            <w:r w:rsidRPr="00CF687D">
              <w:rPr>
                <w:rFonts w:ascii="Roboto" w:hAnsi="Roboto" w:cs="Calibri"/>
                <w:sz w:val="18"/>
                <w:szCs w:val="18"/>
              </w:rPr>
              <w:t xml:space="preserve">POVJERENIK ZA INFORMIRANJE </w:t>
            </w:r>
          </w:p>
        </w:tc>
        <w:tc>
          <w:tcPr>
            <w:tcW w:w="1203" w:type="dxa"/>
            <w:shd w:val="clear" w:color="000000" w:fill="DCE6F1"/>
            <w:noWrap/>
            <w:vAlign w:val="bottom"/>
            <w:hideMark/>
          </w:tcPr>
          <w:p w14:paraId="0B405424" w14:textId="0DE5924E" w:rsidR="00547628" w:rsidRPr="00CF687D" w:rsidRDefault="00EB2707" w:rsidP="001F7977">
            <w:pPr>
              <w:jc w:val="right"/>
              <w:rPr>
                <w:rFonts w:ascii="Roboto" w:hAnsi="Roboto" w:cs="Calibri"/>
                <w:sz w:val="18"/>
                <w:szCs w:val="18"/>
              </w:rPr>
            </w:pPr>
            <w:r w:rsidRPr="00CF687D">
              <w:rPr>
                <w:rFonts w:ascii="Roboto" w:hAnsi="Roboto" w:cs="Calibri"/>
                <w:sz w:val="18"/>
                <w:szCs w:val="18"/>
              </w:rPr>
              <w:t>967.870,00</w:t>
            </w:r>
          </w:p>
        </w:tc>
        <w:tc>
          <w:tcPr>
            <w:tcW w:w="1204" w:type="dxa"/>
            <w:shd w:val="clear" w:color="000000" w:fill="DCE6F1"/>
            <w:noWrap/>
            <w:vAlign w:val="bottom"/>
            <w:hideMark/>
          </w:tcPr>
          <w:p w14:paraId="3DE8AE2A" w14:textId="6A27E60F" w:rsidR="00547628" w:rsidRPr="00CF687D" w:rsidRDefault="00EB2707" w:rsidP="001F7977">
            <w:pPr>
              <w:jc w:val="right"/>
              <w:rPr>
                <w:rFonts w:ascii="Roboto" w:hAnsi="Roboto" w:cs="Calibri"/>
                <w:sz w:val="18"/>
                <w:szCs w:val="18"/>
              </w:rPr>
            </w:pPr>
            <w:r w:rsidRPr="00CF687D">
              <w:rPr>
                <w:rFonts w:ascii="Roboto" w:hAnsi="Roboto" w:cs="Calibri"/>
                <w:sz w:val="18"/>
                <w:szCs w:val="18"/>
              </w:rPr>
              <w:t>919.071,70</w:t>
            </w:r>
          </w:p>
        </w:tc>
        <w:tc>
          <w:tcPr>
            <w:tcW w:w="1203" w:type="dxa"/>
            <w:shd w:val="clear" w:color="000000" w:fill="DCE6F1"/>
            <w:noWrap/>
            <w:vAlign w:val="bottom"/>
            <w:hideMark/>
          </w:tcPr>
          <w:p w14:paraId="226E46DE" w14:textId="53D2123C" w:rsidR="00547628" w:rsidRPr="00CF687D" w:rsidRDefault="00EB2707" w:rsidP="001F7977">
            <w:pPr>
              <w:jc w:val="right"/>
              <w:rPr>
                <w:rFonts w:ascii="Roboto" w:hAnsi="Roboto" w:cs="Calibri"/>
                <w:sz w:val="18"/>
                <w:szCs w:val="18"/>
              </w:rPr>
            </w:pPr>
            <w:r w:rsidRPr="00CF687D">
              <w:rPr>
                <w:rFonts w:ascii="Roboto" w:hAnsi="Roboto" w:cs="Calibri"/>
                <w:sz w:val="18"/>
                <w:szCs w:val="18"/>
              </w:rPr>
              <w:t>94,96</w:t>
            </w:r>
            <w:r w:rsidR="00547628" w:rsidRPr="00CF687D">
              <w:rPr>
                <w:rFonts w:ascii="Roboto" w:hAnsi="Roboto" w:cs="Calibri"/>
                <w:sz w:val="18"/>
                <w:szCs w:val="18"/>
              </w:rPr>
              <w:t>%</w:t>
            </w:r>
          </w:p>
        </w:tc>
        <w:tc>
          <w:tcPr>
            <w:tcW w:w="1204" w:type="dxa"/>
            <w:shd w:val="clear" w:color="000000" w:fill="DCE6F1"/>
            <w:noWrap/>
            <w:vAlign w:val="bottom"/>
            <w:hideMark/>
          </w:tcPr>
          <w:p w14:paraId="7BA182AB" w14:textId="2E4CBA00" w:rsidR="00547628" w:rsidRPr="00CF687D" w:rsidRDefault="00EB2707" w:rsidP="001F7977">
            <w:pPr>
              <w:jc w:val="right"/>
              <w:rPr>
                <w:rFonts w:ascii="Roboto" w:hAnsi="Roboto" w:cs="Calibri"/>
                <w:sz w:val="18"/>
                <w:szCs w:val="18"/>
              </w:rPr>
            </w:pPr>
            <w:r w:rsidRPr="00CF687D">
              <w:rPr>
                <w:rFonts w:ascii="Roboto" w:hAnsi="Roboto" w:cs="Calibri"/>
                <w:sz w:val="18"/>
                <w:szCs w:val="18"/>
              </w:rPr>
              <w:t>48.798,30</w:t>
            </w:r>
          </w:p>
        </w:tc>
      </w:tr>
      <w:tr w:rsidR="00EB2707" w:rsidRPr="00CF687D" w14:paraId="1122D79E" w14:textId="77777777" w:rsidTr="00CF687D">
        <w:trPr>
          <w:trHeight w:val="346"/>
        </w:trPr>
        <w:tc>
          <w:tcPr>
            <w:tcW w:w="1121" w:type="dxa"/>
            <w:shd w:val="clear" w:color="000000" w:fill="F2F2F2"/>
            <w:noWrap/>
            <w:vAlign w:val="bottom"/>
            <w:hideMark/>
          </w:tcPr>
          <w:p w14:paraId="6D13776C" w14:textId="77777777" w:rsidR="00547628" w:rsidRPr="00CF687D" w:rsidRDefault="00547628" w:rsidP="001F7977">
            <w:pPr>
              <w:jc w:val="center"/>
              <w:rPr>
                <w:rFonts w:ascii="Roboto" w:hAnsi="Roboto" w:cs="Calibri"/>
                <w:sz w:val="18"/>
                <w:szCs w:val="18"/>
              </w:rPr>
            </w:pPr>
            <w:r w:rsidRPr="00CF687D">
              <w:rPr>
                <w:rFonts w:ascii="Roboto" w:hAnsi="Roboto" w:cs="Calibri"/>
                <w:sz w:val="18"/>
                <w:szCs w:val="18"/>
              </w:rPr>
              <w:t>A874001 izvor 11</w:t>
            </w:r>
          </w:p>
        </w:tc>
        <w:tc>
          <w:tcPr>
            <w:tcW w:w="3127" w:type="dxa"/>
            <w:shd w:val="clear" w:color="000000" w:fill="F2F2F2"/>
            <w:noWrap/>
            <w:vAlign w:val="bottom"/>
            <w:hideMark/>
          </w:tcPr>
          <w:p w14:paraId="1ED9602D" w14:textId="77777777" w:rsidR="00547628" w:rsidRPr="00CF687D" w:rsidRDefault="00547628" w:rsidP="001F7977">
            <w:pPr>
              <w:jc w:val="left"/>
              <w:rPr>
                <w:rFonts w:ascii="Roboto" w:hAnsi="Roboto" w:cs="Calibri"/>
                <w:sz w:val="18"/>
                <w:szCs w:val="18"/>
              </w:rPr>
            </w:pPr>
            <w:r w:rsidRPr="00CF687D">
              <w:rPr>
                <w:rFonts w:ascii="Roboto" w:hAnsi="Roboto" w:cs="Calibri"/>
                <w:sz w:val="18"/>
                <w:szCs w:val="18"/>
              </w:rPr>
              <w:t xml:space="preserve">ADMINISTRACIJA I UPRAVLJANJE </w:t>
            </w:r>
          </w:p>
        </w:tc>
        <w:tc>
          <w:tcPr>
            <w:tcW w:w="1203" w:type="dxa"/>
            <w:shd w:val="clear" w:color="000000" w:fill="F2F2F2"/>
            <w:noWrap/>
            <w:vAlign w:val="bottom"/>
            <w:hideMark/>
          </w:tcPr>
          <w:p w14:paraId="144B599E" w14:textId="26485216" w:rsidR="00547628" w:rsidRPr="00CF687D" w:rsidRDefault="00EB2707" w:rsidP="001F7977">
            <w:pPr>
              <w:jc w:val="right"/>
              <w:rPr>
                <w:rFonts w:ascii="Roboto" w:hAnsi="Roboto" w:cs="Calibri"/>
                <w:sz w:val="18"/>
                <w:szCs w:val="18"/>
              </w:rPr>
            </w:pPr>
            <w:r w:rsidRPr="00CF687D">
              <w:rPr>
                <w:rFonts w:ascii="Roboto" w:hAnsi="Roboto" w:cs="Calibri"/>
                <w:sz w:val="18"/>
                <w:szCs w:val="18"/>
              </w:rPr>
              <w:t>957.870,00</w:t>
            </w:r>
          </w:p>
        </w:tc>
        <w:tc>
          <w:tcPr>
            <w:tcW w:w="1204" w:type="dxa"/>
            <w:shd w:val="clear" w:color="000000" w:fill="F2F2F2"/>
            <w:noWrap/>
            <w:vAlign w:val="bottom"/>
            <w:hideMark/>
          </w:tcPr>
          <w:p w14:paraId="29B9CFE0" w14:textId="2A207C40" w:rsidR="00547628" w:rsidRPr="00CF687D" w:rsidRDefault="00EB2707" w:rsidP="001F7977">
            <w:pPr>
              <w:jc w:val="right"/>
              <w:rPr>
                <w:rFonts w:ascii="Roboto" w:hAnsi="Roboto" w:cs="Calibri"/>
                <w:sz w:val="18"/>
                <w:szCs w:val="18"/>
              </w:rPr>
            </w:pPr>
            <w:r w:rsidRPr="00CF687D">
              <w:rPr>
                <w:rFonts w:ascii="Roboto" w:hAnsi="Roboto" w:cs="Calibri"/>
                <w:sz w:val="18"/>
                <w:szCs w:val="18"/>
              </w:rPr>
              <w:t>914.256,70</w:t>
            </w:r>
          </w:p>
        </w:tc>
        <w:tc>
          <w:tcPr>
            <w:tcW w:w="1203" w:type="dxa"/>
            <w:shd w:val="clear" w:color="000000" w:fill="F2F2F2"/>
            <w:noWrap/>
            <w:vAlign w:val="bottom"/>
            <w:hideMark/>
          </w:tcPr>
          <w:p w14:paraId="5868972B" w14:textId="03996D68" w:rsidR="00547628" w:rsidRPr="00CF687D" w:rsidRDefault="00EB2707" w:rsidP="001F7977">
            <w:pPr>
              <w:jc w:val="right"/>
              <w:rPr>
                <w:rFonts w:ascii="Roboto" w:hAnsi="Roboto" w:cs="Calibri"/>
                <w:sz w:val="18"/>
                <w:szCs w:val="18"/>
              </w:rPr>
            </w:pPr>
            <w:r w:rsidRPr="00CF687D">
              <w:rPr>
                <w:rFonts w:ascii="Roboto" w:hAnsi="Roboto" w:cs="Calibri"/>
                <w:sz w:val="18"/>
                <w:szCs w:val="18"/>
              </w:rPr>
              <w:t>95,45</w:t>
            </w:r>
          </w:p>
        </w:tc>
        <w:tc>
          <w:tcPr>
            <w:tcW w:w="1204" w:type="dxa"/>
            <w:shd w:val="clear" w:color="000000" w:fill="F2F2F2"/>
            <w:noWrap/>
            <w:vAlign w:val="bottom"/>
            <w:hideMark/>
          </w:tcPr>
          <w:p w14:paraId="3F7C41CF" w14:textId="18AA23C0" w:rsidR="00547628" w:rsidRPr="00CF687D" w:rsidRDefault="00EB2707" w:rsidP="001F7977">
            <w:pPr>
              <w:jc w:val="right"/>
              <w:rPr>
                <w:rFonts w:ascii="Roboto" w:hAnsi="Roboto" w:cs="Calibri"/>
                <w:sz w:val="18"/>
                <w:szCs w:val="18"/>
              </w:rPr>
            </w:pPr>
            <w:r w:rsidRPr="00CF687D">
              <w:rPr>
                <w:rFonts w:ascii="Roboto" w:hAnsi="Roboto" w:cs="Calibri"/>
                <w:sz w:val="18"/>
                <w:szCs w:val="18"/>
              </w:rPr>
              <w:t>43.613,30</w:t>
            </w:r>
          </w:p>
        </w:tc>
      </w:tr>
      <w:tr w:rsidR="00EB2707" w:rsidRPr="00CF687D" w14:paraId="56B960AC" w14:textId="77777777" w:rsidTr="00CF687D">
        <w:trPr>
          <w:trHeight w:val="346"/>
        </w:trPr>
        <w:tc>
          <w:tcPr>
            <w:tcW w:w="1121" w:type="dxa"/>
            <w:shd w:val="clear" w:color="000000" w:fill="F2F2F2"/>
            <w:noWrap/>
            <w:vAlign w:val="bottom"/>
            <w:hideMark/>
          </w:tcPr>
          <w:p w14:paraId="00B685EB" w14:textId="77777777" w:rsidR="00547628" w:rsidRPr="00CF687D" w:rsidRDefault="00547628" w:rsidP="001F7977">
            <w:pPr>
              <w:jc w:val="center"/>
              <w:rPr>
                <w:rFonts w:ascii="Roboto" w:hAnsi="Roboto" w:cs="Calibri"/>
                <w:sz w:val="18"/>
                <w:szCs w:val="18"/>
              </w:rPr>
            </w:pPr>
            <w:r w:rsidRPr="00CF687D">
              <w:rPr>
                <w:rFonts w:ascii="Roboto" w:hAnsi="Roboto" w:cs="Calibri"/>
                <w:sz w:val="18"/>
                <w:szCs w:val="18"/>
              </w:rPr>
              <w:t>K874004 izvor 11</w:t>
            </w:r>
          </w:p>
        </w:tc>
        <w:tc>
          <w:tcPr>
            <w:tcW w:w="3127" w:type="dxa"/>
            <w:shd w:val="clear" w:color="000000" w:fill="F2F2F2"/>
            <w:noWrap/>
            <w:vAlign w:val="bottom"/>
            <w:hideMark/>
          </w:tcPr>
          <w:p w14:paraId="753C40B7" w14:textId="77777777" w:rsidR="00547628" w:rsidRPr="00CF687D" w:rsidRDefault="00547628" w:rsidP="001F7977">
            <w:pPr>
              <w:jc w:val="left"/>
              <w:rPr>
                <w:rFonts w:ascii="Roboto" w:hAnsi="Roboto" w:cs="Calibri"/>
                <w:sz w:val="18"/>
                <w:szCs w:val="18"/>
              </w:rPr>
            </w:pPr>
            <w:r w:rsidRPr="00CF687D">
              <w:rPr>
                <w:rFonts w:ascii="Roboto" w:hAnsi="Roboto" w:cs="Calibri"/>
                <w:sz w:val="18"/>
                <w:szCs w:val="18"/>
              </w:rPr>
              <w:t>INFORMATIZACIJA</w:t>
            </w:r>
          </w:p>
        </w:tc>
        <w:tc>
          <w:tcPr>
            <w:tcW w:w="1203" w:type="dxa"/>
            <w:shd w:val="clear" w:color="000000" w:fill="F2F2F2"/>
            <w:noWrap/>
            <w:vAlign w:val="bottom"/>
            <w:hideMark/>
          </w:tcPr>
          <w:p w14:paraId="238B9D1A" w14:textId="1437CB9C" w:rsidR="00547628" w:rsidRPr="00CF687D" w:rsidRDefault="00EB2707" w:rsidP="001F7977">
            <w:pPr>
              <w:jc w:val="right"/>
              <w:rPr>
                <w:rFonts w:ascii="Roboto" w:hAnsi="Roboto" w:cs="Calibri"/>
                <w:sz w:val="18"/>
                <w:szCs w:val="18"/>
              </w:rPr>
            </w:pPr>
            <w:r w:rsidRPr="00CF687D">
              <w:rPr>
                <w:rFonts w:ascii="Roboto" w:hAnsi="Roboto" w:cs="Calibri"/>
                <w:sz w:val="18"/>
                <w:szCs w:val="18"/>
              </w:rPr>
              <w:t>10.000,00</w:t>
            </w:r>
          </w:p>
        </w:tc>
        <w:tc>
          <w:tcPr>
            <w:tcW w:w="1204" w:type="dxa"/>
            <w:shd w:val="clear" w:color="000000" w:fill="F2F2F2"/>
            <w:noWrap/>
            <w:vAlign w:val="bottom"/>
            <w:hideMark/>
          </w:tcPr>
          <w:p w14:paraId="3E16ADC3" w14:textId="3E04F27C" w:rsidR="00547628" w:rsidRPr="00CF687D" w:rsidRDefault="00EB2707" w:rsidP="001F7977">
            <w:pPr>
              <w:jc w:val="right"/>
              <w:rPr>
                <w:rFonts w:ascii="Roboto" w:hAnsi="Roboto" w:cs="Calibri"/>
                <w:sz w:val="18"/>
                <w:szCs w:val="18"/>
              </w:rPr>
            </w:pPr>
            <w:r w:rsidRPr="00CF687D">
              <w:rPr>
                <w:rFonts w:ascii="Roboto" w:hAnsi="Roboto" w:cs="Calibri"/>
                <w:sz w:val="18"/>
                <w:szCs w:val="18"/>
              </w:rPr>
              <w:t>4.815,00</w:t>
            </w:r>
          </w:p>
        </w:tc>
        <w:tc>
          <w:tcPr>
            <w:tcW w:w="1203" w:type="dxa"/>
            <w:shd w:val="clear" w:color="000000" w:fill="F2F2F2"/>
            <w:noWrap/>
            <w:vAlign w:val="bottom"/>
            <w:hideMark/>
          </w:tcPr>
          <w:p w14:paraId="0714D7FA" w14:textId="3FB51057" w:rsidR="00547628" w:rsidRPr="00CF687D" w:rsidRDefault="00EB2707" w:rsidP="001F7977">
            <w:pPr>
              <w:jc w:val="right"/>
              <w:rPr>
                <w:rFonts w:ascii="Roboto" w:hAnsi="Roboto" w:cs="Calibri"/>
                <w:sz w:val="18"/>
                <w:szCs w:val="18"/>
              </w:rPr>
            </w:pPr>
            <w:r w:rsidRPr="00CF687D">
              <w:rPr>
                <w:rFonts w:ascii="Roboto" w:hAnsi="Roboto" w:cs="Calibri"/>
                <w:sz w:val="18"/>
                <w:szCs w:val="18"/>
              </w:rPr>
              <w:t>48,15</w:t>
            </w:r>
            <w:r w:rsidR="00547628" w:rsidRPr="00CF687D">
              <w:rPr>
                <w:rFonts w:ascii="Roboto" w:hAnsi="Roboto" w:cs="Calibri"/>
                <w:sz w:val="18"/>
                <w:szCs w:val="18"/>
              </w:rPr>
              <w:t>%</w:t>
            </w:r>
          </w:p>
        </w:tc>
        <w:tc>
          <w:tcPr>
            <w:tcW w:w="1204" w:type="dxa"/>
            <w:shd w:val="clear" w:color="000000" w:fill="F2F2F2"/>
            <w:noWrap/>
            <w:vAlign w:val="bottom"/>
            <w:hideMark/>
          </w:tcPr>
          <w:p w14:paraId="45AE45E5" w14:textId="49AD40BF" w:rsidR="00547628" w:rsidRPr="00CF687D" w:rsidRDefault="00EB2707" w:rsidP="001F7977">
            <w:pPr>
              <w:jc w:val="right"/>
              <w:rPr>
                <w:rFonts w:ascii="Roboto" w:hAnsi="Roboto" w:cs="Calibri"/>
                <w:sz w:val="18"/>
                <w:szCs w:val="18"/>
              </w:rPr>
            </w:pPr>
            <w:r w:rsidRPr="00CF687D">
              <w:rPr>
                <w:rFonts w:ascii="Roboto" w:hAnsi="Roboto" w:cs="Calibri"/>
                <w:sz w:val="18"/>
                <w:szCs w:val="18"/>
              </w:rPr>
              <w:t>5.185,00</w:t>
            </w:r>
          </w:p>
        </w:tc>
      </w:tr>
    </w:tbl>
    <w:p w14:paraId="0DF50151" w14:textId="094B6E46" w:rsidR="000D4EBA" w:rsidRPr="00C86404" w:rsidRDefault="00E343D0" w:rsidP="001F7977">
      <w:pPr>
        <w:pStyle w:val="Naslov1"/>
      </w:pPr>
      <w:bookmarkStart w:id="21" w:name="_Toc225867797"/>
      <w:r w:rsidRPr="00C86404">
        <w:lastRenderedPageBreak/>
        <w:t>E) O</w:t>
      </w:r>
      <w:r w:rsidR="007140E8" w:rsidRPr="00C86404">
        <w:t>SVRT, PRIJEDLOZI I PREPORUKE ZA OTKLANJANJE NEDOSTATAKA I NEPRAVILNOSTI TE OKVIRNI PLAN DJELOVANJA POVJERENIKA I UREDA POVJERENIKA U 202</w:t>
      </w:r>
      <w:r w:rsidR="00A47429">
        <w:t>6</w:t>
      </w:r>
      <w:r w:rsidR="007140E8" w:rsidRPr="00C86404">
        <w:t>.</w:t>
      </w:r>
      <w:bookmarkEnd w:id="21"/>
    </w:p>
    <w:p w14:paraId="08B2FF63" w14:textId="2D84D214" w:rsidR="00B57C44" w:rsidRPr="00C86404" w:rsidRDefault="007140E8" w:rsidP="001F7977">
      <w:pPr>
        <w:pStyle w:val="Naslov1"/>
      </w:pPr>
      <w:bookmarkStart w:id="22" w:name="_Toc225867798"/>
      <w:r w:rsidRPr="00C86404">
        <w:t xml:space="preserve">Osvrt na prijedloge, preporuke i aktivnosti Ureda </w:t>
      </w:r>
      <w:r w:rsidR="00047C34" w:rsidRPr="00C86404">
        <w:t xml:space="preserve">iz </w:t>
      </w:r>
      <w:r w:rsidRPr="00C86404">
        <w:t>prošlogodišnjeg Izvješća</w:t>
      </w:r>
      <w:bookmarkEnd w:id="22"/>
    </w:p>
    <w:p w14:paraId="5C3D23E2" w14:textId="77777777" w:rsidR="00EB1D2C" w:rsidRPr="00EB1D2C" w:rsidRDefault="00EB1D2C" w:rsidP="001F7977">
      <w:pPr>
        <w:rPr>
          <w:rFonts w:ascii="Roboto" w:eastAsia="Calibri" w:hAnsi="Roboto" w:cs="Arial"/>
          <w:color w:val="000000" w:themeColor="text1"/>
          <w:sz w:val="22"/>
          <w:szCs w:val="22"/>
          <w:lang w:eastAsia="en-US"/>
        </w:rPr>
      </w:pPr>
      <w:bookmarkStart w:id="23" w:name="_Toc162357613"/>
      <w:r w:rsidRPr="00EB1D2C">
        <w:rPr>
          <w:rFonts w:ascii="Roboto" w:eastAsia="Calibri" w:hAnsi="Roboto" w:cs="Arial"/>
          <w:color w:val="000000" w:themeColor="text1"/>
          <w:sz w:val="22"/>
          <w:szCs w:val="22"/>
          <w:lang w:eastAsia="en-US"/>
        </w:rPr>
        <w:t>U Izvješću za 2024., s ciljem osiguravanja pravilne primjene ZPPI-ja, omogućavanja korisnicima što učinkovitijeg pristupa informacijama te olakšanja rada tijela javne vlasti u području rješavanja zahtjeva i ispunjavanja svih zakonskih obveza, dani su sljedeći prijedlozi i preporuke za 2025.:</w:t>
      </w:r>
    </w:p>
    <w:p w14:paraId="1966BFFB" w14:textId="5C3B0A23" w:rsidR="00EB1D2C" w:rsidRPr="00EB1D2C" w:rsidRDefault="00EB1D2C" w:rsidP="001F7977">
      <w:pPr>
        <w:pStyle w:val="Odlomakpopisa"/>
        <w:numPr>
          <w:ilvl w:val="0"/>
          <w:numId w:val="27"/>
        </w:numPr>
        <w:ind w:left="714" w:hanging="357"/>
        <w:rPr>
          <w:rFonts w:ascii="Roboto" w:eastAsia="Calibri" w:hAnsi="Roboto" w:cs="Arial"/>
          <w:color w:val="000000" w:themeColor="text1"/>
          <w:szCs w:val="22"/>
          <w:lang w:eastAsia="en-US"/>
        </w:rPr>
      </w:pPr>
      <w:r w:rsidRPr="00EB1D2C">
        <w:rPr>
          <w:rFonts w:ascii="Roboto" w:eastAsia="Calibri" w:hAnsi="Roboto" w:cs="Arial"/>
          <w:color w:val="000000" w:themeColor="text1"/>
          <w:szCs w:val="22"/>
          <w:lang w:eastAsia="en-US"/>
        </w:rPr>
        <w:t>Pravilno vođenje službenog upisnika o zaprimljenim zahtjevima</w:t>
      </w:r>
    </w:p>
    <w:p w14:paraId="15DFB59C" w14:textId="2D4C8C9D" w:rsidR="00EB1D2C" w:rsidRPr="00EB1D2C" w:rsidRDefault="00EB1D2C" w:rsidP="001F7977">
      <w:pPr>
        <w:pStyle w:val="Odlomakpopisa"/>
        <w:numPr>
          <w:ilvl w:val="0"/>
          <w:numId w:val="27"/>
        </w:numPr>
        <w:ind w:left="714" w:hanging="357"/>
        <w:rPr>
          <w:rFonts w:ascii="Roboto" w:eastAsia="Calibri" w:hAnsi="Roboto" w:cs="Arial"/>
          <w:color w:val="000000" w:themeColor="text1"/>
          <w:szCs w:val="22"/>
          <w:lang w:eastAsia="en-US"/>
        </w:rPr>
      </w:pPr>
      <w:r w:rsidRPr="00EB1D2C">
        <w:rPr>
          <w:rFonts w:ascii="Roboto" w:eastAsia="Calibri" w:hAnsi="Roboto" w:cs="Arial"/>
          <w:color w:val="000000" w:themeColor="text1"/>
          <w:szCs w:val="22"/>
          <w:lang w:eastAsia="en-US"/>
        </w:rPr>
        <w:t>Kontinuirano primjenjivanje prakse Povjerenika i Visokog upravnog suda radi smanjivanja broja žalbi i tužbi i brže dostupnosti informacija koje su javnog karaktera</w:t>
      </w:r>
    </w:p>
    <w:p w14:paraId="4246E8B4" w14:textId="1F933BDA" w:rsidR="00EB1D2C" w:rsidRPr="00EB1D2C" w:rsidRDefault="00EB1D2C" w:rsidP="001F7977">
      <w:pPr>
        <w:pStyle w:val="Odlomakpopisa"/>
        <w:numPr>
          <w:ilvl w:val="0"/>
          <w:numId w:val="27"/>
        </w:numPr>
        <w:ind w:left="714" w:hanging="357"/>
        <w:rPr>
          <w:rFonts w:ascii="Roboto" w:eastAsia="Calibri" w:hAnsi="Roboto" w:cs="Arial"/>
          <w:color w:val="000000" w:themeColor="text1"/>
          <w:szCs w:val="22"/>
          <w:lang w:eastAsia="en-US"/>
        </w:rPr>
      </w:pPr>
      <w:r w:rsidRPr="00EB1D2C">
        <w:rPr>
          <w:rFonts w:ascii="Roboto" w:eastAsia="Calibri" w:hAnsi="Roboto" w:cs="Arial"/>
          <w:color w:val="000000" w:themeColor="text1"/>
          <w:szCs w:val="22"/>
          <w:lang w:eastAsia="en-US"/>
        </w:rPr>
        <w:t>Pravilna primjena odredbi oko postupanja sa zahtjevima za pristup i ponovnu uporabu informacija</w:t>
      </w:r>
    </w:p>
    <w:p w14:paraId="355A22B9" w14:textId="41DFE170" w:rsidR="00EB1D2C" w:rsidRPr="00EB1D2C" w:rsidRDefault="00EB1D2C" w:rsidP="001F7977">
      <w:pPr>
        <w:pStyle w:val="Odlomakpopisa"/>
        <w:numPr>
          <w:ilvl w:val="0"/>
          <w:numId w:val="27"/>
        </w:numPr>
        <w:ind w:left="714" w:hanging="357"/>
        <w:rPr>
          <w:rFonts w:ascii="Roboto" w:eastAsia="Calibri" w:hAnsi="Roboto" w:cs="Arial"/>
          <w:color w:val="000000" w:themeColor="text1"/>
          <w:szCs w:val="22"/>
          <w:lang w:eastAsia="en-US"/>
        </w:rPr>
      </w:pPr>
      <w:r w:rsidRPr="00EB1D2C">
        <w:rPr>
          <w:rFonts w:ascii="Roboto" w:eastAsia="Calibri" w:hAnsi="Roboto" w:cs="Arial"/>
          <w:color w:val="000000" w:themeColor="text1"/>
          <w:szCs w:val="22"/>
          <w:lang w:eastAsia="en-US"/>
        </w:rPr>
        <w:t>Pravilno postupanje prilikom izdavanja obavijesti iz članka 23. stavka 1. točke 2.-6. ZPPI-ja</w:t>
      </w:r>
    </w:p>
    <w:p w14:paraId="5DF2EB2C" w14:textId="3FB9C2E2" w:rsidR="00EB1D2C" w:rsidRPr="00EB1D2C" w:rsidRDefault="00EB1D2C" w:rsidP="001F7977">
      <w:pPr>
        <w:pStyle w:val="Odlomakpopisa"/>
        <w:numPr>
          <w:ilvl w:val="0"/>
          <w:numId w:val="27"/>
        </w:numPr>
        <w:ind w:left="714" w:hanging="357"/>
        <w:rPr>
          <w:rFonts w:ascii="Roboto" w:eastAsia="Calibri" w:hAnsi="Roboto" w:cs="Arial"/>
          <w:color w:val="000000" w:themeColor="text1"/>
          <w:szCs w:val="22"/>
          <w:lang w:eastAsia="en-US"/>
        </w:rPr>
      </w:pPr>
      <w:r w:rsidRPr="00EB1D2C">
        <w:rPr>
          <w:rFonts w:ascii="Roboto" w:eastAsia="Calibri" w:hAnsi="Roboto" w:cs="Arial"/>
          <w:color w:val="000000" w:themeColor="text1"/>
          <w:szCs w:val="22"/>
          <w:lang w:eastAsia="en-US"/>
        </w:rPr>
        <w:t>Pravilno postupanje po izjavljenom prigovoru</w:t>
      </w:r>
    </w:p>
    <w:p w14:paraId="4B34DA44" w14:textId="5F368520" w:rsidR="00EB1D2C" w:rsidRPr="00EB1D2C" w:rsidRDefault="00EB1D2C" w:rsidP="001F7977">
      <w:pPr>
        <w:pStyle w:val="Odlomakpopisa"/>
        <w:numPr>
          <w:ilvl w:val="0"/>
          <w:numId w:val="27"/>
        </w:numPr>
        <w:ind w:left="714" w:hanging="357"/>
        <w:rPr>
          <w:rFonts w:ascii="Roboto" w:eastAsia="Calibri" w:hAnsi="Roboto" w:cs="Arial"/>
          <w:color w:val="000000" w:themeColor="text1"/>
          <w:szCs w:val="22"/>
          <w:lang w:eastAsia="en-US"/>
        </w:rPr>
      </w:pPr>
      <w:r w:rsidRPr="00EB1D2C">
        <w:rPr>
          <w:rFonts w:ascii="Roboto" w:eastAsia="Calibri" w:hAnsi="Roboto" w:cs="Arial"/>
          <w:color w:val="000000" w:themeColor="text1"/>
          <w:szCs w:val="22"/>
          <w:lang w:eastAsia="en-US"/>
        </w:rPr>
        <w:t xml:space="preserve">Pravilna primjena odredbi ZUP-a o postupanju sa spisom predmeta tijela javne vlasti u slučaju izjavljivanje žalbe </w:t>
      </w:r>
    </w:p>
    <w:p w14:paraId="45A63007" w14:textId="7E1C100E" w:rsidR="00EB1D2C" w:rsidRPr="00EB1D2C" w:rsidRDefault="00EB1D2C" w:rsidP="001F7977">
      <w:pPr>
        <w:pStyle w:val="Odlomakpopisa"/>
        <w:numPr>
          <w:ilvl w:val="0"/>
          <w:numId w:val="27"/>
        </w:numPr>
        <w:ind w:left="714" w:hanging="357"/>
        <w:rPr>
          <w:rFonts w:ascii="Roboto" w:eastAsia="Calibri" w:hAnsi="Roboto" w:cs="Arial"/>
          <w:color w:val="000000" w:themeColor="text1"/>
          <w:szCs w:val="22"/>
          <w:lang w:eastAsia="en-US"/>
        </w:rPr>
      </w:pPr>
      <w:r w:rsidRPr="00EB1D2C">
        <w:rPr>
          <w:rFonts w:ascii="Roboto" w:eastAsia="Calibri" w:hAnsi="Roboto" w:cs="Arial"/>
          <w:color w:val="000000" w:themeColor="text1"/>
          <w:szCs w:val="22"/>
          <w:lang w:eastAsia="en-US"/>
        </w:rPr>
        <w:t>Osiguravanje stručnog osposobljavanja službenika za informiranje i drugih osoba uključenih u postupak ostvarivanja prava na pristup informacijama</w:t>
      </w:r>
    </w:p>
    <w:p w14:paraId="138D67C5" w14:textId="7C50616D" w:rsidR="00EB1D2C" w:rsidRPr="00EB1D2C" w:rsidRDefault="00EB1D2C" w:rsidP="001F7977">
      <w:pPr>
        <w:pStyle w:val="Odlomakpopisa"/>
        <w:numPr>
          <w:ilvl w:val="0"/>
          <w:numId w:val="27"/>
        </w:numPr>
        <w:ind w:left="714" w:hanging="357"/>
        <w:rPr>
          <w:rFonts w:ascii="Roboto" w:eastAsia="Calibri" w:hAnsi="Roboto" w:cs="Arial"/>
          <w:color w:val="000000" w:themeColor="text1"/>
          <w:szCs w:val="22"/>
          <w:lang w:eastAsia="en-US"/>
        </w:rPr>
      </w:pPr>
      <w:r w:rsidRPr="00EB1D2C">
        <w:rPr>
          <w:rFonts w:ascii="Roboto" w:eastAsia="Calibri" w:hAnsi="Roboto" w:cs="Arial"/>
          <w:color w:val="000000" w:themeColor="text1"/>
          <w:szCs w:val="22"/>
          <w:lang w:eastAsia="en-US"/>
        </w:rPr>
        <w:t xml:space="preserve">Objavljivanje sastava radnih skupina koje su izradile nacrte akata koji se stavljaju na savjetovanje </w:t>
      </w:r>
    </w:p>
    <w:p w14:paraId="32D2A145" w14:textId="73ECD74A" w:rsidR="00EB1D2C" w:rsidRPr="00EB1D2C" w:rsidRDefault="00EB1D2C" w:rsidP="001F7977">
      <w:pPr>
        <w:pStyle w:val="Odlomakpopisa"/>
        <w:numPr>
          <w:ilvl w:val="0"/>
          <w:numId w:val="27"/>
        </w:numPr>
        <w:ind w:left="714" w:hanging="357"/>
        <w:rPr>
          <w:rFonts w:ascii="Roboto" w:eastAsia="Calibri" w:hAnsi="Roboto" w:cs="Arial"/>
          <w:color w:val="000000" w:themeColor="text1"/>
          <w:szCs w:val="22"/>
          <w:lang w:eastAsia="en-US"/>
        </w:rPr>
      </w:pPr>
      <w:r w:rsidRPr="00EB1D2C">
        <w:rPr>
          <w:rFonts w:ascii="Roboto" w:eastAsia="Calibri" w:hAnsi="Roboto" w:cs="Arial"/>
          <w:color w:val="000000" w:themeColor="text1"/>
          <w:szCs w:val="22"/>
          <w:lang w:eastAsia="en-US"/>
        </w:rPr>
        <w:t>Objavljivanje izvješća o provedenom savjetovanju</w:t>
      </w:r>
    </w:p>
    <w:p w14:paraId="5581B074" w14:textId="4999DE18" w:rsidR="00EB1D2C" w:rsidRPr="00EB1D2C" w:rsidRDefault="00EB1D2C" w:rsidP="001F7977">
      <w:pPr>
        <w:pStyle w:val="Odlomakpopisa"/>
        <w:numPr>
          <w:ilvl w:val="0"/>
          <w:numId w:val="27"/>
        </w:numPr>
        <w:ind w:left="714" w:hanging="357"/>
        <w:rPr>
          <w:rFonts w:ascii="Roboto" w:eastAsia="Calibri" w:hAnsi="Roboto" w:cs="Arial"/>
          <w:color w:val="000000" w:themeColor="text1"/>
          <w:szCs w:val="22"/>
          <w:lang w:eastAsia="en-US"/>
        </w:rPr>
      </w:pPr>
      <w:r w:rsidRPr="00EB1D2C">
        <w:rPr>
          <w:rFonts w:ascii="Roboto" w:eastAsia="Calibri" w:hAnsi="Roboto" w:cs="Arial"/>
          <w:color w:val="000000" w:themeColor="text1"/>
          <w:szCs w:val="22"/>
          <w:lang w:eastAsia="en-US"/>
        </w:rPr>
        <w:t xml:space="preserve">Objavljivanje i redovno ažuriranje popisa skupova podataka iz djelokruga tijela (tzv. </w:t>
      </w:r>
      <w:proofErr w:type="spellStart"/>
      <w:r w:rsidRPr="00EB1D2C">
        <w:rPr>
          <w:rFonts w:ascii="Roboto" w:eastAsia="Calibri" w:hAnsi="Roboto" w:cs="Arial"/>
          <w:color w:val="000000" w:themeColor="text1"/>
          <w:szCs w:val="22"/>
          <w:lang w:eastAsia="en-US"/>
        </w:rPr>
        <w:t>asset</w:t>
      </w:r>
      <w:proofErr w:type="spellEnd"/>
      <w:r w:rsidRPr="00EB1D2C">
        <w:rPr>
          <w:rFonts w:ascii="Roboto" w:eastAsia="Calibri" w:hAnsi="Roboto" w:cs="Arial"/>
          <w:color w:val="000000" w:themeColor="text1"/>
          <w:szCs w:val="22"/>
          <w:lang w:eastAsia="en-US"/>
        </w:rPr>
        <w:t xml:space="preserve"> lista), s </w:t>
      </w:r>
      <w:proofErr w:type="spellStart"/>
      <w:r w:rsidRPr="00EB1D2C">
        <w:rPr>
          <w:rFonts w:ascii="Roboto" w:eastAsia="Calibri" w:hAnsi="Roboto" w:cs="Arial"/>
          <w:color w:val="000000" w:themeColor="text1"/>
          <w:szCs w:val="22"/>
          <w:lang w:eastAsia="en-US"/>
        </w:rPr>
        <w:t>metapodacima</w:t>
      </w:r>
      <w:proofErr w:type="spellEnd"/>
    </w:p>
    <w:p w14:paraId="6B5B2A8E" w14:textId="2CCF9E9C" w:rsidR="00EB1D2C" w:rsidRPr="00EB1D2C" w:rsidRDefault="00EB1D2C" w:rsidP="001F7977">
      <w:pPr>
        <w:pStyle w:val="Odlomakpopisa"/>
        <w:numPr>
          <w:ilvl w:val="0"/>
          <w:numId w:val="27"/>
        </w:numPr>
        <w:ind w:left="714" w:hanging="357"/>
        <w:rPr>
          <w:rFonts w:ascii="Roboto" w:eastAsia="Calibri" w:hAnsi="Roboto" w:cs="Arial"/>
          <w:color w:val="000000" w:themeColor="text1"/>
          <w:szCs w:val="22"/>
          <w:lang w:eastAsia="en-US"/>
        </w:rPr>
      </w:pPr>
      <w:r w:rsidRPr="00EB1D2C">
        <w:rPr>
          <w:rFonts w:ascii="Roboto" w:eastAsia="Calibri" w:hAnsi="Roboto" w:cs="Arial"/>
          <w:color w:val="000000" w:themeColor="text1"/>
          <w:szCs w:val="22"/>
          <w:lang w:eastAsia="en-US"/>
        </w:rPr>
        <w:t>Objavljivanje registara i baza podataka te skupova podataka za ponovnu uporabu iz nadležnosti tijela na Portalu otvorenih podataka</w:t>
      </w:r>
    </w:p>
    <w:p w14:paraId="237C7051" w14:textId="53C79AA4" w:rsidR="00EB1D2C" w:rsidRPr="00EB1D2C" w:rsidRDefault="00EB1D2C" w:rsidP="001F7977">
      <w:pPr>
        <w:pStyle w:val="Odlomakpopisa"/>
        <w:numPr>
          <w:ilvl w:val="0"/>
          <w:numId w:val="27"/>
        </w:numPr>
        <w:ind w:left="714" w:hanging="357"/>
        <w:rPr>
          <w:rFonts w:ascii="Roboto" w:eastAsia="Calibri" w:hAnsi="Roboto" w:cs="Arial"/>
          <w:color w:val="000000" w:themeColor="text1"/>
          <w:szCs w:val="22"/>
          <w:lang w:eastAsia="en-US"/>
        </w:rPr>
      </w:pPr>
      <w:r w:rsidRPr="00EB1D2C">
        <w:rPr>
          <w:rFonts w:ascii="Roboto" w:eastAsia="Calibri" w:hAnsi="Roboto" w:cs="Arial"/>
          <w:color w:val="000000" w:themeColor="text1"/>
          <w:szCs w:val="22"/>
          <w:lang w:eastAsia="en-US"/>
        </w:rPr>
        <w:t>Objavljivanje visokovrijednih skupova podataka, u strojno čitljivom obliku, putem odgovarajućih API servisa i u obliku masovnog preuzimanja</w:t>
      </w:r>
    </w:p>
    <w:p w14:paraId="77ED8819" w14:textId="30E720BD" w:rsidR="00EB1D2C" w:rsidRPr="00EB1D2C" w:rsidRDefault="00EB1D2C" w:rsidP="001F7977">
      <w:pPr>
        <w:pStyle w:val="Odlomakpopisa"/>
        <w:numPr>
          <w:ilvl w:val="0"/>
          <w:numId w:val="27"/>
        </w:numPr>
        <w:rPr>
          <w:rFonts w:ascii="Roboto" w:eastAsia="Calibri" w:hAnsi="Roboto" w:cs="Arial"/>
          <w:color w:val="000000" w:themeColor="text1"/>
          <w:szCs w:val="22"/>
          <w:lang w:eastAsia="en-US"/>
        </w:rPr>
      </w:pPr>
      <w:r w:rsidRPr="00EB1D2C">
        <w:rPr>
          <w:rFonts w:ascii="Roboto" w:eastAsia="Calibri" w:hAnsi="Roboto" w:cs="Arial"/>
          <w:color w:val="000000" w:themeColor="text1"/>
          <w:szCs w:val="22"/>
          <w:lang w:eastAsia="en-US"/>
        </w:rPr>
        <w:t>Izmjena normativnog okvira za ostvarivanje pristupa informacijama</w:t>
      </w:r>
    </w:p>
    <w:p w14:paraId="69ABA1A5" w14:textId="77777777" w:rsidR="00EB1D2C" w:rsidRPr="00EB1D2C" w:rsidRDefault="00EB1D2C" w:rsidP="001F7977">
      <w:pPr>
        <w:rPr>
          <w:rFonts w:ascii="Roboto" w:eastAsia="Calibri" w:hAnsi="Roboto" w:cs="Arial"/>
          <w:color w:val="000000" w:themeColor="text1"/>
          <w:sz w:val="22"/>
          <w:szCs w:val="22"/>
          <w:lang w:eastAsia="en-US"/>
        </w:rPr>
      </w:pPr>
      <w:r w:rsidRPr="00EB1D2C">
        <w:rPr>
          <w:rFonts w:ascii="Roboto" w:eastAsia="Calibri" w:hAnsi="Roboto" w:cs="Arial"/>
          <w:color w:val="000000" w:themeColor="text1"/>
          <w:sz w:val="22"/>
          <w:szCs w:val="22"/>
          <w:lang w:eastAsia="en-US"/>
        </w:rPr>
        <w:t xml:space="preserve">Navedene preporuke su općenite naravi te se kontinuirano iznose u izvješćima Povjerenika. Putem edukacija i drugih vidova komunikacije, službenici za informiranje tijela javne vlasti upućuju se na primjenu uspostavljene prakse Povjerenika i Visokog upravnog suda RH, kako se ne bi nepotrebno vodili žalbeni postupci i upravni sporovi za informacije za koje je potvrđeno da su javnog karaktera i da trebaju biti dostupne korisnicima. </w:t>
      </w:r>
    </w:p>
    <w:p w14:paraId="7865192B" w14:textId="77777777" w:rsidR="00EB1D2C" w:rsidRPr="00EB1D2C" w:rsidRDefault="00EB1D2C" w:rsidP="001F7977">
      <w:pPr>
        <w:rPr>
          <w:rFonts w:ascii="Roboto" w:eastAsia="Calibri" w:hAnsi="Roboto" w:cs="Arial"/>
          <w:color w:val="000000" w:themeColor="text1"/>
          <w:sz w:val="22"/>
          <w:szCs w:val="22"/>
          <w:lang w:eastAsia="en-US"/>
        </w:rPr>
      </w:pPr>
      <w:r w:rsidRPr="00EB1D2C">
        <w:rPr>
          <w:rFonts w:ascii="Roboto" w:eastAsia="Calibri" w:hAnsi="Roboto" w:cs="Arial"/>
          <w:color w:val="000000" w:themeColor="text1"/>
          <w:sz w:val="22"/>
          <w:szCs w:val="22"/>
          <w:lang w:eastAsia="en-US"/>
        </w:rPr>
        <w:t xml:space="preserve">S obzirom da se u postupcima ostvarivanja prava na pristup i ponovnu uporabu informacija primjenjuju odredbe ZUP-a, za buduće izvještajno razdoblje i dalje ostaju preporuke da je prilikom izdavanja obavijesti korisnike potrebno uputiti na mogućnost izjavljivanja prigovora </w:t>
      </w:r>
      <w:r w:rsidRPr="00EB1D2C">
        <w:rPr>
          <w:rFonts w:ascii="Roboto" w:eastAsia="Calibri" w:hAnsi="Roboto" w:cs="Arial"/>
          <w:color w:val="000000" w:themeColor="text1"/>
          <w:sz w:val="22"/>
          <w:szCs w:val="22"/>
          <w:lang w:eastAsia="en-US"/>
        </w:rPr>
        <w:lastRenderedPageBreak/>
        <w:t>čelniku tijela, da se informacije koje su predmet žalbenog postupka Povjereniku moraju pravodobno dostaviti te da se rješenja Povjerenika žaliteljima dostavljaju sukladno odredbama ZUP-a.</w:t>
      </w:r>
    </w:p>
    <w:p w14:paraId="59838BD8" w14:textId="77777777" w:rsidR="00EB1D2C" w:rsidRPr="00EB1D2C" w:rsidRDefault="00EB1D2C" w:rsidP="001F7977">
      <w:pPr>
        <w:rPr>
          <w:rFonts w:ascii="Roboto" w:eastAsia="Calibri" w:hAnsi="Roboto" w:cs="Arial"/>
          <w:color w:val="000000" w:themeColor="text1"/>
          <w:sz w:val="22"/>
          <w:szCs w:val="22"/>
          <w:lang w:eastAsia="en-US"/>
        </w:rPr>
      </w:pPr>
      <w:r w:rsidRPr="00EB1D2C">
        <w:rPr>
          <w:rFonts w:ascii="Roboto" w:eastAsia="Calibri" w:hAnsi="Roboto" w:cs="Arial"/>
          <w:color w:val="000000" w:themeColor="text1"/>
          <w:sz w:val="22"/>
          <w:szCs w:val="22"/>
          <w:lang w:eastAsia="en-US"/>
        </w:rPr>
        <w:t xml:space="preserve">Ispunjenje zakonskih obveza objave Zakonom pobrojanih kategorija informacija, omogućavanja javnosti rada te objave informacija pogodnih za ponovnu uporabu odnosi se na sva tijela javne vlasti, dok se provedba savjetovanja s javnošću odnosni na dio tijela javne vlasti. Utvrđivanje postupa li se zakonito i svrhovito te funkcionira li sustav prava na pristup i ponovnu uporabu informacija djelotvorno i učinkovito, svako tijelo za sebe može procijeniti ispunjavanjem „Upitnika za samoprocjenu usklađenosti“. </w:t>
      </w:r>
    </w:p>
    <w:p w14:paraId="2698B5D0" w14:textId="77777777" w:rsidR="00EB1D2C" w:rsidRPr="00EB1D2C" w:rsidRDefault="00EB1D2C" w:rsidP="001F7977">
      <w:pPr>
        <w:rPr>
          <w:rFonts w:ascii="Roboto" w:eastAsia="Calibri" w:hAnsi="Roboto" w:cs="Arial"/>
          <w:color w:val="000000" w:themeColor="text1"/>
          <w:sz w:val="22"/>
          <w:szCs w:val="22"/>
          <w:lang w:eastAsia="en-US"/>
        </w:rPr>
      </w:pPr>
      <w:r w:rsidRPr="00EB1D2C">
        <w:rPr>
          <w:rFonts w:ascii="Roboto" w:eastAsia="Calibri" w:hAnsi="Roboto" w:cs="Arial"/>
          <w:color w:val="000000" w:themeColor="text1"/>
          <w:sz w:val="22"/>
          <w:szCs w:val="22"/>
          <w:lang w:eastAsia="en-US"/>
        </w:rPr>
        <w:t xml:space="preserve">Ured povjerenice je u 2025. nastavio s provedbom edukacija o praktičnoj primjeni ZPPI-ja, organiziranjem ciljanih edukacija za pojedine kategorije tijela javne vlasti. I ova preporuka treba ostati za buduće izvještajno razdoblje, s obzirom na to da je nužno jačanje kapaciteta službenika za informiranje i drugih osoba koje su uključene u postupak rješavanja zahtjeva i ispunjenja drugih zakonskih obveza. </w:t>
      </w:r>
    </w:p>
    <w:p w14:paraId="4B83A5F5" w14:textId="77777777" w:rsidR="00EB1D2C" w:rsidRPr="00EB1D2C" w:rsidRDefault="00EB1D2C" w:rsidP="001F7977">
      <w:pPr>
        <w:rPr>
          <w:rFonts w:ascii="Roboto" w:eastAsia="Calibri" w:hAnsi="Roboto" w:cs="Arial"/>
          <w:color w:val="000000" w:themeColor="text1"/>
          <w:sz w:val="22"/>
          <w:szCs w:val="22"/>
          <w:lang w:eastAsia="en-US"/>
        </w:rPr>
      </w:pPr>
      <w:r w:rsidRPr="00EB1D2C">
        <w:rPr>
          <w:rFonts w:ascii="Roboto" w:eastAsia="Calibri" w:hAnsi="Roboto" w:cs="Arial"/>
          <w:color w:val="000000" w:themeColor="text1"/>
          <w:sz w:val="22"/>
          <w:szCs w:val="22"/>
          <w:lang w:eastAsia="en-US"/>
        </w:rPr>
        <w:t>Nadalje, u Izvješću o provedbi Zakona u 2024. dan je okvirni plan djelovanja i aktivnosti Povjerenika i Ureda povjerenika za 2025.:</w:t>
      </w:r>
    </w:p>
    <w:p w14:paraId="14828717" w14:textId="0BF3BF68" w:rsidR="00EB1D2C" w:rsidRPr="00650107" w:rsidRDefault="00EB1D2C" w:rsidP="001F7977">
      <w:pPr>
        <w:pStyle w:val="Odlomakpopisa"/>
        <w:numPr>
          <w:ilvl w:val="0"/>
          <w:numId w:val="29"/>
        </w:numPr>
        <w:rPr>
          <w:rFonts w:ascii="Roboto" w:eastAsia="Calibri" w:hAnsi="Roboto" w:cs="Arial"/>
          <w:color w:val="000000" w:themeColor="text1"/>
          <w:szCs w:val="22"/>
          <w:lang w:eastAsia="en-US"/>
        </w:rPr>
      </w:pPr>
      <w:r w:rsidRPr="00650107">
        <w:rPr>
          <w:rFonts w:ascii="Roboto" w:eastAsia="Calibri" w:hAnsi="Roboto" w:cs="Arial"/>
          <w:color w:val="000000" w:themeColor="text1"/>
          <w:szCs w:val="22"/>
          <w:lang w:eastAsia="en-US"/>
        </w:rPr>
        <w:t>Ciljano analitičko praćenje proaktivne objave informacija</w:t>
      </w:r>
    </w:p>
    <w:p w14:paraId="6E854416" w14:textId="3584003D" w:rsidR="00EB1D2C" w:rsidRPr="00650107" w:rsidRDefault="00EB1D2C" w:rsidP="001F7977">
      <w:pPr>
        <w:pStyle w:val="Odlomakpopisa"/>
        <w:numPr>
          <w:ilvl w:val="0"/>
          <w:numId w:val="29"/>
        </w:numPr>
        <w:rPr>
          <w:rFonts w:ascii="Roboto" w:eastAsia="Calibri" w:hAnsi="Roboto" w:cs="Arial"/>
          <w:color w:val="000000" w:themeColor="text1"/>
          <w:szCs w:val="22"/>
          <w:lang w:eastAsia="en-US"/>
        </w:rPr>
      </w:pPr>
      <w:r w:rsidRPr="00650107">
        <w:rPr>
          <w:rFonts w:ascii="Roboto" w:eastAsia="Calibri" w:hAnsi="Roboto" w:cs="Arial"/>
          <w:color w:val="000000" w:themeColor="text1"/>
          <w:szCs w:val="22"/>
          <w:lang w:eastAsia="en-US"/>
        </w:rPr>
        <w:t xml:space="preserve">Provedba praćenja objave skupova podataka za ponovnu uporabu </w:t>
      </w:r>
      <w:proofErr w:type="spellStart"/>
      <w:r w:rsidRPr="00650107">
        <w:rPr>
          <w:rFonts w:ascii="Roboto" w:eastAsia="Calibri" w:hAnsi="Roboto" w:cs="Arial"/>
          <w:color w:val="000000" w:themeColor="text1"/>
          <w:szCs w:val="22"/>
          <w:lang w:eastAsia="en-US"/>
        </w:rPr>
        <w:t>asset</w:t>
      </w:r>
      <w:proofErr w:type="spellEnd"/>
      <w:r w:rsidRPr="00650107">
        <w:rPr>
          <w:rFonts w:ascii="Roboto" w:eastAsia="Calibri" w:hAnsi="Roboto" w:cs="Arial"/>
          <w:color w:val="000000" w:themeColor="text1"/>
          <w:szCs w:val="22"/>
          <w:lang w:eastAsia="en-US"/>
        </w:rPr>
        <w:t xml:space="preserve"> lista </w:t>
      </w:r>
    </w:p>
    <w:p w14:paraId="0991EBD1" w14:textId="79FA555D" w:rsidR="00EB1D2C" w:rsidRPr="00650107" w:rsidRDefault="00EB1D2C" w:rsidP="001F7977">
      <w:pPr>
        <w:pStyle w:val="Odlomakpopisa"/>
        <w:numPr>
          <w:ilvl w:val="0"/>
          <w:numId w:val="29"/>
        </w:numPr>
        <w:rPr>
          <w:rFonts w:ascii="Roboto" w:eastAsia="Calibri" w:hAnsi="Roboto" w:cs="Arial"/>
          <w:color w:val="000000" w:themeColor="text1"/>
          <w:szCs w:val="22"/>
          <w:lang w:eastAsia="en-US"/>
        </w:rPr>
      </w:pPr>
      <w:r w:rsidRPr="00650107">
        <w:rPr>
          <w:rFonts w:ascii="Roboto" w:eastAsia="Calibri" w:hAnsi="Roboto" w:cs="Arial"/>
          <w:color w:val="000000" w:themeColor="text1"/>
          <w:szCs w:val="22"/>
          <w:lang w:eastAsia="en-US"/>
        </w:rPr>
        <w:t xml:space="preserve">Provedba praćenja savjetovanja s javnošću odabranih tijela </w:t>
      </w:r>
    </w:p>
    <w:p w14:paraId="3E107317" w14:textId="4AACC725" w:rsidR="00EB1D2C" w:rsidRPr="00650107" w:rsidRDefault="00EB1D2C" w:rsidP="001F7977">
      <w:pPr>
        <w:pStyle w:val="Odlomakpopisa"/>
        <w:numPr>
          <w:ilvl w:val="0"/>
          <w:numId w:val="29"/>
        </w:numPr>
        <w:rPr>
          <w:rFonts w:ascii="Roboto" w:eastAsia="Calibri" w:hAnsi="Roboto" w:cs="Arial"/>
          <w:color w:val="000000" w:themeColor="text1"/>
          <w:szCs w:val="22"/>
          <w:lang w:eastAsia="en-US"/>
        </w:rPr>
      </w:pPr>
      <w:r w:rsidRPr="00650107">
        <w:rPr>
          <w:rFonts w:ascii="Roboto" w:eastAsia="Calibri" w:hAnsi="Roboto" w:cs="Arial"/>
          <w:color w:val="000000" w:themeColor="text1"/>
          <w:szCs w:val="22"/>
          <w:lang w:eastAsia="en-US"/>
        </w:rPr>
        <w:t>Provedba praćenja ispunjenja obveze osiguranja javnosti rada na sjednicama tijela</w:t>
      </w:r>
    </w:p>
    <w:p w14:paraId="181BFBBF" w14:textId="3500A741" w:rsidR="00EB1D2C" w:rsidRPr="00650107" w:rsidRDefault="00EB1D2C" w:rsidP="001F7977">
      <w:pPr>
        <w:pStyle w:val="Odlomakpopisa"/>
        <w:numPr>
          <w:ilvl w:val="0"/>
          <w:numId w:val="29"/>
        </w:numPr>
        <w:rPr>
          <w:rFonts w:ascii="Roboto" w:eastAsia="Calibri" w:hAnsi="Roboto" w:cs="Arial"/>
          <w:color w:val="000000" w:themeColor="text1"/>
          <w:szCs w:val="22"/>
          <w:lang w:eastAsia="en-US"/>
        </w:rPr>
      </w:pPr>
      <w:r w:rsidRPr="00650107">
        <w:rPr>
          <w:rFonts w:ascii="Roboto" w:eastAsia="Calibri" w:hAnsi="Roboto" w:cs="Arial"/>
          <w:color w:val="000000" w:themeColor="text1"/>
          <w:szCs w:val="22"/>
          <w:lang w:eastAsia="en-US"/>
        </w:rPr>
        <w:t xml:space="preserve">Revidiranje postojećih uputa i smjernica za primjenu Zakona </w:t>
      </w:r>
    </w:p>
    <w:p w14:paraId="04957F52" w14:textId="2900D476" w:rsidR="00EB1D2C" w:rsidRPr="00650107" w:rsidRDefault="00EB1D2C" w:rsidP="001F7977">
      <w:pPr>
        <w:pStyle w:val="Odlomakpopisa"/>
        <w:numPr>
          <w:ilvl w:val="0"/>
          <w:numId w:val="29"/>
        </w:numPr>
        <w:rPr>
          <w:rFonts w:ascii="Roboto" w:eastAsia="Calibri" w:hAnsi="Roboto" w:cs="Arial"/>
          <w:color w:val="000000" w:themeColor="text1"/>
          <w:szCs w:val="22"/>
          <w:lang w:eastAsia="en-US"/>
        </w:rPr>
      </w:pPr>
      <w:r w:rsidRPr="00650107">
        <w:rPr>
          <w:rFonts w:ascii="Roboto" w:eastAsia="Calibri" w:hAnsi="Roboto" w:cs="Arial"/>
          <w:color w:val="000000" w:themeColor="text1"/>
          <w:szCs w:val="22"/>
          <w:lang w:eastAsia="en-US"/>
        </w:rPr>
        <w:t>Nastavak s objavom sažetaka najvažnijih odluka i mišljenja te njihovih sažetaka</w:t>
      </w:r>
    </w:p>
    <w:p w14:paraId="7642115A" w14:textId="34F1ECB4" w:rsidR="00EB1D2C" w:rsidRPr="00650107" w:rsidRDefault="00EB1D2C" w:rsidP="001F7977">
      <w:pPr>
        <w:pStyle w:val="Odlomakpopisa"/>
        <w:numPr>
          <w:ilvl w:val="0"/>
          <w:numId w:val="29"/>
        </w:numPr>
        <w:rPr>
          <w:rFonts w:ascii="Roboto" w:eastAsia="Calibri" w:hAnsi="Roboto" w:cs="Arial"/>
          <w:color w:val="000000" w:themeColor="text1"/>
          <w:szCs w:val="22"/>
          <w:lang w:eastAsia="en-US"/>
        </w:rPr>
      </w:pPr>
      <w:r w:rsidRPr="00650107">
        <w:rPr>
          <w:rFonts w:ascii="Roboto" w:eastAsia="Calibri" w:hAnsi="Roboto" w:cs="Arial"/>
          <w:color w:val="000000" w:themeColor="text1"/>
          <w:szCs w:val="22"/>
          <w:lang w:eastAsia="en-US"/>
        </w:rPr>
        <w:t xml:space="preserve">Provedba edukativnih aktivnosti </w:t>
      </w:r>
    </w:p>
    <w:p w14:paraId="5FA09C1C" w14:textId="3FC3DD4C" w:rsidR="00EB1D2C" w:rsidRPr="00650107" w:rsidRDefault="00EB1D2C" w:rsidP="001F7977">
      <w:pPr>
        <w:pStyle w:val="Odlomakpopisa"/>
        <w:numPr>
          <w:ilvl w:val="0"/>
          <w:numId w:val="29"/>
        </w:numPr>
        <w:rPr>
          <w:rFonts w:ascii="Roboto" w:eastAsia="Calibri" w:hAnsi="Roboto" w:cs="Arial"/>
          <w:color w:val="000000" w:themeColor="text1"/>
          <w:szCs w:val="22"/>
          <w:lang w:eastAsia="en-US"/>
        </w:rPr>
      </w:pPr>
      <w:r w:rsidRPr="00650107">
        <w:rPr>
          <w:rFonts w:ascii="Roboto" w:eastAsia="Calibri" w:hAnsi="Roboto" w:cs="Arial"/>
          <w:color w:val="000000" w:themeColor="text1"/>
          <w:szCs w:val="22"/>
          <w:lang w:eastAsia="en-US"/>
        </w:rPr>
        <w:t>Obilježavanje Međunarodnog dana prava na pristup informacijama</w:t>
      </w:r>
    </w:p>
    <w:p w14:paraId="2F91C619" w14:textId="691027B0" w:rsidR="00EB1D2C" w:rsidRPr="00650107" w:rsidRDefault="00EB1D2C" w:rsidP="001F7977">
      <w:pPr>
        <w:pStyle w:val="Odlomakpopisa"/>
        <w:numPr>
          <w:ilvl w:val="0"/>
          <w:numId w:val="29"/>
        </w:numPr>
        <w:rPr>
          <w:rFonts w:ascii="Roboto" w:eastAsia="Calibri" w:hAnsi="Roboto" w:cs="Arial"/>
          <w:color w:val="000000" w:themeColor="text1"/>
          <w:szCs w:val="22"/>
          <w:lang w:eastAsia="en-US"/>
        </w:rPr>
      </w:pPr>
      <w:r w:rsidRPr="00650107">
        <w:rPr>
          <w:rFonts w:ascii="Roboto" w:eastAsia="Calibri" w:hAnsi="Roboto" w:cs="Arial"/>
          <w:color w:val="000000" w:themeColor="text1"/>
          <w:szCs w:val="22"/>
          <w:lang w:eastAsia="en-US"/>
        </w:rPr>
        <w:t>Organiziranje godišnjeg savjetovanja službenika za informiranje</w:t>
      </w:r>
    </w:p>
    <w:p w14:paraId="06698474" w14:textId="0C70127E" w:rsidR="00EB1D2C" w:rsidRPr="00650107" w:rsidRDefault="00EB1D2C" w:rsidP="001F7977">
      <w:pPr>
        <w:pStyle w:val="Odlomakpopisa"/>
        <w:numPr>
          <w:ilvl w:val="0"/>
          <w:numId w:val="29"/>
        </w:numPr>
        <w:rPr>
          <w:rFonts w:ascii="Roboto" w:eastAsia="Calibri" w:hAnsi="Roboto" w:cs="Arial"/>
          <w:color w:val="000000" w:themeColor="text1"/>
          <w:szCs w:val="22"/>
          <w:lang w:eastAsia="en-US"/>
        </w:rPr>
      </w:pPr>
      <w:r w:rsidRPr="00650107">
        <w:rPr>
          <w:rFonts w:ascii="Roboto" w:eastAsia="Calibri" w:hAnsi="Roboto" w:cs="Arial"/>
          <w:color w:val="000000" w:themeColor="text1"/>
          <w:szCs w:val="22"/>
          <w:lang w:eastAsia="en-US"/>
        </w:rPr>
        <w:t>Nastavak suradnje u okviru Inicijative 2020</w:t>
      </w:r>
    </w:p>
    <w:p w14:paraId="190B01AD" w14:textId="2EAB74B2" w:rsidR="00EB1D2C" w:rsidRPr="00650107" w:rsidRDefault="00EB1D2C" w:rsidP="001F7977">
      <w:pPr>
        <w:pStyle w:val="Odlomakpopisa"/>
        <w:numPr>
          <w:ilvl w:val="0"/>
          <w:numId w:val="29"/>
        </w:numPr>
        <w:rPr>
          <w:rFonts w:ascii="Roboto" w:eastAsia="Calibri" w:hAnsi="Roboto" w:cs="Arial"/>
          <w:color w:val="000000" w:themeColor="text1"/>
          <w:szCs w:val="22"/>
          <w:lang w:eastAsia="en-US"/>
        </w:rPr>
      </w:pPr>
      <w:r w:rsidRPr="00650107">
        <w:rPr>
          <w:rFonts w:ascii="Roboto" w:eastAsia="Calibri" w:hAnsi="Roboto" w:cs="Arial"/>
          <w:color w:val="000000" w:themeColor="text1"/>
          <w:szCs w:val="22"/>
          <w:lang w:eastAsia="en-US"/>
        </w:rPr>
        <w:t>Ostale aktivnosti</w:t>
      </w:r>
    </w:p>
    <w:p w14:paraId="564C11C7" w14:textId="77777777" w:rsidR="00EB1D2C" w:rsidRPr="00EB1D2C" w:rsidRDefault="00EB1D2C" w:rsidP="001F7977">
      <w:pPr>
        <w:rPr>
          <w:rFonts w:ascii="Roboto" w:eastAsia="Calibri" w:hAnsi="Roboto" w:cs="Arial"/>
          <w:color w:val="000000" w:themeColor="text1"/>
          <w:sz w:val="22"/>
          <w:szCs w:val="22"/>
          <w:lang w:eastAsia="en-US"/>
        </w:rPr>
      </w:pPr>
      <w:r w:rsidRPr="00EB1D2C">
        <w:rPr>
          <w:rFonts w:ascii="Roboto" w:eastAsia="Calibri" w:hAnsi="Roboto" w:cs="Arial"/>
          <w:color w:val="000000" w:themeColor="text1"/>
          <w:sz w:val="22"/>
          <w:szCs w:val="22"/>
          <w:lang w:eastAsia="en-US"/>
        </w:rPr>
        <w:t xml:space="preserve">Sve navedene aktivnosti su ispunjene tijekom 2025. pa je tako Ured pratio zakonitost postupanja i korištenje šutnje uprave od strane tijela javne vlasti, ispunjenje obveze proaktivne objave informacija i provedbe savjetovanja s javnošću (praćenja na dan, dubinska praćenja na razini tri ministarstva, praćenja objave sastava radnih skupina). </w:t>
      </w:r>
    </w:p>
    <w:p w14:paraId="708CF1A0" w14:textId="0DEAE887" w:rsidR="007140E8" w:rsidRPr="001F7977" w:rsidRDefault="007140E8" w:rsidP="001F7977">
      <w:pPr>
        <w:pStyle w:val="Naslov1"/>
      </w:pPr>
      <w:bookmarkStart w:id="24" w:name="_Toc225867799"/>
      <w:r w:rsidRPr="001F7977">
        <w:t>Preporuke i prijedlozi za otklanjanje nedostataka i nepravilnosti</w:t>
      </w:r>
      <w:bookmarkEnd w:id="23"/>
      <w:bookmarkEnd w:id="24"/>
      <w:r w:rsidRPr="001F7977">
        <w:t xml:space="preserve"> </w:t>
      </w:r>
    </w:p>
    <w:p w14:paraId="4208EB3B" w14:textId="4D681190" w:rsidR="001F7977" w:rsidRPr="001F7977" w:rsidRDefault="00E11CF1" w:rsidP="001F7977">
      <w:pPr>
        <w:rPr>
          <w:rFonts w:ascii="Roboto" w:hAnsi="Roboto"/>
          <w:sz w:val="22"/>
          <w:szCs w:val="22"/>
        </w:rPr>
      </w:pPr>
      <w:bookmarkStart w:id="25" w:name="_Toc162357614"/>
      <w:r w:rsidRPr="001F7977">
        <w:rPr>
          <w:rFonts w:ascii="Roboto" w:hAnsi="Roboto"/>
          <w:sz w:val="22"/>
          <w:szCs w:val="22"/>
        </w:rPr>
        <w:t xml:space="preserve">Prijedlozi, utemeljeni na ocjeni stanja, imaju tri cilja: osigurati pravilnu primjenu ZPPI-ja, omogućiti korisnicima učinkovitiji pristup informacijama te olakšati rad tijelima javne vlasti u području rješavanja zahtjeva za pristup informacijama. Prijedlozi i preporuke tijelima javne </w:t>
      </w:r>
      <w:r w:rsidRPr="001F7977">
        <w:rPr>
          <w:rFonts w:ascii="Roboto" w:hAnsi="Roboto"/>
          <w:sz w:val="22"/>
          <w:szCs w:val="22"/>
        </w:rPr>
        <w:lastRenderedPageBreak/>
        <w:t xml:space="preserve">vlasti daju se na temelju ocjene stanja prava na pristup i ponovnu uporabu informacija </w:t>
      </w:r>
      <w:r w:rsidR="001F7977">
        <w:rPr>
          <w:rFonts w:ascii="Roboto" w:hAnsi="Roboto"/>
          <w:sz w:val="22"/>
          <w:szCs w:val="22"/>
        </w:rPr>
        <w:t>za prethodnu godinu</w:t>
      </w:r>
      <w:r w:rsidRPr="001F7977">
        <w:rPr>
          <w:rFonts w:ascii="Roboto" w:hAnsi="Roboto"/>
          <w:sz w:val="22"/>
          <w:szCs w:val="22"/>
        </w:rPr>
        <w:t xml:space="preserve">. </w:t>
      </w:r>
    </w:p>
    <w:p w14:paraId="20291314" w14:textId="72D4A705" w:rsidR="00E11CF1" w:rsidRPr="001F7977" w:rsidRDefault="002117B8" w:rsidP="001F7977">
      <w:pPr>
        <w:rPr>
          <w:rFonts w:ascii="Roboto" w:hAnsi="Roboto"/>
          <w:sz w:val="22"/>
          <w:szCs w:val="22"/>
        </w:rPr>
      </w:pPr>
      <w:r w:rsidRPr="001F7977">
        <w:rPr>
          <w:rFonts w:ascii="Roboto" w:hAnsi="Roboto"/>
          <w:sz w:val="22"/>
          <w:szCs w:val="22"/>
        </w:rPr>
        <w:t xml:space="preserve">Povjerenik za informiranje </w:t>
      </w:r>
      <w:r w:rsidR="001F7977">
        <w:rPr>
          <w:rFonts w:ascii="Roboto" w:hAnsi="Roboto"/>
          <w:sz w:val="22"/>
          <w:szCs w:val="22"/>
        </w:rPr>
        <w:t xml:space="preserve">za 2026. </w:t>
      </w:r>
      <w:r w:rsidRPr="001F7977">
        <w:rPr>
          <w:rFonts w:ascii="Roboto" w:hAnsi="Roboto"/>
          <w:sz w:val="22"/>
          <w:szCs w:val="22"/>
        </w:rPr>
        <w:t xml:space="preserve">daje sljedeće </w:t>
      </w:r>
      <w:r w:rsidR="00784A2A" w:rsidRPr="001F7977">
        <w:rPr>
          <w:rFonts w:ascii="Roboto" w:hAnsi="Roboto"/>
          <w:sz w:val="22"/>
          <w:szCs w:val="22"/>
        </w:rPr>
        <w:t xml:space="preserve">prijedloge i </w:t>
      </w:r>
      <w:r w:rsidRPr="001F7977">
        <w:rPr>
          <w:rFonts w:ascii="Roboto" w:hAnsi="Roboto"/>
          <w:sz w:val="22"/>
          <w:szCs w:val="22"/>
        </w:rPr>
        <w:t>p</w:t>
      </w:r>
      <w:r w:rsidR="00E5593A" w:rsidRPr="001F7977">
        <w:rPr>
          <w:rFonts w:ascii="Roboto" w:hAnsi="Roboto"/>
          <w:sz w:val="22"/>
          <w:szCs w:val="22"/>
        </w:rPr>
        <w:t xml:space="preserve">reporuke, pri čemu se </w:t>
      </w:r>
      <w:r w:rsidR="00784A2A" w:rsidRPr="001F7977">
        <w:rPr>
          <w:rFonts w:ascii="Roboto" w:hAnsi="Roboto"/>
          <w:sz w:val="22"/>
          <w:szCs w:val="22"/>
        </w:rPr>
        <w:t>o</w:t>
      </w:r>
      <w:r w:rsidR="007544BD" w:rsidRPr="001F7977">
        <w:rPr>
          <w:rFonts w:ascii="Roboto" w:hAnsi="Roboto"/>
          <w:sz w:val="22"/>
          <w:szCs w:val="22"/>
        </w:rPr>
        <w:t xml:space="preserve">brazloženja </w:t>
      </w:r>
      <w:r w:rsidR="00784A2A" w:rsidRPr="001F7977">
        <w:rPr>
          <w:rFonts w:ascii="Roboto" w:hAnsi="Roboto"/>
          <w:sz w:val="22"/>
          <w:szCs w:val="22"/>
        </w:rPr>
        <w:t xml:space="preserve">navedenog </w:t>
      </w:r>
      <w:r w:rsidR="0084538A" w:rsidRPr="001F7977">
        <w:rPr>
          <w:rFonts w:ascii="Roboto" w:hAnsi="Roboto"/>
          <w:sz w:val="22"/>
          <w:szCs w:val="22"/>
        </w:rPr>
        <w:t xml:space="preserve">nalaze u </w:t>
      </w:r>
      <w:r w:rsidR="00B02A32" w:rsidRPr="001F7977">
        <w:rPr>
          <w:rFonts w:ascii="Roboto" w:hAnsi="Roboto"/>
          <w:sz w:val="22"/>
          <w:szCs w:val="22"/>
        </w:rPr>
        <w:t>I</w:t>
      </w:r>
      <w:r w:rsidR="0084538A" w:rsidRPr="001F7977">
        <w:rPr>
          <w:rFonts w:ascii="Roboto" w:hAnsi="Roboto"/>
          <w:sz w:val="22"/>
          <w:szCs w:val="22"/>
        </w:rPr>
        <w:t>zvješću</w:t>
      </w:r>
      <w:r w:rsidR="001F7977" w:rsidRPr="001F7977">
        <w:rPr>
          <w:rFonts w:ascii="Roboto" w:hAnsi="Roboto"/>
          <w:sz w:val="22"/>
          <w:szCs w:val="22"/>
        </w:rPr>
        <w:t>:</w:t>
      </w:r>
    </w:p>
    <w:p w14:paraId="62CD9B8A" w14:textId="77777777" w:rsidR="00E11CF1" w:rsidRPr="001F7977" w:rsidRDefault="00E11CF1" w:rsidP="001F7977">
      <w:pPr>
        <w:pStyle w:val="Odlomakpopisa"/>
        <w:numPr>
          <w:ilvl w:val="0"/>
          <w:numId w:val="31"/>
        </w:numPr>
        <w:rPr>
          <w:rFonts w:ascii="Roboto" w:hAnsi="Roboto"/>
          <w:szCs w:val="22"/>
        </w:rPr>
      </w:pPr>
      <w:r w:rsidRPr="001F7977">
        <w:rPr>
          <w:rFonts w:ascii="Roboto" w:hAnsi="Roboto"/>
          <w:szCs w:val="22"/>
        </w:rPr>
        <w:t>Pravilno vođenje službenog upisnika o zaprimljenim zahtjevima</w:t>
      </w:r>
    </w:p>
    <w:p w14:paraId="530F312D" w14:textId="77777777" w:rsidR="00E11CF1" w:rsidRPr="001F7977" w:rsidRDefault="00E11CF1" w:rsidP="001F7977">
      <w:pPr>
        <w:pStyle w:val="Odlomakpopisa"/>
        <w:numPr>
          <w:ilvl w:val="0"/>
          <w:numId w:val="31"/>
        </w:numPr>
        <w:rPr>
          <w:rFonts w:ascii="Roboto" w:hAnsi="Roboto"/>
          <w:szCs w:val="22"/>
        </w:rPr>
      </w:pPr>
      <w:r w:rsidRPr="001F7977">
        <w:rPr>
          <w:rFonts w:ascii="Roboto" w:hAnsi="Roboto"/>
          <w:szCs w:val="22"/>
        </w:rPr>
        <w:t>Kontinuirano primjenjivanje prakse Povjerenika i Visokog upravnog suda RH radi smanjivanja broja žalbi i tužbi i brže dostupnosti informacija koje su javnog karaktera</w:t>
      </w:r>
    </w:p>
    <w:p w14:paraId="595517A8" w14:textId="77777777" w:rsidR="00E11CF1" w:rsidRPr="001F7977" w:rsidRDefault="00E11CF1" w:rsidP="001F7977">
      <w:pPr>
        <w:pStyle w:val="Odlomakpopisa"/>
        <w:numPr>
          <w:ilvl w:val="0"/>
          <w:numId w:val="31"/>
        </w:numPr>
        <w:rPr>
          <w:rFonts w:ascii="Roboto" w:hAnsi="Roboto"/>
          <w:szCs w:val="22"/>
        </w:rPr>
      </w:pPr>
      <w:r w:rsidRPr="001F7977">
        <w:rPr>
          <w:rFonts w:ascii="Roboto" w:hAnsi="Roboto"/>
          <w:szCs w:val="22"/>
        </w:rPr>
        <w:t>Pravilna primjena odredbi oko postupanja sa zahtjevima za pristup i ponovnu uporabu informacija</w:t>
      </w:r>
    </w:p>
    <w:p w14:paraId="3DB7A226" w14:textId="77777777" w:rsidR="00E11CF1" w:rsidRPr="001F7977" w:rsidRDefault="00E11CF1" w:rsidP="001F7977">
      <w:pPr>
        <w:pStyle w:val="Odlomakpopisa"/>
        <w:numPr>
          <w:ilvl w:val="0"/>
          <w:numId w:val="31"/>
        </w:numPr>
        <w:rPr>
          <w:rFonts w:ascii="Roboto" w:hAnsi="Roboto"/>
          <w:szCs w:val="22"/>
        </w:rPr>
      </w:pPr>
      <w:r w:rsidRPr="001F7977">
        <w:rPr>
          <w:rFonts w:ascii="Roboto" w:hAnsi="Roboto"/>
          <w:szCs w:val="22"/>
        </w:rPr>
        <w:t>Pravilno postupanje prilikom izdavanja obavijesti iz članka 23. stavka 1. točke 2.-6. ZPPI-ja</w:t>
      </w:r>
    </w:p>
    <w:p w14:paraId="141061DD" w14:textId="77777777" w:rsidR="00E11CF1" w:rsidRPr="001F7977" w:rsidRDefault="00E11CF1" w:rsidP="001F7977">
      <w:pPr>
        <w:pStyle w:val="Odlomakpopisa"/>
        <w:numPr>
          <w:ilvl w:val="0"/>
          <w:numId w:val="31"/>
        </w:numPr>
        <w:rPr>
          <w:rFonts w:ascii="Roboto" w:hAnsi="Roboto"/>
          <w:szCs w:val="22"/>
        </w:rPr>
      </w:pPr>
      <w:r w:rsidRPr="001F7977">
        <w:rPr>
          <w:rFonts w:ascii="Roboto" w:hAnsi="Roboto"/>
          <w:szCs w:val="22"/>
        </w:rPr>
        <w:t>Pravilno postupanje po izjavljenom prigovoru</w:t>
      </w:r>
    </w:p>
    <w:p w14:paraId="7EE0E56C" w14:textId="77777777" w:rsidR="00E11CF1" w:rsidRPr="001F7977" w:rsidRDefault="00E11CF1" w:rsidP="001F7977">
      <w:pPr>
        <w:pStyle w:val="Odlomakpopisa"/>
        <w:numPr>
          <w:ilvl w:val="0"/>
          <w:numId w:val="31"/>
        </w:numPr>
        <w:rPr>
          <w:rFonts w:ascii="Roboto" w:hAnsi="Roboto"/>
          <w:szCs w:val="22"/>
        </w:rPr>
      </w:pPr>
      <w:r w:rsidRPr="001F7977">
        <w:rPr>
          <w:rFonts w:ascii="Roboto" w:hAnsi="Roboto"/>
          <w:szCs w:val="22"/>
        </w:rPr>
        <w:t xml:space="preserve">Pravilna primjena odredbi ZUP-a o postupanju sa spisom predmeta tijela javne vlasti u slučaju izjavljivanje žalbe </w:t>
      </w:r>
    </w:p>
    <w:p w14:paraId="4CBDF5C7" w14:textId="77777777" w:rsidR="00E11CF1" w:rsidRPr="001F7977" w:rsidRDefault="00E11CF1" w:rsidP="001F7977">
      <w:pPr>
        <w:pStyle w:val="Odlomakpopisa"/>
        <w:numPr>
          <w:ilvl w:val="0"/>
          <w:numId w:val="31"/>
        </w:numPr>
        <w:rPr>
          <w:rFonts w:ascii="Roboto" w:hAnsi="Roboto"/>
          <w:szCs w:val="22"/>
        </w:rPr>
      </w:pPr>
      <w:r w:rsidRPr="001F7977">
        <w:rPr>
          <w:rFonts w:ascii="Roboto" w:hAnsi="Roboto"/>
          <w:szCs w:val="22"/>
        </w:rPr>
        <w:t>Osiguravanje stručnog osposobljavanja službenika za informiranje i drugih osoba uključenih u postupak ostvarivanja prava na pristup informacijama</w:t>
      </w:r>
    </w:p>
    <w:p w14:paraId="1ADE4EFB" w14:textId="29DC7872" w:rsidR="00E11CF1" w:rsidRPr="001F7977" w:rsidRDefault="00E11CF1" w:rsidP="001F7977">
      <w:pPr>
        <w:pStyle w:val="Odlomakpopisa"/>
        <w:numPr>
          <w:ilvl w:val="0"/>
          <w:numId w:val="31"/>
        </w:numPr>
        <w:rPr>
          <w:rFonts w:ascii="Roboto" w:hAnsi="Roboto"/>
          <w:szCs w:val="22"/>
        </w:rPr>
      </w:pPr>
      <w:r w:rsidRPr="001F7977">
        <w:rPr>
          <w:rFonts w:ascii="Roboto" w:hAnsi="Roboto"/>
          <w:szCs w:val="22"/>
        </w:rPr>
        <w:t xml:space="preserve">Objavljivanje planova savjetovanja s javnošću i redovito ažuriranje planova </w:t>
      </w:r>
    </w:p>
    <w:p w14:paraId="605FBCB1" w14:textId="77777777" w:rsidR="00E11CF1" w:rsidRPr="001F7977" w:rsidRDefault="00E11CF1" w:rsidP="001F7977">
      <w:pPr>
        <w:pStyle w:val="Odlomakpopisa"/>
        <w:numPr>
          <w:ilvl w:val="0"/>
          <w:numId w:val="31"/>
        </w:numPr>
        <w:rPr>
          <w:rFonts w:ascii="Roboto" w:hAnsi="Roboto"/>
          <w:szCs w:val="22"/>
        </w:rPr>
      </w:pPr>
      <w:r w:rsidRPr="001F7977">
        <w:rPr>
          <w:rFonts w:ascii="Roboto" w:hAnsi="Roboto"/>
          <w:szCs w:val="22"/>
        </w:rPr>
        <w:t xml:space="preserve">Objavljivanje sastava radnih skupina koje su izradile nacrte akata koji se stavljaju na savjetovanje ili obavijesti da radna skupina nije bila osnovana </w:t>
      </w:r>
    </w:p>
    <w:p w14:paraId="6FE9B7FA" w14:textId="77777777" w:rsidR="00E11CF1" w:rsidRPr="001F7977" w:rsidRDefault="00E11CF1" w:rsidP="001F7977">
      <w:pPr>
        <w:pStyle w:val="Odlomakpopisa"/>
        <w:numPr>
          <w:ilvl w:val="0"/>
          <w:numId w:val="31"/>
        </w:numPr>
        <w:rPr>
          <w:rFonts w:ascii="Roboto" w:hAnsi="Roboto"/>
          <w:szCs w:val="22"/>
        </w:rPr>
      </w:pPr>
      <w:r w:rsidRPr="001F7977">
        <w:rPr>
          <w:rFonts w:ascii="Roboto" w:hAnsi="Roboto"/>
          <w:szCs w:val="22"/>
        </w:rPr>
        <w:t>Objavljivanje izvješća o provedenom savjetovanju</w:t>
      </w:r>
    </w:p>
    <w:p w14:paraId="6C3B9246" w14:textId="77777777" w:rsidR="00E11CF1" w:rsidRPr="001F7977" w:rsidRDefault="00E11CF1" w:rsidP="001F7977">
      <w:pPr>
        <w:pStyle w:val="Odlomakpopisa"/>
        <w:numPr>
          <w:ilvl w:val="0"/>
          <w:numId w:val="31"/>
        </w:numPr>
        <w:rPr>
          <w:rFonts w:ascii="Roboto" w:hAnsi="Roboto"/>
          <w:szCs w:val="22"/>
        </w:rPr>
      </w:pPr>
      <w:r w:rsidRPr="001F7977">
        <w:rPr>
          <w:rFonts w:ascii="Roboto" w:hAnsi="Roboto"/>
          <w:szCs w:val="22"/>
        </w:rPr>
        <w:t xml:space="preserve">Objavljivanje i redovno ažuriranje popisa skupova podataka iz djelokruga tijela (tzv. </w:t>
      </w:r>
      <w:proofErr w:type="spellStart"/>
      <w:r w:rsidRPr="001F7977">
        <w:rPr>
          <w:rFonts w:ascii="Roboto" w:hAnsi="Roboto"/>
          <w:szCs w:val="22"/>
        </w:rPr>
        <w:t>asset</w:t>
      </w:r>
      <w:proofErr w:type="spellEnd"/>
      <w:r w:rsidRPr="001F7977">
        <w:rPr>
          <w:rFonts w:ascii="Roboto" w:hAnsi="Roboto"/>
          <w:szCs w:val="22"/>
        </w:rPr>
        <w:t xml:space="preserve"> lista), s </w:t>
      </w:r>
      <w:proofErr w:type="spellStart"/>
      <w:r w:rsidRPr="001F7977">
        <w:rPr>
          <w:rFonts w:ascii="Roboto" w:hAnsi="Roboto"/>
          <w:szCs w:val="22"/>
        </w:rPr>
        <w:t>metapodacima</w:t>
      </w:r>
      <w:proofErr w:type="spellEnd"/>
    </w:p>
    <w:p w14:paraId="50AEBBE9" w14:textId="77777777" w:rsidR="00E11CF1" w:rsidRPr="001F7977" w:rsidRDefault="00E11CF1" w:rsidP="001F7977">
      <w:pPr>
        <w:pStyle w:val="Odlomakpopisa"/>
        <w:numPr>
          <w:ilvl w:val="0"/>
          <w:numId w:val="31"/>
        </w:numPr>
        <w:rPr>
          <w:rFonts w:ascii="Roboto" w:hAnsi="Roboto"/>
          <w:szCs w:val="22"/>
        </w:rPr>
      </w:pPr>
      <w:r w:rsidRPr="001F7977">
        <w:rPr>
          <w:rFonts w:ascii="Roboto" w:hAnsi="Roboto"/>
          <w:szCs w:val="22"/>
        </w:rPr>
        <w:t>Objavljivanje registara i baza podataka te skupova podataka za ponovnu uporabu iz nadležnosti tijela na Portalu otvorenih podataka</w:t>
      </w:r>
    </w:p>
    <w:p w14:paraId="72EAF588" w14:textId="77777777" w:rsidR="00E11CF1" w:rsidRPr="001F7977" w:rsidRDefault="00E11CF1" w:rsidP="001F7977">
      <w:pPr>
        <w:pStyle w:val="Odlomakpopisa"/>
        <w:numPr>
          <w:ilvl w:val="0"/>
          <w:numId w:val="31"/>
        </w:numPr>
        <w:rPr>
          <w:rFonts w:ascii="Roboto" w:hAnsi="Roboto"/>
          <w:szCs w:val="22"/>
        </w:rPr>
      </w:pPr>
      <w:r w:rsidRPr="001F7977">
        <w:rPr>
          <w:rFonts w:ascii="Roboto" w:hAnsi="Roboto"/>
          <w:szCs w:val="22"/>
        </w:rPr>
        <w:t>Objavljivanje visokovrijednih skupova podataka, u strojno čitljivom obliku, putem odgovarajućih API servisa i u obliku masovnog preuzimanja</w:t>
      </w:r>
    </w:p>
    <w:p w14:paraId="6C760CEF" w14:textId="358FB059" w:rsidR="00E11CF1" w:rsidRPr="001F7977" w:rsidRDefault="00E11CF1" w:rsidP="001F7977">
      <w:pPr>
        <w:pStyle w:val="Odlomakpopisa"/>
        <w:numPr>
          <w:ilvl w:val="0"/>
          <w:numId w:val="31"/>
        </w:numPr>
        <w:rPr>
          <w:rFonts w:ascii="Roboto" w:hAnsi="Roboto"/>
          <w:szCs w:val="22"/>
        </w:rPr>
      </w:pPr>
      <w:r w:rsidRPr="001F7977">
        <w:rPr>
          <w:rFonts w:ascii="Roboto" w:hAnsi="Roboto"/>
          <w:szCs w:val="22"/>
        </w:rPr>
        <w:t>Izmjena normativnog okvira za ostvarivanje pristupa informacijama.</w:t>
      </w:r>
    </w:p>
    <w:p w14:paraId="1F80482B" w14:textId="77680113" w:rsidR="007140E8" w:rsidRPr="001F7977" w:rsidRDefault="007140E8" w:rsidP="001F7977">
      <w:pPr>
        <w:pStyle w:val="Naslov1"/>
      </w:pPr>
      <w:bookmarkStart w:id="26" w:name="_Toc225867800"/>
      <w:r w:rsidRPr="001F7977">
        <w:t>Okvirni plan djelovanja Ureda u 202</w:t>
      </w:r>
      <w:r w:rsidR="001F7977">
        <w:t>6</w:t>
      </w:r>
      <w:r w:rsidRPr="001F7977">
        <w:t>.</w:t>
      </w:r>
      <w:bookmarkEnd w:id="25"/>
      <w:bookmarkEnd w:id="26"/>
    </w:p>
    <w:p w14:paraId="4B1A68C7" w14:textId="77777777" w:rsidR="001F7977" w:rsidRDefault="001F7977" w:rsidP="001F7977">
      <w:pPr>
        <w:rPr>
          <w:rFonts w:ascii="Roboto" w:eastAsia="Calibri" w:hAnsi="Roboto" w:cs="Arial"/>
          <w:sz w:val="22"/>
          <w:szCs w:val="22"/>
        </w:rPr>
      </w:pPr>
      <w:bookmarkStart w:id="27" w:name="_Hlk194314721"/>
      <w:r w:rsidRPr="001F7977">
        <w:rPr>
          <w:rFonts w:ascii="Roboto" w:eastAsia="Calibri" w:hAnsi="Roboto" w:cs="Arial"/>
          <w:sz w:val="22"/>
          <w:szCs w:val="22"/>
        </w:rPr>
        <w:t>Aktivnosti Ureda povjerenice u 2026. u velikom su dijelu determinirane utvrđenim stanjem u području pristupa informacijama koje je prikazano u ovom Izvješću.</w:t>
      </w:r>
      <w:r>
        <w:rPr>
          <w:rFonts w:ascii="Roboto" w:eastAsia="Calibri" w:hAnsi="Roboto" w:cs="Arial"/>
          <w:sz w:val="22"/>
          <w:szCs w:val="22"/>
        </w:rPr>
        <w:t xml:space="preserve"> </w:t>
      </w:r>
    </w:p>
    <w:p w14:paraId="4A448F77" w14:textId="3FC6DD09" w:rsidR="001F7977" w:rsidRPr="001F7977" w:rsidRDefault="001F7977" w:rsidP="001F7977">
      <w:pPr>
        <w:rPr>
          <w:rFonts w:ascii="Roboto" w:eastAsia="Calibri" w:hAnsi="Roboto" w:cs="Arial"/>
          <w:sz w:val="22"/>
          <w:szCs w:val="22"/>
        </w:rPr>
      </w:pPr>
      <w:r>
        <w:rPr>
          <w:rFonts w:ascii="Roboto" w:eastAsia="Calibri" w:hAnsi="Roboto" w:cs="Arial"/>
          <w:sz w:val="22"/>
          <w:szCs w:val="22"/>
        </w:rPr>
        <w:t xml:space="preserve">U nastavku se nalaze pobrojane aktivnosti, dok se obrazloženja istog nalaze u Izvješću. </w:t>
      </w:r>
    </w:p>
    <w:p w14:paraId="4340B627" w14:textId="77777777" w:rsidR="001F7977" w:rsidRPr="001F7977" w:rsidRDefault="001F7977" w:rsidP="002846FB">
      <w:pPr>
        <w:numPr>
          <w:ilvl w:val="0"/>
          <w:numId w:val="18"/>
        </w:numPr>
        <w:ind w:left="1125"/>
        <w:rPr>
          <w:rFonts w:ascii="Roboto" w:eastAsia="Calibri" w:hAnsi="Roboto" w:cs="Arial"/>
          <w:i/>
          <w:iCs/>
          <w:sz w:val="22"/>
          <w:szCs w:val="22"/>
        </w:rPr>
      </w:pPr>
      <w:r w:rsidRPr="001F7977">
        <w:rPr>
          <w:rFonts w:ascii="Roboto" w:eastAsia="Calibri" w:hAnsi="Roboto" w:cs="Arial"/>
          <w:i/>
          <w:iCs/>
          <w:sz w:val="22"/>
          <w:szCs w:val="22"/>
        </w:rPr>
        <w:t>Ciljano analitičko praćenje proaktivne objave informacija</w:t>
      </w:r>
    </w:p>
    <w:p w14:paraId="125FF1B5" w14:textId="77777777" w:rsidR="001F7977" w:rsidRPr="001F7977" w:rsidRDefault="001F7977" w:rsidP="002846FB">
      <w:pPr>
        <w:numPr>
          <w:ilvl w:val="0"/>
          <w:numId w:val="18"/>
        </w:numPr>
        <w:ind w:left="1125"/>
        <w:rPr>
          <w:rFonts w:ascii="Roboto" w:eastAsia="Calibri" w:hAnsi="Roboto" w:cs="Arial"/>
          <w:i/>
          <w:iCs/>
          <w:sz w:val="22"/>
          <w:szCs w:val="22"/>
        </w:rPr>
      </w:pPr>
      <w:r w:rsidRPr="001F7977">
        <w:rPr>
          <w:rFonts w:ascii="Roboto" w:eastAsia="Calibri" w:hAnsi="Roboto" w:cs="Arial"/>
          <w:i/>
          <w:iCs/>
          <w:sz w:val="22"/>
          <w:szCs w:val="22"/>
        </w:rPr>
        <w:t xml:space="preserve">Provedba praćenja objave skupova podataka za ponovnu uporabu </w:t>
      </w:r>
      <w:proofErr w:type="spellStart"/>
      <w:r w:rsidRPr="001F7977">
        <w:rPr>
          <w:rFonts w:ascii="Roboto" w:eastAsia="Calibri" w:hAnsi="Roboto" w:cs="Arial"/>
          <w:i/>
          <w:iCs/>
          <w:sz w:val="22"/>
          <w:szCs w:val="22"/>
        </w:rPr>
        <w:t>asset</w:t>
      </w:r>
      <w:proofErr w:type="spellEnd"/>
      <w:r w:rsidRPr="001F7977">
        <w:rPr>
          <w:rFonts w:ascii="Roboto" w:eastAsia="Calibri" w:hAnsi="Roboto" w:cs="Arial"/>
          <w:i/>
          <w:iCs/>
          <w:sz w:val="22"/>
          <w:szCs w:val="22"/>
        </w:rPr>
        <w:t xml:space="preserve"> lista </w:t>
      </w:r>
    </w:p>
    <w:p w14:paraId="74EF5448" w14:textId="77777777" w:rsidR="001F7977" w:rsidRPr="001F7977" w:rsidRDefault="001F7977" w:rsidP="002846FB">
      <w:pPr>
        <w:numPr>
          <w:ilvl w:val="0"/>
          <w:numId w:val="19"/>
        </w:numPr>
        <w:ind w:left="1125"/>
        <w:rPr>
          <w:rFonts w:ascii="Roboto" w:eastAsia="Calibri" w:hAnsi="Roboto" w:cs="Arial"/>
          <w:i/>
          <w:iCs/>
          <w:sz w:val="22"/>
          <w:szCs w:val="22"/>
        </w:rPr>
      </w:pPr>
      <w:r w:rsidRPr="001F7977">
        <w:rPr>
          <w:rFonts w:ascii="Roboto" w:eastAsia="Calibri" w:hAnsi="Roboto" w:cs="Arial"/>
          <w:i/>
          <w:iCs/>
          <w:sz w:val="22"/>
          <w:szCs w:val="22"/>
        </w:rPr>
        <w:t xml:space="preserve">Provedba praćenja savjetovanja s javnošću </w:t>
      </w:r>
    </w:p>
    <w:p w14:paraId="25E4A58D" w14:textId="77777777" w:rsidR="001F7977" w:rsidRPr="001F7977" w:rsidRDefault="001F7977" w:rsidP="002846FB">
      <w:pPr>
        <w:numPr>
          <w:ilvl w:val="0"/>
          <w:numId w:val="19"/>
        </w:numPr>
        <w:ind w:left="1125"/>
        <w:rPr>
          <w:rFonts w:ascii="Roboto" w:eastAsia="Calibri" w:hAnsi="Roboto" w:cs="Arial"/>
          <w:i/>
          <w:iCs/>
          <w:sz w:val="22"/>
          <w:szCs w:val="22"/>
        </w:rPr>
      </w:pPr>
      <w:r w:rsidRPr="001F7977">
        <w:rPr>
          <w:rFonts w:ascii="Roboto" w:eastAsia="Calibri" w:hAnsi="Roboto" w:cs="Arial"/>
          <w:i/>
          <w:iCs/>
          <w:sz w:val="22"/>
          <w:szCs w:val="22"/>
        </w:rPr>
        <w:t>Provedba praćenja ispunjenja obveze osiguranja javnosti rada na sjednicama tijela</w:t>
      </w:r>
    </w:p>
    <w:p w14:paraId="267F4759" w14:textId="77777777" w:rsidR="001F7977" w:rsidRPr="001F7977" w:rsidRDefault="001F7977" w:rsidP="002846FB">
      <w:pPr>
        <w:numPr>
          <w:ilvl w:val="0"/>
          <w:numId w:val="18"/>
        </w:numPr>
        <w:ind w:left="1125"/>
        <w:rPr>
          <w:rFonts w:ascii="Roboto" w:eastAsia="Calibri" w:hAnsi="Roboto" w:cs="Arial"/>
          <w:i/>
          <w:iCs/>
          <w:sz w:val="22"/>
          <w:szCs w:val="22"/>
        </w:rPr>
      </w:pPr>
      <w:r w:rsidRPr="001F7977">
        <w:rPr>
          <w:rFonts w:ascii="Roboto" w:eastAsia="Calibri" w:hAnsi="Roboto" w:cs="Arial"/>
          <w:i/>
          <w:iCs/>
          <w:sz w:val="22"/>
          <w:szCs w:val="22"/>
        </w:rPr>
        <w:lastRenderedPageBreak/>
        <w:t xml:space="preserve">Revidiranje postojećih uputa i smjernica za primjenu Zakona </w:t>
      </w:r>
    </w:p>
    <w:p w14:paraId="7BAFB69A" w14:textId="77777777" w:rsidR="001F7977" w:rsidRPr="001F7977" w:rsidRDefault="001F7977" w:rsidP="002846FB">
      <w:pPr>
        <w:numPr>
          <w:ilvl w:val="0"/>
          <w:numId w:val="18"/>
        </w:numPr>
        <w:ind w:left="1125"/>
        <w:rPr>
          <w:rFonts w:ascii="Roboto" w:eastAsia="Calibri" w:hAnsi="Roboto" w:cs="Arial"/>
          <w:i/>
          <w:iCs/>
          <w:sz w:val="22"/>
          <w:szCs w:val="22"/>
        </w:rPr>
      </w:pPr>
      <w:r w:rsidRPr="001F7977">
        <w:rPr>
          <w:rFonts w:ascii="Roboto" w:eastAsia="Calibri" w:hAnsi="Roboto" w:cs="Arial"/>
          <w:i/>
          <w:iCs/>
          <w:sz w:val="22"/>
          <w:szCs w:val="22"/>
        </w:rPr>
        <w:t>Izrada Upute za korisnike prava na pristup informacijama o načinu i rokovima za podnošenje žalbe i prigovora</w:t>
      </w:r>
    </w:p>
    <w:p w14:paraId="6F495247" w14:textId="77777777" w:rsidR="001F7977" w:rsidRPr="001F7977" w:rsidRDefault="001F7977" w:rsidP="002846FB">
      <w:pPr>
        <w:numPr>
          <w:ilvl w:val="0"/>
          <w:numId w:val="18"/>
        </w:numPr>
        <w:ind w:left="1125"/>
        <w:rPr>
          <w:rFonts w:ascii="Roboto" w:eastAsia="Calibri" w:hAnsi="Roboto" w:cs="Arial"/>
          <w:sz w:val="22"/>
          <w:szCs w:val="22"/>
        </w:rPr>
      </w:pPr>
      <w:r w:rsidRPr="001F7977">
        <w:rPr>
          <w:rFonts w:ascii="Roboto" w:eastAsia="Calibri" w:hAnsi="Roboto" w:cs="Arial"/>
          <w:i/>
          <w:iCs/>
          <w:sz w:val="22"/>
          <w:szCs w:val="22"/>
        </w:rPr>
        <w:t>Nastavak s objavom sažetaka najvažnijih odluka i mišljenja te njihovih sažetaka</w:t>
      </w:r>
    </w:p>
    <w:p w14:paraId="233C56CD" w14:textId="77777777" w:rsidR="001F7977" w:rsidRPr="001F7977" w:rsidRDefault="001F7977" w:rsidP="002846FB">
      <w:pPr>
        <w:numPr>
          <w:ilvl w:val="0"/>
          <w:numId w:val="18"/>
        </w:numPr>
        <w:ind w:left="1125"/>
        <w:rPr>
          <w:rFonts w:ascii="Roboto" w:eastAsia="Calibri" w:hAnsi="Roboto" w:cs="Arial"/>
          <w:i/>
          <w:iCs/>
          <w:sz w:val="22"/>
          <w:szCs w:val="22"/>
        </w:rPr>
      </w:pPr>
      <w:r w:rsidRPr="001F7977">
        <w:rPr>
          <w:rFonts w:ascii="Roboto" w:eastAsia="Calibri" w:hAnsi="Roboto" w:cs="Arial"/>
          <w:i/>
          <w:iCs/>
          <w:sz w:val="22"/>
          <w:szCs w:val="22"/>
        </w:rPr>
        <w:t xml:space="preserve">Provedba edukativnih i ostalih aktivnosti </w:t>
      </w:r>
    </w:p>
    <w:p w14:paraId="7349EF4A" w14:textId="77777777" w:rsidR="001F7977" w:rsidRPr="001F7977" w:rsidRDefault="001F7977" w:rsidP="002846FB">
      <w:pPr>
        <w:numPr>
          <w:ilvl w:val="0"/>
          <w:numId w:val="20"/>
        </w:numPr>
        <w:ind w:left="1125"/>
        <w:rPr>
          <w:rFonts w:ascii="Roboto" w:eastAsia="Calibri" w:hAnsi="Roboto" w:cs="Arial"/>
          <w:i/>
          <w:iCs/>
          <w:sz w:val="22"/>
          <w:szCs w:val="22"/>
        </w:rPr>
      </w:pPr>
      <w:r w:rsidRPr="001F7977">
        <w:rPr>
          <w:rFonts w:ascii="Roboto" w:eastAsia="Calibri" w:hAnsi="Roboto" w:cs="Arial"/>
          <w:i/>
          <w:iCs/>
          <w:sz w:val="22"/>
          <w:szCs w:val="22"/>
        </w:rPr>
        <w:t xml:space="preserve">Nastavak </w:t>
      </w:r>
      <w:r w:rsidRPr="001F7977">
        <w:rPr>
          <w:rFonts w:ascii="Roboto" w:eastAsia="Calibri" w:hAnsi="Roboto" w:cs="Arial"/>
          <w:sz w:val="22"/>
          <w:szCs w:val="22"/>
        </w:rPr>
        <w:t xml:space="preserve">suradnje u okviru Inicijative 2020 </w:t>
      </w:r>
    </w:p>
    <w:p w14:paraId="723B79D7" w14:textId="77777777" w:rsidR="001F7977" w:rsidRPr="001F7977" w:rsidRDefault="001F7977" w:rsidP="002846FB">
      <w:pPr>
        <w:numPr>
          <w:ilvl w:val="0"/>
          <w:numId w:val="20"/>
        </w:numPr>
        <w:ind w:left="1125"/>
        <w:rPr>
          <w:rFonts w:ascii="Roboto" w:eastAsia="Calibri" w:hAnsi="Roboto" w:cs="Arial"/>
          <w:i/>
          <w:iCs/>
          <w:sz w:val="22"/>
          <w:szCs w:val="22"/>
        </w:rPr>
      </w:pPr>
      <w:r w:rsidRPr="001F7977">
        <w:rPr>
          <w:rFonts w:ascii="Roboto" w:eastAsia="Calibri" w:hAnsi="Roboto" w:cs="Arial"/>
          <w:i/>
          <w:iCs/>
          <w:sz w:val="22"/>
          <w:szCs w:val="22"/>
        </w:rPr>
        <w:t>Ostale aktivnosti</w:t>
      </w:r>
    </w:p>
    <w:bookmarkEnd w:id="27"/>
    <w:p w14:paraId="458AAB50" w14:textId="77777777" w:rsidR="00C86404" w:rsidRPr="000D4EBA" w:rsidRDefault="00C86404" w:rsidP="001F7977">
      <w:pPr>
        <w:rPr>
          <w:rFonts w:ascii="Roboto" w:hAnsi="Roboto" w:cs="Arial"/>
          <w:i/>
          <w:iCs/>
          <w:sz w:val="22"/>
          <w:szCs w:val="22"/>
        </w:rPr>
      </w:pPr>
    </w:p>
    <w:p w14:paraId="73DB02DC" w14:textId="77777777" w:rsidR="00C86404" w:rsidRPr="000D4EBA" w:rsidRDefault="00C86404" w:rsidP="001F7977">
      <w:pPr>
        <w:rPr>
          <w:rFonts w:ascii="Roboto" w:hAnsi="Roboto" w:cs="Arial"/>
          <w:i/>
          <w:iCs/>
          <w:sz w:val="22"/>
          <w:szCs w:val="22"/>
        </w:rPr>
      </w:pPr>
    </w:p>
    <w:p w14:paraId="3409BA38" w14:textId="77777777" w:rsidR="00C86404" w:rsidRPr="000D4EBA" w:rsidRDefault="00C86404" w:rsidP="001F7977">
      <w:pPr>
        <w:rPr>
          <w:rFonts w:ascii="Roboto" w:hAnsi="Roboto" w:cs="Arial"/>
          <w:i/>
          <w:iCs/>
          <w:sz w:val="22"/>
          <w:szCs w:val="22"/>
        </w:rPr>
      </w:pPr>
    </w:p>
    <w:p w14:paraId="7439B967" w14:textId="77777777" w:rsidR="00C86404" w:rsidRPr="000D4EBA" w:rsidRDefault="00C86404" w:rsidP="001F7977">
      <w:pPr>
        <w:rPr>
          <w:rFonts w:ascii="Roboto" w:hAnsi="Roboto" w:cs="Arial"/>
          <w:i/>
          <w:iCs/>
          <w:sz w:val="22"/>
          <w:szCs w:val="22"/>
        </w:rPr>
      </w:pPr>
    </w:p>
    <w:p w14:paraId="658A940F" w14:textId="77777777" w:rsidR="00C86404" w:rsidRPr="000D4EBA" w:rsidRDefault="00C86404" w:rsidP="001F7977">
      <w:pPr>
        <w:rPr>
          <w:rFonts w:ascii="Roboto" w:hAnsi="Roboto" w:cs="Arial"/>
          <w:i/>
          <w:iCs/>
          <w:sz w:val="22"/>
          <w:szCs w:val="22"/>
        </w:rPr>
      </w:pPr>
    </w:p>
    <w:p w14:paraId="105EF62B" w14:textId="77777777" w:rsidR="00C86404" w:rsidRPr="000D4EBA" w:rsidRDefault="00C86404" w:rsidP="001F7977">
      <w:pPr>
        <w:rPr>
          <w:rFonts w:ascii="Roboto" w:hAnsi="Roboto" w:cs="Arial"/>
          <w:i/>
          <w:iCs/>
          <w:sz w:val="22"/>
          <w:szCs w:val="22"/>
        </w:rPr>
      </w:pPr>
    </w:p>
    <w:p w14:paraId="2616869F" w14:textId="77777777" w:rsidR="00C86404" w:rsidRPr="000D4EBA" w:rsidRDefault="00C86404" w:rsidP="001F7977">
      <w:pPr>
        <w:rPr>
          <w:rFonts w:ascii="Roboto" w:hAnsi="Roboto" w:cs="Arial"/>
          <w:i/>
          <w:iCs/>
          <w:sz w:val="22"/>
          <w:szCs w:val="22"/>
        </w:rPr>
      </w:pPr>
    </w:p>
    <w:p w14:paraId="493741AD" w14:textId="77777777" w:rsidR="00C86404" w:rsidRPr="000D4EBA" w:rsidRDefault="00C86404" w:rsidP="001F7977">
      <w:pPr>
        <w:rPr>
          <w:rFonts w:ascii="Roboto" w:hAnsi="Roboto" w:cs="Arial"/>
          <w:i/>
          <w:iCs/>
          <w:sz w:val="22"/>
          <w:szCs w:val="22"/>
        </w:rPr>
      </w:pPr>
    </w:p>
    <w:p w14:paraId="67DF615D" w14:textId="77777777" w:rsidR="00C86404" w:rsidRPr="000D4EBA" w:rsidRDefault="00C86404" w:rsidP="001F7977">
      <w:pPr>
        <w:rPr>
          <w:rFonts w:ascii="Roboto" w:hAnsi="Roboto" w:cs="Arial"/>
          <w:i/>
          <w:iCs/>
          <w:sz w:val="22"/>
          <w:szCs w:val="22"/>
        </w:rPr>
      </w:pPr>
    </w:p>
    <w:p w14:paraId="7FA70C9D" w14:textId="77777777" w:rsidR="00C86404" w:rsidRPr="000D4EBA" w:rsidRDefault="00C86404" w:rsidP="001F7977">
      <w:pPr>
        <w:rPr>
          <w:rFonts w:ascii="Roboto" w:hAnsi="Roboto" w:cs="Arial"/>
          <w:i/>
          <w:iCs/>
          <w:sz w:val="22"/>
          <w:szCs w:val="22"/>
        </w:rPr>
      </w:pPr>
    </w:p>
    <w:p w14:paraId="469BEF73" w14:textId="77777777" w:rsidR="00C86404" w:rsidRPr="000D4EBA" w:rsidRDefault="00C86404" w:rsidP="001F7977">
      <w:pPr>
        <w:rPr>
          <w:rFonts w:ascii="Roboto" w:hAnsi="Roboto" w:cs="Arial"/>
          <w:i/>
          <w:iCs/>
          <w:sz w:val="22"/>
          <w:szCs w:val="22"/>
        </w:rPr>
      </w:pPr>
    </w:p>
    <w:p w14:paraId="673DF7E6" w14:textId="77777777" w:rsidR="00C86404" w:rsidRPr="000D4EBA" w:rsidRDefault="00C86404" w:rsidP="001F7977">
      <w:pPr>
        <w:rPr>
          <w:rFonts w:ascii="Roboto" w:hAnsi="Roboto" w:cs="Arial"/>
          <w:i/>
          <w:iCs/>
          <w:sz w:val="22"/>
          <w:szCs w:val="22"/>
        </w:rPr>
      </w:pPr>
    </w:p>
    <w:p w14:paraId="16F90DC6" w14:textId="77777777" w:rsidR="00C86404" w:rsidRPr="000D4EBA" w:rsidRDefault="00C86404" w:rsidP="001F7977">
      <w:pPr>
        <w:rPr>
          <w:rFonts w:ascii="Roboto" w:hAnsi="Roboto" w:cs="Arial"/>
          <w:i/>
          <w:iCs/>
          <w:sz w:val="22"/>
          <w:szCs w:val="22"/>
        </w:rPr>
      </w:pPr>
    </w:p>
    <w:p w14:paraId="00C7593D" w14:textId="77777777" w:rsidR="00C86404" w:rsidRPr="000D4EBA" w:rsidRDefault="00C86404" w:rsidP="001F7977">
      <w:pPr>
        <w:rPr>
          <w:rFonts w:ascii="Roboto" w:hAnsi="Roboto" w:cs="Arial"/>
          <w:i/>
          <w:iCs/>
          <w:sz w:val="22"/>
          <w:szCs w:val="22"/>
        </w:rPr>
      </w:pPr>
    </w:p>
    <w:p w14:paraId="0743B8B8" w14:textId="77777777" w:rsidR="00C86404" w:rsidRPr="000D4EBA" w:rsidRDefault="00C86404" w:rsidP="001F7977">
      <w:pPr>
        <w:rPr>
          <w:rFonts w:ascii="Roboto" w:hAnsi="Roboto" w:cs="Arial"/>
          <w:i/>
          <w:iCs/>
          <w:sz w:val="22"/>
          <w:szCs w:val="22"/>
        </w:rPr>
      </w:pPr>
    </w:p>
    <w:p w14:paraId="3D29659E" w14:textId="77777777" w:rsidR="00C86404" w:rsidRPr="000D4EBA" w:rsidRDefault="00C86404" w:rsidP="001F7977">
      <w:pPr>
        <w:rPr>
          <w:rFonts w:ascii="Roboto" w:hAnsi="Roboto" w:cs="Arial"/>
          <w:b/>
          <w:bCs/>
          <w:sz w:val="22"/>
          <w:szCs w:val="22"/>
        </w:rPr>
      </w:pPr>
      <w:r w:rsidRPr="000D4EBA">
        <w:rPr>
          <w:rFonts w:ascii="Roboto" w:hAnsi="Roboto" w:cs="Arial"/>
          <w:b/>
          <w:bCs/>
          <w:sz w:val="22"/>
          <w:szCs w:val="22"/>
        </w:rPr>
        <w:t xml:space="preserve">Povjerenik za informiranje </w:t>
      </w:r>
    </w:p>
    <w:p w14:paraId="782C2189" w14:textId="4F2F9F43" w:rsidR="00C86404" w:rsidRPr="000D4EBA" w:rsidRDefault="00C86404" w:rsidP="001F7977">
      <w:pPr>
        <w:rPr>
          <w:rFonts w:ascii="Roboto" w:hAnsi="Roboto" w:cs="Arial"/>
          <w:b/>
          <w:bCs/>
          <w:sz w:val="22"/>
          <w:szCs w:val="22"/>
        </w:rPr>
      </w:pPr>
      <w:r w:rsidRPr="000D4EBA">
        <w:rPr>
          <w:rFonts w:ascii="Roboto" w:hAnsi="Roboto" w:cs="Arial"/>
          <w:b/>
          <w:bCs/>
          <w:sz w:val="22"/>
          <w:szCs w:val="22"/>
        </w:rPr>
        <w:t>Sažetak izvješća o provedbi Zakona o pravu na pristup informacijama za 202</w:t>
      </w:r>
      <w:r>
        <w:rPr>
          <w:rFonts w:ascii="Roboto" w:hAnsi="Roboto" w:cs="Arial"/>
          <w:b/>
          <w:bCs/>
          <w:sz w:val="22"/>
          <w:szCs w:val="22"/>
        </w:rPr>
        <w:t>5</w:t>
      </w:r>
      <w:r w:rsidRPr="000D4EBA">
        <w:rPr>
          <w:rFonts w:ascii="Roboto" w:hAnsi="Roboto" w:cs="Arial"/>
          <w:b/>
          <w:bCs/>
          <w:sz w:val="22"/>
          <w:szCs w:val="22"/>
        </w:rPr>
        <w:t>. godinu</w:t>
      </w:r>
    </w:p>
    <w:p w14:paraId="64811F0E" w14:textId="516A5A32" w:rsidR="00C86404" w:rsidRPr="000D4EBA" w:rsidRDefault="00C86404" w:rsidP="001F7977">
      <w:pPr>
        <w:rPr>
          <w:rFonts w:ascii="Roboto" w:hAnsi="Roboto" w:cs="Arial"/>
          <w:b/>
          <w:bCs/>
          <w:sz w:val="22"/>
          <w:szCs w:val="22"/>
        </w:rPr>
      </w:pPr>
      <w:r w:rsidRPr="000D4EBA">
        <w:rPr>
          <w:rFonts w:ascii="Roboto" w:hAnsi="Roboto" w:cs="Arial"/>
          <w:b/>
          <w:bCs/>
          <w:sz w:val="22"/>
          <w:szCs w:val="22"/>
        </w:rPr>
        <w:t>Zagreb, ožujak 202</w:t>
      </w:r>
      <w:r>
        <w:rPr>
          <w:rFonts w:ascii="Roboto" w:hAnsi="Roboto" w:cs="Arial"/>
          <w:b/>
          <w:bCs/>
          <w:sz w:val="22"/>
          <w:szCs w:val="22"/>
        </w:rPr>
        <w:t>6</w:t>
      </w:r>
      <w:r w:rsidRPr="000D4EBA">
        <w:rPr>
          <w:rFonts w:ascii="Roboto" w:hAnsi="Roboto" w:cs="Arial"/>
          <w:b/>
          <w:bCs/>
          <w:sz w:val="22"/>
          <w:szCs w:val="22"/>
        </w:rPr>
        <w:t>.</w:t>
      </w:r>
    </w:p>
    <w:p w14:paraId="7AAFE157" w14:textId="77777777" w:rsidR="00C86404" w:rsidRPr="000D4EBA" w:rsidRDefault="00C86404" w:rsidP="001F7977">
      <w:pPr>
        <w:rPr>
          <w:rFonts w:ascii="Roboto" w:hAnsi="Roboto" w:cs="Arial"/>
          <w:sz w:val="22"/>
          <w:szCs w:val="22"/>
        </w:rPr>
      </w:pPr>
    </w:p>
    <w:p w14:paraId="4864CB87" w14:textId="77777777" w:rsidR="00C86404" w:rsidRPr="000D4EBA" w:rsidRDefault="00C86404" w:rsidP="001F7977">
      <w:pPr>
        <w:rPr>
          <w:rFonts w:ascii="Roboto" w:hAnsi="Roboto" w:cs="Arial"/>
          <w:sz w:val="22"/>
          <w:szCs w:val="22"/>
        </w:rPr>
      </w:pPr>
      <w:r w:rsidRPr="000D4EBA">
        <w:rPr>
          <w:rFonts w:ascii="Roboto" w:hAnsi="Roboto" w:cs="Arial"/>
          <w:sz w:val="22"/>
          <w:szCs w:val="22"/>
        </w:rPr>
        <w:t>Pravna osnova:</w:t>
      </w:r>
    </w:p>
    <w:p w14:paraId="5DE0DCDF" w14:textId="77777777" w:rsidR="00C86404" w:rsidRPr="00EC7230" w:rsidRDefault="00C86404" w:rsidP="001F7977">
      <w:pPr>
        <w:pStyle w:val="Odlomakpopisa"/>
        <w:numPr>
          <w:ilvl w:val="0"/>
          <w:numId w:val="22"/>
        </w:numPr>
        <w:rPr>
          <w:rFonts w:ascii="Roboto" w:hAnsi="Roboto" w:cs="Arial"/>
          <w:szCs w:val="22"/>
        </w:rPr>
      </w:pPr>
      <w:r>
        <w:rPr>
          <w:rFonts w:ascii="Roboto" w:hAnsi="Roboto" w:cs="Arial"/>
          <w:szCs w:val="22"/>
        </w:rPr>
        <w:t>Č</w:t>
      </w:r>
      <w:r w:rsidRPr="00EC7230">
        <w:rPr>
          <w:rFonts w:ascii="Roboto" w:hAnsi="Roboto" w:cs="Arial"/>
          <w:szCs w:val="22"/>
        </w:rPr>
        <w:t xml:space="preserve">lanak 60. stavak </w:t>
      </w:r>
      <w:r>
        <w:rPr>
          <w:rFonts w:ascii="Roboto" w:hAnsi="Roboto" w:cs="Arial"/>
          <w:szCs w:val="22"/>
        </w:rPr>
        <w:t>4</w:t>
      </w:r>
      <w:r w:rsidRPr="00EC7230">
        <w:rPr>
          <w:rFonts w:ascii="Roboto" w:hAnsi="Roboto" w:cs="Arial"/>
          <w:szCs w:val="22"/>
        </w:rPr>
        <w:t>. Zakona o pravu na pristup informacijama („Narodne novine“, broj 25/13, 85/15 i 69/22)</w:t>
      </w:r>
    </w:p>
    <w:p w14:paraId="16864742" w14:textId="77777777" w:rsidR="00C86404" w:rsidRPr="00EC7230" w:rsidRDefault="00C86404" w:rsidP="001F7977">
      <w:pPr>
        <w:pStyle w:val="Odlomakpopisa"/>
        <w:numPr>
          <w:ilvl w:val="0"/>
          <w:numId w:val="22"/>
        </w:numPr>
        <w:rPr>
          <w:rFonts w:ascii="Roboto" w:hAnsi="Roboto" w:cs="Arial"/>
          <w:szCs w:val="22"/>
        </w:rPr>
      </w:pPr>
      <w:r>
        <w:rPr>
          <w:rFonts w:ascii="Roboto" w:hAnsi="Roboto" w:cs="Arial"/>
          <w:szCs w:val="22"/>
        </w:rPr>
        <w:t>Č</w:t>
      </w:r>
      <w:r w:rsidRPr="00EC7230">
        <w:rPr>
          <w:rFonts w:ascii="Roboto" w:hAnsi="Roboto" w:cs="Arial"/>
          <w:szCs w:val="22"/>
        </w:rPr>
        <w:t>lanak 214.</w:t>
      </w:r>
      <w:r>
        <w:rPr>
          <w:rFonts w:ascii="Roboto" w:hAnsi="Roboto" w:cs="Arial"/>
          <w:szCs w:val="22"/>
        </w:rPr>
        <w:t xml:space="preserve"> i 215. </w:t>
      </w:r>
      <w:r w:rsidRPr="00EC7230">
        <w:rPr>
          <w:rFonts w:ascii="Roboto" w:hAnsi="Roboto" w:cs="Arial"/>
          <w:szCs w:val="22"/>
        </w:rPr>
        <w:t xml:space="preserve"> Poslovnika Hrvatskog sabora („Narodne novine“, broj 81/13, 113/16, 69/17, 29/18, 53/20, 119/20, 123/20 i 86/23) </w:t>
      </w:r>
    </w:p>
    <w:p w14:paraId="38686633" w14:textId="77777777" w:rsidR="00C86404" w:rsidRPr="000D4EBA" w:rsidRDefault="00C86404" w:rsidP="001F7977">
      <w:pPr>
        <w:rPr>
          <w:rFonts w:ascii="Roboto" w:hAnsi="Roboto" w:cs="Arial"/>
          <w:sz w:val="22"/>
          <w:szCs w:val="22"/>
          <w:highlight w:val="yellow"/>
        </w:rPr>
      </w:pPr>
    </w:p>
    <w:p w14:paraId="6F04D6C7" w14:textId="47068200" w:rsidR="002F04C7" w:rsidRPr="00C86404" w:rsidRDefault="00C86404" w:rsidP="001F7977">
      <w:pPr>
        <w:rPr>
          <w:rFonts w:ascii="Roboto" w:hAnsi="Roboto" w:cs="Arial"/>
          <w:sz w:val="22"/>
          <w:szCs w:val="22"/>
        </w:rPr>
      </w:pPr>
      <w:r w:rsidRPr="000D4EBA">
        <w:rPr>
          <w:rFonts w:ascii="Roboto" w:hAnsi="Roboto" w:cs="Arial"/>
          <w:sz w:val="22"/>
          <w:szCs w:val="22"/>
        </w:rPr>
        <w:t xml:space="preserve">Broj stranica: </w:t>
      </w:r>
      <w:r w:rsidR="007B2495">
        <w:rPr>
          <w:rFonts w:ascii="Roboto" w:hAnsi="Roboto" w:cs="Arial"/>
          <w:sz w:val="22"/>
          <w:szCs w:val="22"/>
        </w:rPr>
        <w:t>2</w:t>
      </w:r>
      <w:r w:rsidR="00CA6ECE">
        <w:rPr>
          <w:rFonts w:ascii="Roboto" w:hAnsi="Roboto" w:cs="Arial"/>
          <w:sz w:val="22"/>
          <w:szCs w:val="22"/>
        </w:rPr>
        <w:t>8</w:t>
      </w:r>
    </w:p>
    <w:sectPr w:rsidR="002F04C7" w:rsidRPr="00C86404" w:rsidSect="00AE715F">
      <w:headerReference w:type="default" r:id="rId15"/>
      <w:footerReference w:type="default" r:id="rId16"/>
      <w:pgSz w:w="11906" w:h="16838"/>
      <w:pgMar w:top="1654" w:right="1417" w:bottom="1417" w:left="1417" w:header="993" w:footer="21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90638" w14:textId="77777777" w:rsidR="00497921" w:rsidRDefault="00497921" w:rsidP="000E0533">
      <w:r>
        <w:separator/>
      </w:r>
    </w:p>
  </w:endnote>
  <w:endnote w:type="continuationSeparator" w:id="0">
    <w:p w14:paraId="4A7EC1EA" w14:textId="77777777" w:rsidR="00497921" w:rsidRDefault="00497921" w:rsidP="000E0533">
      <w:r>
        <w:continuationSeparator/>
      </w:r>
    </w:p>
  </w:endnote>
  <w:endnote w:type="continuationNotice" w:id="1">
    <w:p w14:paraId="293A02AB" w14:textId="77777777" w:rsidR="00497921" w:rsidRDefault="004979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embedRegular r:id="rId1" w:fontKey="{1180D2DC-80F2-49A5-B83C-E9559FEBE29C}"/>
    <w:embedBold r:id="rId2" w:fontKey="{1EB80A3F-3FEF-4AEC-98B1-E790B34B4F64}"/>
    <w:embedItalic r:id="rId3" w:fontKey="{8B0C406A-E194-4661-8537-E57DADBB5DE6}"/>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oboto Medium">
    <w:charset w:val="00"/>
    <w:family w:val="auto"/>
    <w:pitch w:val="variable"/>
    <w:sig w:usb0="E0000AFF" w:usb1="5000217F" w:usb2="00000021" w:usb3="00000000" w:csb0="0000019F" w:csb1="00000000"/>
    <w:embedRegular r:id="rId4" w:subsetted="1" w:fontKey="{7F44710D-AB9C-4BC9-9D03-42CE2719B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12B36" w14:textId="77777777" w:rsidR="00F03762" w:rsidRPr="00A2633D" w:rsidRDefault="00F03762" w:rsidP="00226CFE">
    <w:pPr>
      <w:pStyle w:val="Podnoje"/>
      <w:pBdr>
        <w:top w:val="single" w:sz="4" w:space="1" w:color="D9D9D9"/>
      </w:pBdr>
      <w:jc w:val="center"/>
      <w:rPr>
        <w:b/>
      </w:rPr>
    </w:pPr>
  </w:p>
  <w:p w14:paraId="7773A549" w14:textId="77777777" w:rsidR="00F03762" w:rsidRDefault="00F03762">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4EAA0" w14:textId="45CAC7F9" w:rsidR="00F03762" w:rsidRPr="00F0604A" w:rsidRDefault="00F03762" w:rsidP="00226CFE">
    <w:pPr>
      <w:pStyle w:val="Podnoje"/>
      <w:pBdr>
        <w:top w:val="single" w:sz="4" w:space="1" w:color="D9D9D9"/>
      </w:pBdr>
      <w:jc w:val="center"/>
      <w:rPr>
        <w:rFonts w:ascii="Roboto" w:hAnsi="Roboto"/>
        <w:sz w:val="22"/>
        <w:szCs w:val="22"/>
      </w:rPr>
    </w:pPr>
    <w:r w:rsidRPr="00F0604A">
      <w:rPr>
        <w:rFonts w:ascii="Roboto" w:hAnsi="Roboto"/>
        <w:sz w:val="22"/>
        <w:szCs w:val="22"/>
      </w:rPr>
      <w:fldChar w:fldCharType="begin"/>
    </w:r>
    <w:r w:rsidRPr="00F0604A">
      <w:rPr>
        <w:rFonts w:ascii="Roboto" w:hAnsi="Roboto"/>
        <w:sz w:val="22"/>
        <w:szCs w:val="22"/>
      </w:rPr>
      <w:instrText xml:space="preserve"> PAGE   \* MERGEFORMAT </w:instrText>
    </w:r>
    <w:r w:rsidRPr="00F0604A">
      <w:rPr>
        <w:rFonts w:ascii="Roboto" w:hAnsi="Roboto"/>
        <w:sz w:val="22"/>
        <w:szCs w:val="22"/>
      </w:rPr>
      <w:fldChar w:fldCharType="separate"/>
    </w:r>
    <w:r w:rsidRPr="00F0604A">
      <w:rPr>
        <w:rFonts w:ascii="Roboto" w:hAnsi="Roboto"/>
        <w:noProof/>
        <w:sz w:val="22"/>
        <w:szCs w:val="22"/>
      </w:rPr>
      <w:t>66</w:t>
    </w:r>
    <w:r w:rsidRPr="00F0604A">
      <w:rPr>
        <w:rFonts w:ascii="Roboto" w:hAnsi="Roboto"/>
        <w:sz w:val="22"/>
        <w:szCs w:val="22"/>
      </w:rPr>
      <w:fldChar w:fldCharType="end"/>
    </w:r>
  </w:p>
  <w:p w14:paraId="6829E1CD" w14:textId="77777777" w:rsidR="00F03762" w:rsidRDefault="00F0376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C4246" w14:textId="77777777" w:rsidR="00497921" w:rsidRDefault="00497921" w:rsidP="000E0533">
      <w:r>
        <w:separator/>
      </w:r>
    </w:p>
  </w:footnote>
  <w:footnote w:type="continuationSeparator" w:id="0">
    <w:p w14:paraId="0E5942DC" w14:textId="77777777" w:rsidR="00497921" w:rsidRDefault="00497921" w:rsidP="000E0533">
      <w:r>
        <w:continuationSeparator/>
      </w:r>
    </w:p>
  </w:footnote>
  <w:footnote w:type="continuationNotice" w:id="1">
    <w:p w14:paraId="2BA4778E" w14:textId="77777777" w:rsidR="00497921" w:rsidRDefault="004979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C63A3" w14:textId="77777777" w:rsidR="00F03762" w:rsidRDefault="00F03762">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040"/>
      <w:gridCol w:w="1144"/>
    </w:tblGrid>
    <w:tr w:rsidR="00F03762" w14:paraId="189631CD" w14:textId="77777777" w:rsidTr="004A152F">
      <w:trPr>
        <w:trHeight w:val="64"/>
      </w:trPr>
      <w:tc>
        <w:tcPr>
          <w:tcW w:w="7765" w:type="dxa"/>
        </w:tcPr>
        <w:p w14:paraId="41F95757" w14:textId="56C341FC" w:rsidR="00F03762" w:rsidRPr="004A152F" w:rsidRDefault="00EE58A9" w:rsidP="004A152F">
          <w:pPr>
            <w:pStyle w:val="Zaglavlje"/>
            <w:spacing w:after="0"/>
            <w:jc w:val="right"/>
            <w:rPr>
              <w:rFonts w:ascii="Roboto" w:hAnsi="Roboto"/>
              <w:sz w:val="18"/>
              <w:szCs w:val="18"/>
            </w:rPr>
          </w:pPr>
          <w:r w:rsidRPr="004A152F">
            <w:rPr>
              <w:rFonts w:ascii="Roboto" w:hAnsi="Roboto"/>
              <w:sz w:val="18"/>
              <w:szCs w:val="18"/>
            </w:rPr>
            <w:t>Sažetak i</w:t>
          </w:r>
          <w:r w:rsidR="00F03762" w:rsidRPr="004A152F">
            <w:rPr>
              <w:rFonts w:ascii="Roboto" w:hAnsi="Roboto"/>
              <w:sz w:val="18"/>
              <w:szCs w:val="18"/>
            </w:rPr>
            <w:t>zvješć</w:t>
          </w:r>
          <w:r w:rsidRPr="004A152F">
            <w:rPr>
              <w:rFonts w:ascii="Roboto" w:hAnsi="Roboto"/>
              <w:sz w:val="18"/>
              <w:szCs w:val="18"/>
            </w:rPr>
            <w:t>a</w:t>
          </w:r>
          <w:r w:rsidR="00F03762" w:rsidRPr="004A152F">
            <w:rPr>
              <w:rFonts w:ascii="Roboto" w:hAnsi="Roboto"/>
              <w:sz w:val="18"/>
              <w:szCs w:val="18"/>
            </w:rPr>
            <w:t xml:space="preserve"> o provedbi Zakona o pravu na pristup informacijama</w:t>
          </w:r>
        </w:p>
      </w:tc>
      <w:tc>
        <w:tcPr>
          <w:tcW w:w="1105" w:type="dxa"/>
          <w:vAlign w:val="center"/>
        </w:tcPr>
        <w:p w14:paraId="15988E42" w14:textId="6F876B08" w:rsidR="00F03762" w:rsidRPr="00C4715E" w:rsidRDefault="00A02ACC" w:rsidP="004A152F">
          <w:pPr>
            <w:pStyle w:val="Zaglavlje"/>
            <w:spacing w:after="0"/>
            <w:rPr>
              <w:b/>
              <w:bCs/>
              <w:color w:val="4F81BD"/>
              <w:sz w:val="20"/>
              <w:szCs w:val="20"/>
            </w:rPr>
          </w:pPr>
          <w:r>
            <w:rPr>
              <w:rFonts w:ascii="Roboto" w:hAnsi="Roboto"/>
              <w:b/>
              <w:bCs/>
              <w:sz w:val="18"/>
              <w:szCs w:val="18"/>
            </w:rPr>
            <w:t>202</w:t>
          </w:r>
          <w:r w:rsidR="00153103">
            <w:rPr>
              <w:rFonts w:ascii="Roboto" w:hAnsi="Roboto"/>
              <w:b/>
              <w:bCs/>
              <w:sz w:val="18"/>
              <w:szCs w:val="18"/>
            </w:rPr>
            <w:t>5</w:t>
          </w:r>
          <w:r>
            <w:rPr>
              <w:rFonts w:ascii="Roboto" w:hAnsi="Roboto"/>
              <w:b/>
              <w:bCs/>
              <w:sz w:val="18"/>
              <w:szCs w:val="18"/>
            </w:rPr>
            <w:t>.</w:t>
          </w:r>
        </w:p>
      </w:tc>
    </w:tr>
  </w:tbl>
  <w:p w14:paraId="55014550" w14:textId="77777777" w:rsidR="00F03762" w:rsidRDefault="00F0376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A3E"/>
    <w:multiLevelType w:val="hybridMultilevel"/>
    <w:tmpl w:val="7C067410"/>
    <w:lvl w:ilvl="0" w:tplc="041A000F">
      <w:start w:val="1"/>
      <w:numFmt w:val="decimal"/>
      <w:lvlText w:val="%1."/>
      <w:lvlJc w:val="left"/>
      <w:pPr>
        <w:ind w:left="1019" w:hanging="360"/>
      </w:pPr>
    </w:lvl>
    <w:lvl w:ilvl="1" w:tplc="041A0019" w:tentative="1">
      <w:start w:val="1"/>
      <w:numFmt w:val="lowerLetter"/>
      <w:lvlText w:val="%2."/>
      <w:lvlJc w:val="left"/>
      <w:pPr>
        <w:ind w:left="1739" w:hanging="360"/>
      </w:pPr>
    </w:lvl>
    <w:lvl w:ilvl="2" w:tplc="041A000F">
      <w:start w:val="1"/>
      <w:numFmt w:val="decimal"/>
      <w:lvlText w:val="%3."/>
      <w:lvlJc w:val="left"/>
      <w:pPr>
        <w:ind w:left="2639" w:hanging="360"/>
      </w:pPr>
    </w:lvl>
    <w:lvl w:ilvl="3" w:tplc="041A000F" w:tentative="1">
      <w:start w:val="1"/>
      <w:numFmt w:val="decimal"/>
      <w:lvlText w:val="%4."/>
      <w:lvlJc w:val="left"/>
      <w:pPr>
        <w:ind w:left="3179" w:hanging="360"/>
      </w:pPr>
    </w:lvl>
    <w:lvl w:ilvl="4" w:tplc="041A0019" w:tentative="1">
      <w:start w:val="1"/>
      <w:numFmt w:val="lowerLetter"/>
      <w:lvlText w:val="%5."/>
      <w:lvlJc w:val="left"/>
      <w:pPr>
        <w:ind w:left="3899" w:hanging="360"/>
      </w:pPr>
    </w:lvl>
    <w:lvl w:ilvl="5" w:tplc="041A001B" w:tentative="1">
      <w:start w:val="1"/>
      <w:numFmt w:val="lowerRoman"/>
      <w:lvlText w:val="%6."/>
      <w:lvlJc w:val="right"/>
      <w:pPr>
        <w:ind w:left="4619" w:hanging="180"/>
      </w:pPr>
    </w:lvl>
    <w:lvl w:ilvl="6" w:tplc="041A000F" w:tentative="1">
      <w:start w:val="1"/>
      <w:numFmt w:val="decimal"/>
      <w:lvlText w:val="%7."/>
      <w:lvlJc w:val="left"/>
      <w:pPr>
        <w:ind w:left="5339" w:hanging="360"/>
      </w:pPr>
    </w:lvl>
    <w:lvl w:ilvl="7" w:tplc="041A0019" w:tentative="1">
      <w:start w:val="1"/>
      <w:numFmt w:val="lowerLetter"/>
      <w:lvlText w:val="%8."/>
      <w:lvlJc w:val="left"/>
      <w:pPr>
        <w:ind w:left="6059" w:hanging="360"/>
      </w:pPr>
    </w:lvl>
    <w:lvl w:ilvl="8" w:tplc="041A001B" w:tentative="1">
      <w:start w:val="1"/>
      <w:numFmt w:val="lowerRoman"/>
      <w:lvlText w:val="%9."/>
      <w:lvlJc w:val="right"/>
      <w:pPr>
        <w:ind w:left="6779" w:hanging="180"/>
      </w:pPr>
    </w:lvl>
  </w:abstractNum>
  <w:abstractNum w:abstractNumId="1" w15:restartNumberingAfterBreak="0">
    <w:nsid w:val="0AC960C0"/>
    <w:multiLevelType w:val="hybridMultilevel"/>
    <w:tmpl w:val="C3C86F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6311001"/>
    <w:multiLevelType w:val="hybridMultilevel"/>
    <w:tmpl w:val="4790B02C"/>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1A2830EF"/>
    <w:multiLevelType w:val="hybridMultilevel"/>
    <w:tmpl w:val="E5F0D52E"/>
    <w:lvl w:ilvl="0" w:tplc="7FC88034">
      <w:start w:val="1"/>
      <w:numFmt w:val="upperLetter"/>
      <w:pStyle w:val="Glava"/>
      <w:lvlText w:val="%1)"/>
      <w:lvlJc w:val="left"/>
      <w:pPr>
        <w:ind w:left="1146" w:hanging="360"/>
      </w:pPr>
      <w:rPr>
        <w:rFonts w:hint="default"/>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4" w15:restartNumberingAfterBreak="0">
    <w:nsid w:val="1C0A68FC"/>
    <w:multiLevelType w:val="hybridMultilevel"/>
    <w:tmpl w:val="8EFCF2D6"/>
    <w:lvl w:ilvl="0" w:tplc="041A0001">
      <w:start w:val="1"/>
      <w:numFmt w:val="bullet"/>
      <w:lvlText w:val=""/>
      <w:lvlJc w:val="left"/>
      <w:pPr>
        <w:ind w:left="1146" w:hanging="360"/>
      </w:pPr>
      <w:rPr>
        <w:rFonts w:ascii="Symbol" w:hAnsi="Symbol" w:hint="default"/>
      </w:rPr>
    </w:lvl>
    <w:lvl w:ilvl="1" w:tplc="87BE24EC">
      <w:start w:val="8"/>
      <w:numFmt w:val="bullet"/>
      <w:lvlText w:val="•"/>
      <w:lvlJc w:val="left"/>
      <w:pPr>
        <w:ind w:left="1866" w:hanging="360"/>
      </w:pPr>
      <w:rPr>
        <w:rFonts w:ascii="Gill Sans MT" w:eastAsia="Times New Roman" w:hAnsi="Gill Sans MT" w:cs="Calibri" w:hint="default"/>
        <w:color w:val="000000"/>
      </w:rPr>
    </w:lvl>
    <w:lvl w:ilvl="2" w:tplc="0C5474DE">
      <w:start w:val="1"/>
      <w:numFmt w:val="decimal"/>
      <w:lvlText w:val="%3."/>
      <w:lvlJc w:val="left"/>
      <w:pPr>
        <w:ind w:left="2766" w:hanging="360"/>
      </w:pPr>
      <w:rPr>
        <w:rFonts w:hint="default"/>
      </w:r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5" w15:restartNumberingAfterBreak="0">
    <w:nsid w:val="1CA23ACA"/>
    <w:multiLevelType w:val="hybridMultilevel"/>
    <w:tmpl w:val="09160178"/>
    <w:lvl w:ilvl="0" w:tplc="35067746">
      <w:start w:val="2"/>
      <w:numFmt w:val="decimal"/>
      <w:lvlText w:val="%1."/>
      <w:lvlJc w:val="left"/>
      <w:pPr>
        <w:ind w:left="704"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22614D"/>
    <w:multiLevelType w:val="hybridMultilevel"/>
    <w:tmpl w:val="8B6057FA"/>
    <w:lvl w:ilvl="0" w:tplc="DA56BF96">
      <w:start w:val="13"/>
      <w:numFmt w:val="bullet"/>
      <w:lvlText w:val="•"/>
      <w:lvlJc w:val="left"/>
      <w:pPr>
        <w:ind w:left="1065" w:hanging="705"/>
      </w:pPr>
      <w:rPr>
        <w:rFonts w:ascii="Roboto" w:eastAsia="Calibri" w:hAnsi="Roboto"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2A1858"/>
    <w:multiLevelType w:val="hybridMultilevel"/>
    <w:tmpl w:val="1548BC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0DE2678"/>
    <w:multiLevelType w:val="hybridMultilevel"/>
    <w:tmpl w:val="C270E3FE"/>
    <w:lvl w:ilvl="0" w:tplc="FA065752">
      <w:start w:val="1"/>
      <w:numFmt w:val="decimal"/>
      <w:lvlText w:val="%1."/>
      <w:lvlJc w:val="left"/>
      <w:pPr>
        <w:ind w:left="1125" w:hanging="360"/>
      </w:pPr>
      <w:rPr>
        <w:rFonts w:hint="default"/>
      </w:rPr>
    </w:lvl>
    <w:lvl w:ilvl="1" w:tplc="142EA5F4">
      <w:numFmt w:val="bullet"/>
      <w:lvlText w:val="•"/>
      <w:lvlJc w:val="left"/>
      <w:pPr>
        <w:ind w:left="2190" w:hanging="705"/>
      </w:pPr>
      <w:rPr>
        <w:rFonts w:ascii="Arial" w:eastAsia="Times New Roman" w:hAnsi="Arial" w:cs="Arial" w:hint="default"/>
      </w:rPr>
    </w:lvl>
    <w:lvl w:ilvl="2" w:tplc="041A001B" w:tentative="1">
      <w:start w:val="1"/>
      <w:numFmt w:val="lowerRoman"/>
      <w:lvlText w:val="%3."/>
      <w:lvlJc w:val="right"/>
      <w:pPr>
        <w:ind w:left="2565" w:hanging="180"/>
      </w:pPr>
    </w:lvl>
    <w:lvl w:ilvl="3" w:tplc="041A000F" w:tentative="1">
      <w:start w:val="1"/>
      <w:numFmt w:val="decimal"/>
      <w:lvlText w:val="%4."/>
      <w:lvlJc w:val="left"/>
      <w:pPr>
        <w:ind w:left="3285" w:hanging="360"/>
      </w:pPr>
    </w:lvl>
    <w:lvl w:ilvl="4" w:tplc="041A0019" w:tentative="1">
      <w:start w:val="1"/>
      <w:numFmt w:val="lowerLetter"/>
      <w:lvlText w:val="%5."/>
      <w:lvlJc w:val="left"/>
      <w:pPr>
        <w:ind w:left="4005" w:hanging="360"/>
      </w:pPr>
    </w:lvl>
    <w:lvl w:ilvl="5" w:tplc="041A001B" w:tentative="1">
      <w:start w:val="1"/>
      <w:numFmt w:val="lowerRoman"/>
      <w:lvlText w:val="%6."/>
      <w:lvlJc w:val="right"/>
      <w:pPr>
        <w:ind w:left="4725" w:hanging="180"/>
      </w:pPr>
    </w:lvl>
    <w:lvl w:ilvl="6" w:tplc="041A000F" w:tentative="1">
      <w:start w:val="1"/>
      <w:numFmt w:val="decimal"/>
      <w:lvlText w:val="%7."/>
      <w:lvlJc w:val="left"/>
      <w:pPr>
        <w:ind w:left="5445" w:hanging="360"/>
      </w:pPr>
    </w:lvl>
    <w:lvl w:ilvl="7" w:tplc="041A0019" w:tentative="1">
      <w:start w:val="1"/>
      <w:numFmt w:val="lowerLetter"/>
      <w:lvlText w:val="%8."/>
      <w:lvlJc w:val="left"/>
      <w:pPr>
        <w:ind w:left="6165" w:hanging="360"/>
      </w:pPr>
    </w:lvl>
    <w:lvl w:ilvl="8" w:tplc="041A001B" w:tentative="1">
      <w:start w:val="1"/>
      <w:numFmt w:val="lowerRoman"/>
      <w:lvlText w:val="%9."/>
      <w:lvlJc w:val="right"/>
      <w:pPr>
        <w:ind w:left="6885" w:hanging="180"/>
      </w:pPr>
    </w:lvl>
  </w:abstractNum>
  <w:abstractNum w:abstractNumId="9" w15:restartNumberingAfterBreak="0">
    <w:nsid w:val="28F45DA7"/>
    <w:multiLevelType w:val="hybridMultilevel"/>
    <w:tmpl w:val="3D0659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DAA1E27"/>
    <w:multiLevelType w:val="hybridMultilevel"/>
    <w:tmpl w:val="09D481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F894B46"/>
    <w:multiLevelType w:val="hybridMultilevel"/>
    <w:tmpl w:val="98F8CF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FA04B94"/>
    <w:multiLevelType w:val="hybridMultilevel"/>
    <w:tmpl w:val="621A10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31B518C"/>
    <w:multiLevelType w:val="hybridMultilevel"/>
    <w:tmpl w:val="109CACB8"/>
    <w:lvl w:ilvl="0" w:tplc="8F264CA2">
      <w:start w:val="1"/>
      <w:numFmt w:val="decimal"/>
      <w:lvlText w:val="%1."/>
      <w:lvlJc w:val="left"/>
      <w:pPr>
        <w:ind w:left="704" w:hanging="420"/>
      </w:pPr>
      <w:rPr>
        <w:rFonts w:ascii="Arial" w:hAnsi="Arial" w:cs="Aria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36093351"/>
    <w:multiLevelType w:val="hybridMultilevel"/>
    <w:tmpl w:val="59EE5968"/>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5" w15:restartNumberingAfterBreak="0">
    <w:nsid w:val="36256B2A"/>
    <w:multiLevelType w:val="hybridMultilevel"/>
    <w:tmpl w:val="FD08DBD4"/>
    <w:lvl w:ilvl="0" w:tplc="DFB0153E">
      <w:start w:val="1"/>
      <w:numFmt w:val="bullet"/>
      <w:pStyle w:val="NatkunicaDB1"/>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FD170B8"/>
    <w:multiLevelType w:val="hybridMultilevel"/>
    <w:tmpl w:val="76CE273C"/>
    <w:lvl w:ilvl="0" w:tplc="1B72433A">
      <w:start w:val="3"/>
      <w:numFmt w:val="decimal"/>
      <w:lvlText w:val="%1."/>
      <w:lvlJc w:val="left"/>
      <w:pPr>
        <w:ind w:left="704"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27F47AE"/>
    <w:multiLevelType w:val="hybridMultilevel"/>
    <w:tmpl w:val="49300EE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6D22C1A"/>
    <w:multiLevelType w:val="hybridMultilevel"/>
    <w:tmpl w:val="2DAA3586"/>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9" w15:restartNumberingAfterBreak="0">
    <w:nsid w:val="4A1C515D"/>
    <w:multiLevelType w:val="hybridMultilevel"/>
    <w:tmpl w:val="FF24BB20"/>
    <w:lvl w:ilvl="0" w:tplc="F718E76E">
      <w:start w:val="1"/>
      <w:numFmt w:val="decimal"/>
      <w:lvlText w:val="%1."/>
      <w:lvlJc w:val="left"/>
      <w:pPr>
        <w:ind w:left="704" w:hanging="42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0" w15:restartNumberingAfterBreak="0">
    <w:nsid w:val="4A61211B"/>
    <w:multiLevelType w:val="hybridMultilevel"/>
    <w:tmpl w:val="0D7805A0"/>
    <w:lvl w:ilvl="0" w:tplc="041A0001">
      <w:start w:val="1"/>
      <w:numFmt w:val="bullet"/>
      <w:lvlText w:val=""/>
      <w:lvlJc w:val="left"/>
      <w:pPr>
        <w:ind w:left="1068" w:hanging="360"/>
      </w:pPr>
      <w:rPr>
        <w:rFonts w:ascii="Symbol" w:hAnsi="Symbol" w:hint="default"/>
      </w:rPr>
    </w:lvl>
    <w:lvl w:ilvl="1" w:tplc="FFFFFFFF">
      <w:start w:val="1"/>
      <w:numFmt w:val="bullet"/>
      <w:lvlText w:val=""/>
      <w:lvlJc w:val="left"/>
      <w:pPr>
        <w:ind w:left="2148" w:hanging="360"/>
      </w:pPr>
      <w:rPr>
        <w:rFonts w:ascii="Symbol" w:hAnsi="Symbol" w:hint="default"/>
        <w:color w:val="auto"/>
      </w:rPr>
    </w:lvl>
    <w:lvl w:ilvl="2" w:tplc="FFFFFFFF">
      <w:start w:val="1"/>
      <w:numFmt w:val="decimal"/>
      <w:lvlText w:val="%3."/>
      <w:lvlJc w:val="left"/>
      <w:pPr>
        <w:ind w:left="3048" w:hanging="360"/>
      </w:pPr>
      <w:rPr>
        <w:rFonts w:hint="default"/>
      </w:r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1" w15:restartNumberingAfterBreak="0">
    <w:nsid w:val="5D386B0F"/>
    <w:multiLevelType w:val="hybridMultilevel"/>
    <w:tmpl w:val="5454729A"/>
    <w:lvl w:ilvl="0" w:tplc="E954EB2C">
      <w:start w:val="1"/>
      <w:numFmt w:val="bullet"/>
      <w:pStyle w:val="Grupa2"/>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E680463"/>
    <w:multiLevelType w:val="hybridMultilevel"/>
    <w:tmpl w:val="F96419B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1F70DCA"/>
    <w:multiLevelType w:val="multilevel"/>
    <w:tmpl w:val="7980B7BA"/>
    <w:lvl w:ilvl="0">
      <w:start w:val="15"/>
      <w:numFmt w:val="decimal"/>
      <w:lvlText w:val="%1."/>
      <w:lvlJc w:val="left"/>
      <w:pPr>
        <w:ind w:left="644" w:hanging="360"/>
      </w:pPr>
      <w:rPr>
        <w:rFonts w:hint="default"/>
        <w:b/>
        <w:i/>
      </w:rPr>
    </w:lvl>
    <w:lvl w:ilvl="1">
      <w:start w:val="1"/>
      <w:numFmt w:val="decimal"/>
      <w:isLgl/>
      <w:lvlText w:val="%1.%2."/>
      <w:lvlJc w:val="left"/>
      <w:pPr>
        <w:ind w:left="1004" w:hanging="720"/>
      </w:pPr>
      <w:rPr>
        <w:rFonts w:hint="default"/>
        <w:b/>
        <w:i/>
      </w:rPr>
    </w:lvl>
    <w:lvl w:ilvl="2">
      <w:start w:val="1"/>
      <w:numFmt w:val="decimal"/>
      <w:isLgl/>
      <w:lvlText w:val="%1.%2.%3."/>
      <w:lvlJc w:val="left"/>
      <w:pPr>
        <w:ind w:left="1004" w:hanging="720"/>
      </w:pPr>
      <w:rPr>
        <w:rFonts w:hint="default"/>
        <w:b/>
        <w:i/>
      </w:rPr>
    </w:lvl>
    <w:lvl w:ilvl="3">
      <w:start w:val="1"/>
      <w:numFmt w:val="decimal"/>
      <w:isLgl/>
      <w:lvlText w:val="%1.%2.%3.%4."/>
      <w:lvlJc w:val="left"/>
      <w:pPr>
        <w:ind w:left="1364" w:hanging="1080"/>
      </w:pPr>
      <w:rPr>
        <w:rFonts w:hint="default"/>
        <w:b/>
        <w:i/>
      </w:rPr>
    </w:lvl>
    <w:lvl w:ilvl="4">
      <w:start w:val="1"/>
      <w:numFmt w:val="decimal"/>
      <w:isLgl/>
      <w:lvlText w:val="%1.%2.%3.%4.%5."/>
      <w:lvlJc w:val="left"/>
      <w:pPr>
        <w:ind w:left="1364" w:hanging="1080"/>
      </w:pPr>
      <w:rPr>
        <w:rFonts w:hint="default"/>
        <w:b/>
        <w:i/>
      </w:rPr>
    </w:lvl>
    <w:lvl w:ilvl="5">
      <w:start w:val="1"/>
      <w:numFmt w:val="decimal"/>
      <w:isLgl/>
      <w:lvlText w:val="%1.%2.%3.%4.%5.%6."/>
      <w:lvlJc w:val="left"/>
      <w:pPr>
        <w:ind w:left="1724" w:hanging="1440"/>
      </w:pPr>
      <w:rPr>
        <w:rFonts w:hint="default"/>
        <w:b/>
        <w:i/>
      </w:rPr>
    </w:lvl>
    <w:lvl w:ilvl="6">
      <w:start w:val="1"/>
      <w:numFmt w:val="decimal"/>
      <w:isLgl/>
      <w:lvlText w:val="%1.%2.%3.%4.%5.%6.%7."/>
      <w:lvlJc w:val="left"/>
      <w:pPr>
        <w:ind w:left="1724" w:hanging="1440"/>
      </w:pPr>
      <w:rPr>
        <w:rFonts w:hint="default"/>
        <w:b/>
        <w:i/>
      </w:rPr>
    </w:lvl>
    <w:lvl w:ilvl="7">
      <w:start w:val="1"/>
      <w:numFmt w:val="decimal"/>
      <w:isLgl/>
      <w:lvlText w:val="%1.%2.%3.%4.%5.%6.%7.%8."/>
      <w:lvlJc w:val="left"/>
      <w:pPr>
        <w:ind w:left="2084" w:hanging="1800"/>
      </w:pPr>
      <w:rPr>
        <w:rFonts w:hint="default"/>
        <w:b/>
        <w:i/>
      </w:rPr>
    </w:lvl>
    <w:lvl w:ilvl="8">
      <w:start w:val="1"/>
      <w:numFmt w:val="decimal"/>
      <w:isLgl/>
      <w:lvlText w:val="%1.%2.%3.%4.%5.%6.%7.%8.%9."/>
      <w:lvlJc w:val="left"/>
      <w:pPr>
        <w:ind w:left="2084" w:hanging="1800"/>
      </w:pPr>
      <w:rPr>
        <w:rFonts w:hint="default"/>
        <w:b/>
        <w:i/>
      </w:rPr>
    </w:lvl>
  </w:abstractNum>
  <w:abstractNum w:abstractNumId="24" w15:restartNumberingAfterBreak="0">
    <w:nsid w:val="6B2707E8"/>
    <w:multiLevelType w:val="hybridMultilevel"/>
    <w:tmpl w:val="5366FCB8"/>
    <w:lvl w:ilvl="0" w:tplc="AFC0D532">
      <w:start w:val="1"/>
      <w:numFmt w:val="bullet"/>
      <w:pStyle w:val="NatkunicaDB2"/>
      <w:lvlText w:val="–"/>
      <w:lvlJc w:val="left"/>
      <w:pPr>
        <w:ind w:left="1713" w:hanging="360"/>
      </w:pPr>
      <w:rPr>
        <w:rFonts w:ascii="Times New Roman" w:hAnsi="Times New Roman" w:cs="Times New Roman" w:hint="default"/>
      </w:rPr>
    </w:lvl>
    <w:lvl w:ilvl="1" w:tplc="041A0003">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25" w15:restartNumberingAfterBreak="0">
    <w:nsid w:val="6E476C0B"/>
    <w:multiLevelType w:val="hybridMultilevel"/>
    <w:tmpl w:val="3DFA26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3D16AC3"/>
    <w:multiLevelType w:val="hybridMultilevel"/>
    <w:tmpl w:val="306C25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6E74F95"/>
    <w:multiLevelType w:val="hybridMultilevel"/>
    <w:tmpl w:val="E7E6E26A"/>
    <w:lvl w:ilvl="0" w:tplc="041A000F">
      <w:start w:val="1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88E375E"/>
    <w:multiLevelType w:val="hybridMultilevel"/>
    <w:tmpl w:val="90BC15DE"/>
    <w:lvl w:ilvl="0" w:tplc="821833FA">
      <w:start w:val="1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92C5FE8"/>
    <w:multiLevelType w:val="multilevel"/>
    <w:tmpl w:val="41C69338"/>
    <w:name w:val="Naslov"/>
    <w:lvl w:ilvl="0">
      <w:start w:val="1"/>
      <w:numFmt w:val="decimal"/>
      <w:lvlText w:val="%1."/>
      <w:lvlJc w:val="left"/>
      <w:pPr>
        <w:ind w:left="851" w:hanging="454"/>
      </w:pPr>
      <w:rPr>
        <w:rFonts w:ascii="Gill Sans MT" w:hAnsi="Gill Sans MT"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rPr>
    </w:lvl>
    <w:lvl w:ilvl="1">
      <w:start w:val="1"/>
      <w:numFmt w:val="decimal"/>
      <w:pStyle w:val="Naslov2"/>
      <w:lvlText w:val="%1.%2."/>
      <w:lvlJc w:val="left"/>
      <w:pPr>
        <w:ind w:left="1247" w:hanging="623"/>
      </w:pPr>
      <w:rPr>
        <w:rFonts w:ascii="Gill Sans MT" w:hAnsi="Gill Sans MT" w:hint="default"/>
        <w:b/>
        <w:i w:val="0"/>
        <w:sz w:val="23"/>
      </w:rPr>
    </w:lvl>
    <w:lvl w:ilvl="2">
      <w:start w:val="1"/>
      <w:numFmt w:val="decimal"/>
      <w:pStyle w:val="Naslov3"/>
      <w:lvlText w:val="%1.%2.%3."/>
      <w:lvlJc w:val="left"/>
      <w:pPr>
        <w:ind w:left="1701" w:hanging="794"/>
      </w:pPr>
      <w:rPr>
        <w:rFonts w:ascii="Gill Sans MT" w:hAnsi="Gill Sans MT" w:hint="default"/>
        <w:b/>
        <w:i w:val="0"/>
        <w:sz w:val="23"/>
      </w:rPr>
    </w:lvl>
    <w:lvl w:ilvl="3">
      <w:start w:val="1"/>
      <w:numFmt w:val="decimal"/>
      <w:pStyle w:val="Naslov4"/>
      <w:lvlText w:val="%1.%2.%3.%4"/>
      <w:lvlJc w:val="left"/>
      <w:pPr>
        <w:ind w:left="1006" w:hanging="864"/>
      </w:pPr>
      <w:rPr>
        <w:rFonts w:hint="default"/>
      </w:rPr>
    </w:lvl>
    <w:lvl w:ilvl="4">
      <w:start w:val="1"/>
      <w:numFmt w:val="decimal"/>
      <w:pStyle w:val="Naslov5"/>
      <w:lvlText w:val="%1.%2.%3.%4.%5"/>
      <w:lvlJc w:val="left"/>
      <w:pPr>
        <w:ind w:left="1150" w:hanging="1008"/>
      </w:pPr>
      <w:rPr>
        <w:rFonts w:hint="default"/>
      </w:rPr>
    </w:lvl>
    <w:lvl w:ilvl="5">
      <w:start w:val="1"/>
      <w:numFmt w:val="decimal"/>
      <w:lvlText w:val="%1.%2.%3.%4.%5.%6"/>
      <w:lvlJc w:val="left"/>
      <w:pPr>
        <w:ind w:left="1294" w:hanging="1152"/>
      </w:pPr>
      <w:rPr>
        <w:rFonts w:hint="default"/>
      </w:rPr>
    </w:lvl>
    <w:lvl w:ilvl="6">
      <w:start w:val="1"/>
      <w:numFmt w:val="decimal"/>
      <w:pStyle w:val="Naslov7"/>
      <w:lvlText w:val="%1.%2.%3.%4.%5.%6.%7"/>
      <w:lvlJc w:val="left"/>
      <w:pPr>
        <w:ind w:left="1438" w:hanging="1296"/>
      </w:pPr>
      <w:rPr>
        <w:rFonts w:hint="default"/>
      </w:rPr>
    </w:lvl>
    <w:lvl w:ilvl="7">
      <w:start w:val="1"/>
      <w:numFmt w:val="decimal"/>
      <w:pStyle w:val="Naslov8"/>
      <w:lvlText w:val="%1.%2.%3.%4.%5.%6.%7.%8"/>
      <w:lvlJc w:val="left"/>
      <w:pPr>
        <w:ind w:left="1582" w:hanging="1440"/>
      </w:pPr>
      <w:rPr>
        <w:rFonts w:hint="default"/>
      </w:rPr>
    </w:lvl>
    <w:lvl w:ilvl="8">
      <w:start w:val="1"/>
      <w:numFmt w:val="decimal"/>
      <w:pStyle w:val="Naslov9"/>
      <w:lvlText w:val="%1.%2.%3.%4.%5.%6.%7.%8.%9"/>
      <w:lvlJc w:val="left"/>
      <w:pPr>
        <w:ind w:left="1726" w:hanging="1584"/>
      </w:pPr>
      <w:rPr>
        <w:rFonts w:hint="default"/>
      </w:rPr>
    </w:lvl>
  </w:abstractNum>
  <w:abstractNum w:abstractNumId="30" w15:restartNumberingAfterBreak="0">
    <w:nsid w:val="799F2A9E"/>
    <w:multiLevelType w:val="hybridMultilevel"/>
    <w:tmpl w:val="742AEBDA"/>
    <w:lvl w:ilvl="0" w:tplc="3BC69388">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92036226">
    <w:abstractNumId w:val="29"/>
  </w:num>
  <w:num w:numId="2" w16cid:durableId="1467969407">
    <w:abstractNumId w:val="15"/>
  </w:num>
  <w:num w:numId="3" w16cid:durableId="1495800300">
    <w:abstractNumId w:val="24"/>
  </w:num>
  <w:num w:numId="4" w16cid:durableId="1260025777">
    <w:abstractNumId w:val="21"/>
  </w:num>
  <w:num w:numId="5" w16cid:durableId="1018001673">
    <w:abstractNumId w:val="3"/>
  </w:num>
  <w:num w:numId="6" w16cid:durableId="637732853">
    <w:abstractNumId w:val="9"/>
  </w:num>
  <w:num w:numId="7" w16cid:durableId="1932883556">
    <w:abstractNumId w:val="19"/>
  </w:num>
  <w:num w:numId="8" w16cid:durableId="875581868">
    <w:abstractNumId w:val="0"/>
  </w:num>
  <w:num w:numId="9" w16cid:durableId="702094077">
    <w:abstractNumId w:val="16"/>
  </w:num>
  <w:num w:numId="10" w16cid:durableId="1097293230">
    <w:abstractNumId w:val="5"/>
  </w:num>
  <w:num w:numId="11" w16cid:durableId="1676298984">
    <w:abstractNumId w:val="18"/>
  </w:num>
  <w:num w:numId="12" w16cid:durableId="615407128">
    <w:abstractNumId w:val="23"/>
  </w:num>
  <w:num w:numId="13" w16cid:durableId="558782338">
    <w:abstractNumId w:val="27"/>
  </w:num>
  <w:num w:numId="14" w16cid:durableId="724138492">
    <w:abstractNumId w:val="8"/>
  </w:num>
  <w:num w:numId="15" w16cid:durableId="2083870792">
    <w:abstractNumId w:val="28"/>
  </w:num>
  <w:num w:numId="16" w16cid:durableId="914389453">
    <w:abstractNumId w:val="25"/>
  </w:num>
  <w:num w:numId="17" w16cid:durableId="1057128343">
    <w:abstractNumId w:val="7"/>
  </w:num>
  <w:num w:numId="18" w16cid:durableId="1408918096">
    <w:abstractNumId w:val="4"/>
  </w:num>
  <w:num w:numId="19" w16cid:durableId="1004086550">
    <w:abstractNumId w:val="2"/>
  </w:num>
  <w:num w:numId="20" w16cid:durableId="2045324170">
    <w:abstractNumId w:val="14"/>
  </w:num>
  <w:num w:numId="21" w16cid:durableId="989747945">
    <w:abstractNumId w:val="13"/>
  </w:num>
  <w:num w:numId="22" w16cid:durableId="1234313384">
    <w:abstractNumId w:val="26"/>
  </w:num>
  <w:num w:numId="23" w16cid:durableId="894050039">
    <w:abstractNumId w:val="20"/>
  </w:num>
  <w:num w:numId="24" w16cid:durableId="774786012">
    <w:abstractNumId w:val="12"/>
  </w:num>
  <w:num w:numId="25" w16cid:durableId="1532838987">
    <w:abstractNumId w:val="11"/>
  </w:num>
  <w:num w:numId="26" w16cid:durableId="1380667094">
    <w:abstractNumId w:val="10"/>
  </w:num>
  <w:num w:numId="27" w16cid:durableId="938833529">
    <w:abstractNumId w:val="17"/>
  </w:num>
  <w:num w:numId="28" w16cid:durableId="856581924">
    <w:abstractNumId w:val="30"/>
  </w:num>
  <w:num w:numId="29" w16cid:durableId="337392990">
    <w:abstractNumId w:val="1"/>
  </w:num>
  <w:num w:numId="30" w16cid:durableId="1079866882">
    <w:abstractNumId w:val="6"/>
  </w:num>
  <w:num w:numId="31" w16cid:durableId="1598099402">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embedTrueTypeFonts/>
  <w:saveSubsetFonts/>
  <w:hideSpellingErrors/>
  <w:hideGrammaticalErrors/>
  <w:proofState w:spelling="clean" w:grammar="clean"/>
  <w:defaultTabStop w:val="708"/>
  <w:hyphenationZone w:val="425"/>
  <w:defaultTableStyle w:val="LightShading-Accent11"/>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81"/>
    <w:rsid w:val="0000064E"/>
    <w:rsid w:val="00001270"/>
    <w:rsid w:val="00001273"/>
    <w:rsid w:val="00001661"/>
    <w:rsid w:val="0000188C"/>
    <w:rsid w:val="00002BDD"/>
    <w:rsid w:val="00002E5D"/>
    <w:rsid w:val="00003007"/>
    <w:rsid w:val="00004547"/>
    <w:rsid w:val="0000691D"/>
    <w:rsid w:val="0000792A"/>
    <w:rsid w:val="00007D15"/>
    <w:rsid w:val="00010571"/>
    <w:rsid w:val="00011407"/>
    <w:rsid w:val="000114BF"/>
    <w:rsid w:val="00011793"/>
    <w:rsid w:val="00013631"/>
    <w:rsid w:val="000146A5"/>
    <w:rsid w:val="00014D3B"/>
    <w:rsid w:val="00015102"/>
    <w:rsid w:val="00015266"/>
    <w:rsid w:val="000158AA"/>
    <w:rsid w:val="00015B03"/>
    <w:rsid w:val="000173A1"/>
    <w:rsid w:val="00017480"/>
    <w:rsid w:val="00017DF5"/>
    <w:rsid w:val="000204D3"/>
    <w:rsid w:val="00020A3D"/>
    <w:rsid w:val="00021232"/>
    <w:rsid w:val="0002208C"/>
    <w:rsid w:val="000220C9"/>
    <w:rsid w:val="00024B88"/>
    <w:rsid w:val="00025086"/>
    <w:rsid w:val="00025E90"/>
    <w:rsid w:val="00026C80"/>
    <w:rsid w:val="00030C0F"/>
    <w:rsid w:val="00031B37"/>
    <w:rsid w:val="00032867"/>
    <w:rsid w:val="000329AB"/>
    <w:rsid w:val="00032D6C"/>
    <w:rsid w:val="000331BB"/>
    <w:rsid w:val="00033355"/>
    <w:rsid w:val="00033B69"/>
    <w:rsid w:val="0003438D"/>
    <w:rsid w:val="00034BA5"/>
    <w:rsid w:val="00035307"/>
    <w:rsid w:val="00036B5D"/>
    <w:rsid w:val="000376CB"/>
    <w:rsid w:val="00037B0F"/>
    <w:rsid w:val="00037D89"/>
    <w:rsid w:val="000408F1"/>
    <w:rsid w:val="00041390"/>
    <w:rsid w:val="000414A2"/>
    <w:rsid w:val="00042453"/>
    <w:rsid w:val="00042963"/>
    <w:rsid w:val="00044760"/>
    <w:rsid w:val="000454A4"/>
    <w:rsid w:val="00045CFF"/>
    <w:rsid w:val="00046D0A"/>
    <w:rsid w:val="000472C9"/>
    <w:rsid w:val="00047B4C"/>
    <w:rsid w:val="00047C34"/>
    <w:rsid w:val="0005017A"/>
    <w:rsid w:val="0005023B"/>
    <w:rsid w:val="00050D69"/>
    <w:rsid w:val="0005113E"/>
    <w:rsid w:val="00051880"/>
    <w:rsid w:val="000518EF"/>
    <w:rsid w:val="000526CB"/>
    <w:rsid w:val="000531F1"/>
    <w:rsid w:val="00053CEC"/>
    <w:rsid w:val="00053F87"/>
    <w:rsid w:val="000541C4"/>
    <w:rsid w:val="00054360"/>
    <w:rsid w:val="000557C4"/>
    <w:rsid w:val="000564B6"/>
    <w:rsid w:val="0005653C"/>
    <w:rsid w:val="000570C6"/>
    <w:rsid w:val="00057C13"/>
    <w:rsid w:val="0006291E"/>
    <w:rsid w:val="00062EB1"/>
    <w:rsid w:val="00062EE7"/>
    <w:rsid w:val="00063441"/>
    <w:rsid w:val="000640C5"/>
    <w:rsid w:val="00064516"/>
    <w:rsid w:val="000653A5"/>
    <w:rsid w:val="00065742"/>
    <w:rsid w:val="000661F8"/>
    <w:rsid w:val="00066D7D"/>
    <w:rsid w:val="00067141"/>
    <w:rsid w:val="000703EC"/>
    <w:rsid w:val="0007093E"/>
    <w:rsid w:val="00071F34"/>
    <w:rsid w:val="00072037"/>
    <w:rsid w:val="0007203A"/>
    <w:rsid w:val="00072283"/>
    <w:rsid w:val="000723EC"/>
    <w:rsid w:val="000724E4"/>
    <w:rsid w:val="000733F3"/>
    <w:rsid w:val="00073CAB"/>
    <w:rsid w:val="000741E8"/>
    <w:rsid w:val="0007448C"/>
    <w:rsid w:val="00075079"/>
    <w:rsid w:val="00076CF7"/>
    <w:rsid w:val="00076D74"/>
    <w:rsid w:val="00077436"/>
    <w:rsid w:val="000801E9"/>
    <w:rsid w:val="000801F6"/>
    <w:rsid w:val="00081904"/>
    <w:rsid w:val="00081928"/>
    <w:rsid w:val="00084919"/>
    <w:rsid w:val="00085956"/>
    <w:rsid w:val="00085BD0"/>
    <w:rsid w:val="00086CB0"/>
    <w:rsid w:val="00086CF8"/>
    <w:rsid w:val="00086DAC"/>
    <w:rsid w:val="00090D20"/>
    <w:rsid w:val="00092838"/>
    <w:rsid w:val="00093F24"/>
    <w:rsid w:val="00094269"/>
    <w:rsid w:val="00095099"/>
    <w:rsid w:val="00096312"/>
    <w:rsid w:val="00096E6E"/>
    <w:rsid w:val="00096F28"/>
    <w:rsid w:val="00096F8A"/>
    <w:rsid w:val="00097BF7"/>
    <w:rsid w:val="000A05EF"/>
    <w:rsid w:val="000A10A1"/>
    <w:rsid w:val="000A24CB"/>
    <w:rsid w:val="000A3010"/>
    <w:rsid w:val="000A30A3"/>
    <w:rsid w:val="000A358A"/>
    <w:rsid w:val="000A4CBF"/>
    <w:rsid w:val="000A4E8C"/>
    <w:rsid w:val="000A558E"/>
    <w:rsid w:val="000A6826"/>
    <w:rsid w:val="000A6D7B"/>
    <w:rsid w:val="000A6F49"/>
    <w:rsid w:val="000A6F51"/>
    <w:rsid w:val="000B1E35"/>
    <w:rsid w:val="000B324D"/>
    <w:rsid w:val="000B407D"/>
    <w:rsid w:val="000B70EA"/>
    <w:rsid w:val="000B797C"/>
    <w:rsid w:val="000C0761"/>
    <w:rsid w:val="000C18C3"/>
    <w:rsid w:val="000C2F9C"/>
    <w:rsid w:val="000C3734"/>
    <w:rsid w:val="000C39A7"/>
    <w:rsid w:val="000C46FA"/>
    <w:rsid w:val="000C506D"/>
    <w:rsid w:val="000C52B7"/>
    <w:rsid w:val="000C5F92"/>
    <w:rsid w:val="000C6F48"/>
    <w:rsid w:val="000C7597"/>
    <w:rsid w:val="000D0CBE"/>
    <w:rsid w:val="000D1804"/>
    <w:rsid w:val="000D1EF4"/>
    <w:rsid w:val="000D2516"/>
    <w:rsid w:val="000D2981"/>
    <w:rsid w:val="000D2C4C"/>
    <w:rsid w:val="000D3956"/>
    <w:rsid w:val="000D471C"/>
    <w:rsid w:val="000D4EBA"/>
    <w:rsid w:val="000D57CC"/>
    <w:rsid w:val="000D5934"/>
    <w:rsid w:val="000D5B6F"/>
    <w:rsid w:val="000D65F3"/>
    <w:rsid w:val="000D6C5E"/>
    <w:rsid w:val="000D6CBE"/>
    <w:rsid w:val="000D7606"/>
    <w:rsid w:val="000D770F"/>
    <w:rsid w:val="000D7A0C"/>
    <w:rsid w:val="000D7C3E"/>
    <w:rsid w:val="000E03A1"/>
    <w:rsid w:val="000E0533"/>
    <w:rsid w:val="000E07A7"/>
    <w:rsid w:val="000E0DAB"/>
    <w:rsid w:val="000E126C"/>
    <w:rsid w:val="000E14C2"/>
    <w:rsid w:val="000E15A5"/>
    <w:rsid w:val="000E19F9"/>
    <w:rsid w:val="000E3481"/>
    <w:rsid w:val="000E3985"/>
    <w:rsid w:val="000E3C4F"/>
    <w:rsid w:val="000E4E9E"/>
    <w:rsid w:val="000E51E3"/>
    <w:rsid w:val="000E55B5"/>
    <w:rsid w:val="000E5B77"/>
    <w:rsid w:val="000E671B"/>
    <w:rsid w:val="000E7028"/>
    <w:rsid w:val="000E74EB"/>
    <w:rsid w:val="000E773A"/>
    <w:rsid w:val="000F0840"/>
    <w:rsid w:val="000F24A3"/>
    <w:rsid w:val="000F41E0"/>
    <w:rsid w:val="000F44D6"/>
    <w:rsid w:val="000F472C"/>
    <w:rsid w:val="000F5D2F"/>
    <w:rsid w:val="000F5F29"/>
    <w:rsid w:val="000F61F8"/>
    <w:rsid w:val="000F6DC5"/>
    <w:rsid w:val="000F7520"/>
    <w:rsid w:val="001003C0"/>
    <w:rsid w:val="00100888"/>
    <w:rsid w:val="00100FBC"/>
    <w:rsid w:val="001017A3"/>
    <w:rsid w:val="00102C50"/>
    <w:rsid w:val="00102D61"/>
    <w:rsid w:val="001034CE"/>
    <w:rsid w:val="0010398E"/>
    <w:rsid w:val="0010436E"/>
    <w:rsid w:val="00104429"/>
    <w:rsid w:val="00104EAB"/>
    <w:rsid w:val="0010545C"/>
    <w:rsid w:val="00105FF3"/>
    <w:rsid w:val="0010730E"/>
    <w:rsid w:val="00107D4A"/>
    <w:rsid w:val="0011149C"/>
    <w:rsid w:val="00112195"/>
    <w:rsid w:val="001132FC"/>
    <w:rsid w:val="00114281"/>
    <w:rsid w:val="0011598A"/>
    <w:rsid w:val="00115D90"/>
    <w:rsid w:val="001209E8"/>
    <w:rsid w:val="001209FE"/>
    <w:rsid w:val="001211B3"/>
    <w:rsid w:val="00121BEA"/>
    <w:rsid w:val="00121FD0"/>
    <w:rsid w:val="0012378D"/>
    <w:rsid w:val="00123B23"/>
    <w:rsid w:val="00124284"/>
    <w:rsid w:val="00124949"/>
    <w:rsid w:val="00124DA2"/>
    <w:rsid w:val="00125064"/>
    <w:rsid w:val="0012661A"/>
    <w:rsid w:val="00127251"/>
    <w:rsid w:val="00127A00"/>
    <w:rsid w:val="00127FEE"/>
    <w:rsid w:val="00130107"/>
    <w:rsid w:val="00130673"/>
    <w:rsid w:val="00130F96"/>
    <w:rsid w:val="00130F9F"/>
    <w:rsid w:val="00131452"/>
    <w:rsid w:val="00131C47"/>
    <w:rsid w:val="001329F5"/>
    <w:rsid w:val="00132C0E"/>
    <w:rsid w:val="0013458E"/>
    <w:rsid w:val="001346CA"/>
    <w:rsid w:val="0013515F"/>
    <w:rsid w:val="0013542B"/>
    <w:rsid w:val="0013559A"/>
    <w:rsid w:val="00135C3F"/>
    <w:rsid w:val="00135D94"/>
    <w:rsid w:val="00135F4F"/>
    <w:rsid w:val="00137620"/>
    <w:rsid w:val="00137721"/>
    <w:rsid w:val="00137B1C"/>
    <w:rsid w:val="00140B8E"/>
    <w:rsid w:val="00140F19"/>
    <w:rsid w:val="00141A3C"/>
    <w:rsid w:val="001427AE"/>
    <w:rsid w:val="00142CF4"/>
    <w:rsid w:val="001445F5"/>
    <w:rsid w:val="00144B07"/>
    <w:rsid w:val="00145E1D"/>
    <w:rsid w:val="00146ED7"/>
    <w:rsid w:val="001475CB"/>
    <w:rsid w:val="00147A7D"/>
    <w:rsid w:val="00147F9B"/>
    <w:rsid w:val="001502AE"/>
    <w:rsid w:val="001502CA"/>
    <w:rsid w:val="00150D70"/>
    <w:rsid w:val="00151033"/>
    <w:rsid w:val="001518D4"/>
    <w:rsid w:val="00151B9F"/>
    <w:rsid w:val="00151C2F"/>
    <w:rsid w:val="001528CC"/>
    <w:rsid w:val="00152D9D"/>
    <w:rsid w:val="00153103"/>
    <w:rsid w:val="001537FA"/>
    <w:rsid w:val="00154AB2"/>
    <w:rsid w:val="00154B15"/>
    <w:rsid w:val="001559F5"/>
    <w:rsid w:val="00155A4F"/>
    <w:rsid w:val="00155B1E"/>
    <w:rsid w:val="001565D3"/>
    <w:rsid w:val="0015712F"/>
    <w:rsid w:val="00157350"/>
    <w:rsid w:val="00160FF7"/>
    <w:rsid w:val="0016115C"/>
    <w:rsid w:val="00161718"/>
    <w:rsid w:val="00161ADE"/>
    <w:rsid w:val="00163CBE"/>
    <w:rsid w:val="00163E1B"/>
    <w:rsid w:val="00164EC5"/>
    <w:rsid w:val="00165B3D"/>
    <w:rsid w:val="00166D30"/>
    <w:rsid w:val="00166F83"/>
    <w:rsid w:val="001676BC"/>
    <w:rsid w:val="00167758"/>
    <w:rsid w:val="00167E81"/>
    <w:rsid w:val="00170740"/>
    <w:rsid w:val="00170F72"/>
    <w:rsid w:val="0017240B"/>
    <w:rsid w:val="0017267B"/>
    <w:rsid w:val="001737A2"/>
    <w:rsid w:val="0017563A"/>
    <w:rsid w:val="00175807"/>
    <w:rsid w:val="00175D7E"/>
    <w:rsid w:val="0017627F"/>
    <w:rsid w:val="001762EB"/>
    <w:rsid w:val="0017647C"/>
    <w:rsid w:val="00180161"/>
    <w:rsid w:val="0018040B"/>
    <w:rsid w:val="0018131D"/>
    <w:rsid w:val="00181B0F"/>
    <w:rsid w:val="00181E1A"/>
    <w:rsid w:val="00182D6C"/>
    <w:rsid w:val="00183774"/>
    <w:rsid w:val="00183BC2"/>
    <w:rsid w:val="00183D74"/>
    <w:rsid w:val="00183E2C"/>
    <w:rsid w:val="00183EC7"/>
    <w:rsid w:val="00183F16"/>
    <w:rsid w:val="00183F9D"/>
    <w:rsid w:val="001857D8"/>
    <w:rsid w:val="00185D6F"/>
    <w:rsid w:val="00185E91"/>
    <w:rsid w:val="001861A6"/>
    <w:rsid w:val="00186B12"/>
    <w:rsid w:val="00186B48"/>
    <w:rsid w:val="00186DBE"/>
    <w:rsid w:val="00187ABA"/>
    <w:rsid w:val="001909C4"/>
    <w:rsid w:val="00190B72"/>
    <w:rsid w:val="00191161"/>
    <w:rsid w:val="00191B66"/>
    <w:rsid w:val="0019312B"/>
    <w:rsid w:val="00193130"/>
    <w:rsid w:val="001931D3"/>
    <w:rsid w:val="00193809"/>
    <w:rsid w:val="00194154"/>
    <w:rsid w:val="00194494"/>
    <w:rsid w:val="001950D7"/>
    <w:rsid w:val="00195B51"/>
    <w:rsid w:val="001963AA"/>
    <w:rsid w:val="00196A4C"/>
    <w:rsid w:val="001977DC"/>
    <w:rsid w:val="00197A41"/>
    <w:rsid w:val="001A19A9"/>
    <w:rsid w:val="001A1DC0"/>
    <w:rsid w:val="001A3074"/>
    <w:rsid w:val="001A3951"/>
    <w:rsid w:val="001A417A"/>
    <w:rsid w:val="001A42C6"/>
    <w:rsid w:val="001A479E"/>
    <w:rsid w:val="001A5E92"/>
    <w:rsid w:val="001A6DCF"/>
    <w:rsid w:val="001A7A9C"/>
    <w:rsid w:val="001B18B1"/>
    <w:rsid w:val="001B1CC6"/>
    <w:rsid w:val="001B279F"/>
    <w:rsid w:val="001B295C"/>
    <w:rsid w:val="001B2EF8"/>
    <w:rsid w:val="001B30F4"/>
    <w:rsid w:val="001B3CB2"/>
    <w:rsid w:val="001B419D"/>
    <w:rsid w:val="001B6083"/>
    <w:rsid w:val="001B67E6"/>
    <w:rsid w:val="001B6C74"/>
    <w:rsid w:val="001B7714"/>
    <w:rsid w:val="001C164B"/>
    <w:rsid w:val="001C1A4B"/>
    <w:rsid w:val="001C25BF"/>
    <w:rsid w:val="001C2E2F"/>
    <w:rsid w:val="001C30F3"/>
    <w:rsid w:val="001C3990"/>
    <w:rsid w:val="001C4F24"/>
    <w:rsid w:val="001C5385"/>
    <w:rsid w:val="001C6078"/>
    <w:rsid w:val="001C6F2A"/>
    <w:rsid w:val="001C7212"/>
    <w:rsid w:val="001C79D6"/>
    <w:rsid w:val="001D0408"/>
    <w:rsid w:val="001D04E7"/>
    <w:rsid w:val="001D072E"/>
    <w:rsid w:val="001D090B"/>
    <w:rsid w:val="001D0CB1"/>
    <w:rsid w:val="001D1DD3"/>
    <w:rsid w:val="001D2384"/>
    <w:rsid w:val="001D2D3E"/>
    <w:rsid w:val="001D2D55"/>
    <w:rsid w:val="001D40DA"/>
    <w:rsid w:val="001D6475"/>
    <w:rsid w:val="001D70C1"/>
    <w:rsid w:val="001D750B"/>
    <w:rsid w:val="001D77FC"/>
    <w:rsid w:val="001D7BBF"/>
    <w:rsid w:val="001E07EB"/>
    <w:rsid w:val="001E1317"/>
    <w:rsid w:val="001E1E98"/>
    <w:rsid w:val="001E1F58"/>
    <w:rsid w:val="001E28EE"/>
    <w:rsid w:val="001E2B17"/>
    <w:rsid w:val="001E41E5"/>
    <w:rsid w:val="001E4DA0"/>
    <w:rsid w:val="001E4E98"/>
    <w:rsid w:val="001E4E9A"/>
    <w:rsid w:val="001E5265"/>
    <w:rsid w:val="001E5D25"/>
    <w:rsid w:val="001E6B6D"/>
    <w:rsid w:val="001E6F02"/>
    <w:rsid w:val="001E7DA8"/>
    <w:rsid w:val="001F01E9"/>
    <w:rsid w:val="001F0861"/>
    <w:rsid w:val="001F0F8F"/>
    <w:rsid w:val="001F12CD"/>
    <w:rsid w:val="001F1588"/>
    <w:rsid w:val="001F2630"/>
    <w:rsid w:val="001F404D"/>
    <w:rsid w:val="001F4470"/>
    <w:rsid w:val="001F59DB"/>
    <w:rsid w:val="001F5C30"/>
    <w:rsid w:val="001F6519"/>
    <w:rsid w:val="001F6627"/>
    <w:rsid w:val="001F67E8"/>
    <w:rsid w:val="001F7977"/>
    <w:rsid w:val="001F7DB4"/>
    <w:rsid w:val="00200470"/>
    <w:rsid w:val="00200794"/>
    <w:rsid w:val="00200A57"/>
    <w:rsid w:val="00201E26"/>
    <w:rsid w:val="00202130"/>
    <w:rsid w:val="00202BE6"/>
    <w:rsid w:val="00203CF2"/>
    <w:rsid w:val="00203FBA"/>
    <w:rsid w:val="002054D0"/>
    <w:rsid w:val="002061FF"/>
    <w:rsid w:val="002064FF"/>
    <w:rsid w:val="002072BF"/>
    <w:rsid w:val="002108DC"/>
    <w:rsid w:val="00211309"/>
    <w:rsid w:val="002116CB"/>
    <w:rsid w:val="002117B8"/>
    <w:rsid w:val="0021190A"/>
    <w:rsid w:val="00211A0E"/>
    <w:rsid w:val="00211C92"/>
    <w:rsid w:val="00213335"/>
    <w:rsid w:val="00213CCB"/>
    <w:rsid w:val="00213F3A"/>
    <w:rsid w:val="002149F5"/>
    <w:rsid w:val="00214C9F"/>
    <w:rsid w:val="00215325"/>
    <w:rsid w:val="00215983"/>
    <w:rsid w:val="0021666A"/>
    <w:rsid w:val="0021670C"/>
    <w:rsid w:val="00216B28"/>
    <w:rsid w:val="0021720C"/>
    <w:rsid w:val="002176C9"/>
    <w:rsid w:val="002178F4"/>
    <w:rsid w:val="00217CD9"/>
    <w:rsid w:val="00217E30"/>
    <w:rsid w:val="002209C4"/>
    <w:rsid w:val="00220E6A"/>
    <w:rsid w:val="00221B16"/>
    <w:rsid w:val="002224E1"/>
    <w:rsid w:val="00223958"/>
    <w:rsid w:val="0022447C"/>
    <w:rsid w:val="002254E8"/>
    <w:rsid w:val="00226CFE"/>
    <w:rsid w:val="002274E9"/>
    <w:rsid w:val="00227DA9"/>
    <w:rsid w:val="00230291"/>
    <w:rsid w:val="0023088D"/>
    <w:rsid w:val="00231ED9"/>
    <w:rsid w:val="00232772"/>
    <w:rsid w:val="00232C7E"/>
    <w:rsid w:val="00232D8C"/>
    <w:rsid w:val="00232F85"/>
    <w:rsid w:val="00233016"/>
    <w:rsid w:val="002332C0"/>
    <w:rsid w:val="00233437"/>
    <w:rsid w:val="00234048"/>
    <w:rsid w:val="00234DC1"/>
    <w:rsid w:val="0023592A"/>
    <w:rsid w:val="00235F6A"/>
    <w:rsid w:val="00236077"/>
    <w:rsid w:val="002370C5"/>
    <w:rsid w:val="00237669"/>
    <w:rsid w:val="00237E89"/>
    <w:rsid w:val="00240401"/>
    <w:rsid w:val="00241662"/>
    <w:rsid w:val="002418B3"/>
    <w:rsid w:val="002421A1"/>
    <w:rsid w:val="0024317B"/>
    <w:rsid w:val="00243820"/>
    <w:rsid w:val="0024405F"/>
    <w:rsid w:val="00244408"/>
    <w:rsid w:val="00245217"/>
    <w:rsid w:val="002462CA"/>
    <w:rsid w:val="002463C1"/>
    <w:rsid w:val="00246A0D"/>
    <w:rsid w:val="002472C6"/>
    <w:rsid w:val="00247B05"/>
    <w:rsid w:val="00250039"/>
    <w:rsid w:val="002517E7"/>
    <w:rsid w:val="002521DC"/>
    <w:rsid w:val="0025235E"/>
    <w:rsid w:val="00253006"/>
    <w:rsid w:val="00253AB4"/>
    <w:rsid w:val="00253BCC"/>
    <w:rsid w:val="00253EAB"/>
    <w:rsid w:val="0025423A"/>
    <w:rsid w:val="00255941"/>
    <w:rsid w:val="00256457"/>
    <w:rsid w:val="002604B7"/>
    <w:rsid w:val="00260DCC"/>
    <w:rsid w:val="00261345"/>
    <w:rsid w:val="00261748"/>
    <w:rsid w:val="00261850"/>
    <w:rsid w:val="002626C9"/>
    <w:rsid w:val="00262EBE"/>
    <w:rsid w:val="0026306E"/>
    <w:rsid w:val="00264382"/>
    <w:rsid w:val="00264591"/>
    <w:rsid w:val="00264924"/>
    <w:rsid w:val="0026639F"/>
    <w:rsid w:val="002665DE"/>
    <w:rsid w:val="00267AC7"/>
    <w:rsid w:val="00270113"/>
    <w:rsid w:val="002720D1"/>
    <w:rsid w:val="0027295B"/>
    <w:rsid w:val="00272B02"/>
    <w:rsid w:val="0027328B"/>
    <w:rsid w:val="00274364"/>
    <w:rsid w:val="002744E0"/>
    <w:rsid w:val="00274B8D"/>
    <w:rsid w:val="00274E20"/>
    <w:rsid w:val="00274E95"/>
    <w:rsid w:val="0027504F"/>
    <w:rsid w:val="00275604"/>
    <w:rsid w:val="00275956"/>
    <w:rsid w:val="00275D49"/>
    <w:rsid w:val="00275D6B"/>
    <w:rsid w:val="00275F1A"/>
    <w:rsid w:val="00276536"/>
    <w:rsid w:val="00276C0B"/>
    <w:rsid w:val="00280982"/>
    <w:rsid w:val="002815BB"/>
    <w:rsid w:val="002819FF"/>
    <w:rsid w:val="00281BD2"/>
    <w:rsid w:val="0028240D"/>
    <w:rsid w:val="002824A1"/>
    <w:rsid w:val="00282AA6"/>
    <w:rsid w:val="00283839"/>
    <w:rsid w:val="002846C3"/>
    <w:rsid w:val="002846FB"/>
    <w:rsid w:val="00284B56"/>
    <w:rsid w:val="002851EB"/>
    <w:rsid w:val="00285367"/>
    <w:rsid w:val="002866F4"/>
    <w:rsid w:val="00286F07"/>
    <w:rsid w:val="002874A3"/>
    <w:rsid w:val="00290191"/>
    <w:rsid w:val="002913CD"/>
    <w:rsid w:val="002925AA"/>
    <w:rsid w:val="00292EA8"/>
    <w:rsid w:val="00293B20"/>
    <w:rsid w:val="00294591"/>
    <w:rsid w:val="00294924"/>
    <w:rsid w:val="002949CB"/>
    <w:rsid w:val="00294B06"/>
    <w:rsid w:val="00295446"/>
    <w:rsid w:val="00295BD6"/>
    <w:rsid w:val="00297164"/>
    <w:rsid w:val="0029719F"/>
    <w:rsid w:val="002978CE"/>
    <w:rsid w:val="00297AD6"/>
    <w:rsid w:val="002A014A"/>
    <w:rsid w:val="002A018A"/>
    <w:rsid w:val="002A0A7C"/>
    <w:rsid w:val="002A193E"/>
    <w:rsid w:val="002A1D38"/>
    <w:rsid w:val="002A230F"/>
    <w:rsid w:val="002A2C5B"/>
    <w:rsid w:val="002A2E0A"/>
    <w:rsid w:val="002A3127"/>
    <w:rsid w:val="002A3166"/>
    <w:rsid w:val="002A3270"/>
    <w:rsid w:val="002A3498"/>
    <w:rsid w:val="002A38AA"/>
    <w:rsid w:val="002A3954"/>
    <w:rsid w:val="002A4C0F"/>
    <w:rsid w:val="002A5829"/>
    <w:rsid w:val="002A6282"/>
    <w:rsid w:val="002A65C7"/>
    <w:rsid w:val="002A714A"/>
    <w:rsid w:val="002B07AC"/>
    <w:rsid w:val="002B0855"/>
    <w:rsid w:val="002B1327"/>
    <w:rsid w:val="002B151C"/>
    <w:rsid w:val="002B1857"/>
    <w:rsid w:val="002B199F"/>
    <w:rsid w:val="002B1C16"/>
    <w:rsid w:val="002B285D"/>
    <w:rsid w:val="002B2C67"/>
    <w:rsid w:val="002B382B"/>
    <w:rsid w:val="002B43C5"/>
    <w:rsid w:val="002B44B5"/>
    <w:rsid w:val="002B4A13"/>
    <w:rsid w:val="002B4B19"/>
    <w:rsid w:val="002B534C"/>
    <w:rsid w:val="002B57C4"/>
    <w:rsid w:val="002B5A16"/>
    <w:rsid w:val="002B6213"/>
    <w:rsid w:val="002B636F"/>
    <w:rsid w:val="002B6548"/>
    <w:rsid w:val="002B6945"/>
    <w:rsid w:val="002B696E"/>
    <w:rsid w:val="002B757E"/>
    <w:rsid w:val="002C0829"/>
    <w:rsid w:val="002C0A55"/>
    <w:rsid w:val="002C1487"/>
    <w:rsid w:val="002C24AC"/>
    <w:rsid w:val="002C2BCC"/>
    <w:rsid w:val="002C2DCA"/>
    <w:rsid w:val="002C32F3"/>
    <w:rsid w:val="002C3A73"/>
    <w:rsid w:val="002C4354"/>
    <w:rsid w:val="002C484B"/>
    <w:rsid w:val="002C66F3"/>
    <w:rsid w:val="002C6E55"/>
    <w:rsid w:val="002C72C0"/>
    <w:rsid w:val="002C7ABF"/>
    <w:rsid w:val="002C7C11"/>
    <w:rsid w:val="002C7CF4"/>
    <w:rsid w:val="002C7D5C"/>
    <w:rsid w:val="002C7DE4"/>
    <w:rsid w:val="002D0AE9"/>
    <w:rsid w:val="002D15F7"/>
    <w:rsid w:val="002D1912"/>
    <w:rsid w:val="002D1C48"/>
    <w:rsid w:val="002D1CB2"/>
    <w:rsid w:val="002D2108"/>
    <w:rsid w:val="002D24BB"/>
    <w:rsid w:val="002D3415"/>
    <w:rsid w:val="002D4895"/>
    <w:rsid w:val="002D514E"/>
    <w:rsid w:val="002D535F"/>
    <w:rsid w:val="002D5ACF"/>
    <w:rsid w:val="002E073C"/>
    <w:rsid w:val="002E0B05"/>
    <w:rsid w:val="002E2DC3"/>
    <w:rsid w:val="002E30B5"/>
    <w:rsid w:val="002E318A"/>
    <w:rsid w:val="002E39E1"/>
    <w:rsid w:val="002E3C53"/>
    <w:rsid w:val="002E3C6D"/>
    <w:rsid w:val="002E47A8"/>
    <w:rsid w:val="002E5315"/>
    <w:rsid w:val="002E54ED"/>
    <w:rsid w:val="002E5579"/>
    <w:rsid w:val="002E702F"/>
    <w:rsid w:val="002E7763"/>
    <w:rsid w:val="002E77E5"/>
    <w:rsid w:val="002E791B"/>
    <w:rsid w:val="002F04C7"/>
    <w:rsid w:val="002F1383"/>
    <w:rsid w:val="002F18A5"/>
    <w:rsid w:val="002F1CA6"/>
    <w:rsid w:val="002F1F94"/>
    <w:rsid w:val="002F2FFB"/>
    <w:rsid w:val="002F3D7A"/>
    <w:rsid w:val="002F4095"/>
    <w:rsid w:val="002F5557"/>
    <w:rsid w:val="002F5AC8"/>
    <w:rsid w:val="002F7988"/>
    <w:rsid w:val="002F7E97"/>
    <w:rsid w:val="00300355"/>
    <w:rsid w:val="00302018"/>
    <w:rsid w:val="00302953"/>
    <w:rsid w:val="00303814"/>
    <w:rsid w:val="003038F2"/>
    <w:rsid w:val="00304507"/>
    <w:rsid w:val="00304571"/>
    <w:rsid w:val="00304BFB"/>
    <w:rsid w:val="00306035"/>
    <w:rsid w:val="003065E8"/>
    <w:rsid w:val="00306B0A"/>
    <w:rsid w:val="00307AB6"/>
    <w:rsid w:val="00307EBA"/>
    <w:rsid w:val="003103A4"/>
    <w:rsid w:val="003103CA"/>
    <w:rsid w:val="00311CB8"/>
    <w:rsid w:val="00312AE5"/>
    <w:rsid w:val="00312DC1"/>
    <w:rsid w:val="00313620"/>
    <w:rsid w:val="00313942"/>
    <w:rsid w:val="003139E7"/>
    <w:rsid w:val="00313CA3"/>
    <w:rsid w:val="00313D18"/>
    <w:rsid w:val="00314093"/>
    <w:rsid w:val="003150CE"/>
    <w:rsid w:val="003152EF"/>
    <w:rsid w:val="0031532E"/>
    <w:rsid w:val="003155BB"/>
    <w:rsid w:val="00315657"/>
    <w:rsid w:val="00315FE0"/>
    <w:rsid w:val="0031669B"/>
    <w:rsid w:val="00316742"/>
    <w:rsid w:val="00317ABC"/>
    <w:rsid w:val="00317BA9"/>
    <w:rsid w:val="00317C71"/>
    <w:rsid w:val="00320234"/>
    <w:rsid w:val="00320244"/>
    <w:rsid w:val="003207AE"/>
    <w:rsid w:val="00320958"/>
    <w:rsid w:val="003215E5"/>
    <w:rsid w:val="003222EE"/>
    <w:rsid w:val="00322B99"/>
    <w:rsid w:val="003235DB"/>
    <w:rsid w:val="003235DF"/>
    <w:rsid w:val="003249C1"/>
    <w:rsid w:val="00324FA5"/>
    <w:rsid w:val="003265FE"/>
    <w:rsid w:val="00330879"/>
    <w:rsid w:val="00330A7A"/>
    <w:rsid w:val="00330B69"/>
    <w:rsid w:val="00331056"/>
    <w:rsid w:val="00331305"/>
    <w:rsid w:val="00331469"/>
    <w:rsid w:val="00331B25"/>
    <w:rsid w:val="00331F1A"/>
    <w:rsid w:val="00332DFF"/>
    <w:rsid w:val="00333994"/>
    <w:rsid w:val="00333A9E"/>
    <w:rsid w:val="00333AA5"/>
    <w:rsid w:val="00333ABC"/>
    <w:rsid w:val="00334050"/>
    <w:rsid w:val="0033496E"/>
    <w:rsid w:val="00334D89"/>
    <w:rsid w:val="00335290"/>
    <w:rsid w:val="00335863"/>
    <w:rsid w:val="00336534"/>
    <w:rsid w:val="003375D9"/>
    <w:rsid w:val="00337ACB"/>
    <w:rsid w:val="00341396"/>
    <w:rsid w:val="00342E9C"/>
    <w:rsid w:val="00342F9D"/>
    <w:rsid w:val="00343BD0"/>
    <w:rsid w:val="00343F2B"/>
    <w:rsid w:val="00344135"/>
    <w:rsid w:val="00344306"/>
    <w:rsid w:val="00344FFE"/>
    <w:rsid w:val="00345E22"/>
    <w:rsid w:val="00346124"/>
    <w:rsid w:val="003470FB"/>
    <w:rsid w:val="00347676"/>
    <w:rsid w:val="00347CA7"/>
    <w:rsid w:val="00350ADC"/>
    <w:rsid w:val="00351552"/>
    <w:rsid w:val="00352744"/>
    <w:rsid w:val="00352FCE"/>
    <w:rsid w:val="00355034"/>
    <w:rsid w:val="003551A1"/>
    <w:rsid w:val="003551CE"/>
    <w:rsid w:val="003554FF"/>
    <w:rsid w:val="00355CB1"/>
    <w:rsid w:val="00355D81"/>
    <w:rsid w:val="003568DA"/>
    <w:rsid w:val="00357842"/>
    <w:rsid w:val="00357A90"/>
    <w:rsid w:val="00360623"/>
    <w:rsid w:val="00361BCD"/>
    <w:rsid w:val="00361CEF"/>
    <w:rsid w:val="003623B2"/>
    <w:rsid w:val="003625B0"/>
    <w:rsid w:val="00363F0B"/>
    <w:rsid w:val="00364627"/>
    <w:rsid w:val="00364639"/>
    <w:rsid w:val="003654CE"/>
    <w:rsid w:val="00365DBF"/>
    <w:rsid w:val="00366C5C"/>
    <w:rsid w:val="003672C3"/>
    <w:rsid w:val="003676E7"/>
    <w:rsid w:val="00367C34"/>
    <w:rsid w:val="00371282"/>
    <w:rsid w:val="00371DE5"/>
    <w:rsid w:val="00372087"/>
    <w:rsid w:val="003725B4"/>
    <w:rsid w:val="00372C85"/>
    <w:rsid w:val="0037323B"/>
    <w:rsid w:val="0037346E"/>
    <w:rsid w:val="003734C4"/>
    <w:rsid w:val="00373D9D"/>
    <w:rsid w:val="00374CED"/>
    <w:rsid w:val="00376135"/>
    <w:rsid w:val="00377AEA"/>
    <w:rsid w:val="00381A55"/>
    <w:rsid w:val="00381D8B"/>
    <w:rsid w:val="00382178"/>
    <w:rsid w:val="00383563"/>
    <w:rsid w:val="00383BDA"/>
    <w:rsid w:val="00384881"/>
    <w:rsid w:val="00384C10"/>
    <w:rsid w:val="0038522B"/>
    <w:rsid w:val="003858F8"/>
    <w:rsid w:val="00385A32"/>
    <w:rsid w:val="0038648F"/>
    <w:rsid w:val="00386F75"/>
    <w:rsid w:val="00390221"/>
    <w:rsid w:val="00390448"/>
    <w:rsid w:val="00391D78"/>
    <w:rsid w:val="00392007"/>
    <w:rsid w:val="003926ED"/>
    <w:rsid w:val="00392BA3"/>
    <w:rsid w:val="00393AB8"/>
    <w:rsid w:val="00393C6A"/>
    <w:rsid w:val="00393E8B"/>
    <w:rsid w:val="0039416E"/>
    <w:rsid w:val="003951F1"/>
    <w:rsid w:val="003955C0"/>
    <w:rsid w:val="003957FE"/>
    <w:rsid w:val="0039631F"/>
    <w:rsid w:val="0039638A"/>
    <w:rsid w:val="0039751E"/>
    <w:rsid w:val="00397888"/>
    <w:rsid w:val="003978DB"/>
    <w:rsid w:val="003A04E8"/>
    <w:rsid w:val="003A0CEA"/>
    <w:rsid w:val="003A0E85"/>
    <w:rsid w:val="003A0EE5"/>
    <w:rsid w:val="003A0F0F"/>
    <w:rsid w:val="003A1198"/>
    <w:rsid w:val="003A188D"/>
    <w:rsid w:val="003A1945"/>
    <w:rsid w:val="003A1D21"/>
    <w:rsid w:val="003A26E1"/>
    <w:rsid w:val="003A28CF"/>
    <w:rsid w:val="003A2D48"/>
    <w:rsid w:val="003A2FDE"/>
    <w:rsid w:val="003A2FEF"/>
    <w:rsid w:val="003A34C6"/>
    <w:rsid w:val="003A35B1"/>
    <w:rsid w:val="003A3810"/>
    <w:rsid w:val="003A4927"/>
    <w:rsid w:val="003A4E73"/>
    <w:rsid w:val="003A58C1"/>
    <w:rsid w:val="003A59AC"/>
    <w:rsid w:val="003A5E93"/>
    <w:rsid w:val="003A735F"/>
    <w:rsid w:val="003A7997"/>
    <w:rsid w:val="003B166B"/>
    <w:rsid w:val="003B1F38"/>
    <w:rsid w:val="003B229D"/>
    <w:rsid w:val="003B2680"/>
    <w:rsid w:val="003B2F40"/>
    <w:rsid w:val="003B3639"/>
    <w:rsid w:val="003B3DFF"/>
    <w:rsid w:val="003B4459"/>
    <w:rsid w:val="003B5EF9"/>
    <w:rsid w:val="003B6AF6"/>
    <w:rsid w:val="003B6F7D"/>
    <w:rsid w:val="003B7F37"/>
    <w:rsid w:val="003B7F67"/>
    <w:rsid w:val="003C06DC"/>
    <w:rsid w:val="003C0907"/>
    <w:rsid w:val="003C0CF6"/>
    <w:rsid w:val="003C0FC6"/>
    <w:rsid w:val="003C1D39"/>
    <w:rsid w:val="003C1F50"/>
    <w:rsid w:val="003C2163"/>
    <w:rsid w:val="003C23C7"/>
    <w:rsid w:val="003C532F"/>
    <w:rsid w:val="003C5430"/>
    <w:rsid w:val="003C57B3"/>
    <w:rsid w:val="003C6AA3"/>
    <w:rsid w:val="003C72F6"/>
    <w:rsid w:val="003C7D9B"/>
    <w:rsid w:val="003D0B92"/>
    <w:rsid w:val="003D1570"/>
    <w:rsid w:val="003D1A7D"/>
    <w:rsid w:val="003D2262"/>
    <w:rsid w:val="003D39DE"/>
    <w:rsid w:val="003D4826"/>
    <w:rsid w:val="003D58E0"/>
    <w:rsid w:val="003D5C98"/>
    <w:rsid w:val="003D6845"/>
    <w:rsid w:val="003D6922"/>
    <w:rsid w:val="003D7A17"/>
    <w:rsid w:val="003D7A3C"/>
    <w:rsid w:val="003E008F"/>
    <w:rsid w:val="003E123C"/>
    <w:rsid w:val="003E125E"/>
    <w:rsid w:val="003E1B78"/>
    <w:rsid w:val="003E32A5"/>
    <w:rsid w:val="003E3CB6"/>
    <w:rsid w:val="003E4010"/>
    <w:rsid w:val="003E5754"/>
    <w:rsid w:val="003E5D4A"/>
    <w:rsid w:val="003F05D6"/>
    <w:rsid w:val="003F072D"/>
    <w:rsid w:val="003F155F"/>
    <w:rsid w:val="003F1622"/>
    <w:rsid w:val="003F257B"/>
    <w:rsid w:val="003F30CD"/>
    <w:rsid w:val="003F36BA"/>
    <w:rsid w:val="003F4DA7"/>
    <w:rsid w:val="003F5064"/>
    <w:rsid w:val="003F5150"/>
    <w:rsid w:val="003F766E"/>
    <w:rsid w:val="004007C0"/>
    <w:rsid w:val="0040151D"/>
    <w:rsid w:val="0040174B"/>
    <w:rsid w:val="004033B3"/>
    <w:rsid w:val="00403B99"/>
    <w:rsid w:val="00404474"/>
    <w:rsid w:val="00405139"/>
    <w:rsid w:val="00405303"/>
    <w:rsid w:val="004055E1"/>
    <w:rsid w:val="00410383"/>
    <w:rsid w:val="00410570"/>
    <w:rsid w:val="004111DF"/>
    <w:rsid w:val="00411422"/>
    <w:rsid w:val="0041225D"/>
    <w:rsid w:val="0041359E"/>
    <w:rsid w:val="004135B7"/>
    <w:rsid w:val="00413612"/>
    <w:rsid w:val="004144C0"/>
    <w:rsid w:val="0041549A"/>
    <w:rsid w:val="00416AED"/>
    <w:rsid w:val="00417C8D"/>
    <w:rsid w:val="00421B57"/>
    <w:rsid w:val="00421D40"/>
    <w:rsid w:val="00421E9A"/>
    <w:rsid w:val="00422074"/>
    <w:rsid w:val="004227A5"/>
    <w:rsid w:val="004234FA"/>
    <w:rsid w:val="0042392F"/>
    <w:rsid w:val="0042442B"/>
    <w:rsid w:val="00424793"/>
    <w:rsid w:val="004247C4"/>
    <w:rsid w:val="00425621"/>
    <w:rsid w:val="00425BF8"/>
    <w:rsid w:val="00427BA4"/>
    <w:rsid w:val="00427CA6"/>
    <w:rsid w:val="00427ED1"/>
    <w:rsid w:val="00430151"/>
    <w:rsid w:val="00431996"/>
    <w:rsid w:val="00431AA3"/>
    <w:rsid w:val="00431D5D"/>
    <w:rsid w:val="00432605"/>
    <w:rsid w:val="0043269A"/>
    <w:rsid w:val="00432D0B"/>
    <w:rsid w:val="004335D3"/>
    <w:rsid w:val="0043420E"/>
    <w:rsid w:val="004347A2"/>
    <w:rsid w:val="00434B06"/>
    <w:rsid w:val="00435402"/>
    <w:rsid w:val="004358FC"/>
    <w:rsid w:val="004363A7"/>
    <w:rsid w:val="00437794"/>
    <w:rsid w:val="0044029B"/>
    <w:rsid w:val="00440719"/>
    <w:rsid w:val="004409E4"/>
    <w:rsid w:val="004414CA"/>
    <w:rsid w:val="004416D6"/>
    <w:rsid w:val="00441E14"/>
    <w:rsid w:val="00441FBB"/>
    <w:rsid w:val="00442015"/>
    <w:rsid w:val="004429DF"/>
    <w:rsid w:val="004435C0"/>
    <w:rsid w:val="004447A2"/>
    <w:rsid w:val="00444A11"/>
    <w:rsid w:val="004464A7"/>
    <w:rsid w:val="00446D3D"/>
    <w:rsid w:val="00446DD4"/>
    <w:rsid w:val="00447447"/>
    <w:rsid w:val="00447842"/>
    <w:rsid w:val="00447D9E"/>
    <w:rsid w:val="00450F39"/>
    <w:rsid w:val="004511FE"/>
    <w:rsid w:val="0045121C"/>
    <w:rsid w:val="00451D1B"/>
    <w:rsid w:val="00451F06"/>
    <w:rsid w:val="004530C4"/>
    <w:rsid w:val="0045356F"/>
    <w:rsid w:val="00454769"/>
    <w:rsid w:val="004559EA"/>
    <w:rsid w:val="00455A99"/>
    <w:rsid w:val="00455D7B"/>
    <w:rsid w:val="00456EE0"/>
    <w:rsid w:val="00457245"/>
    <w:rsid w:val="004574C0"/>
    <w:rsid w:val="00460880"/>
    <w:rsid w:val="004614E1"/>
    <w:rsid w:val="00461CF5"/>
    <w:rsid w:val="0046267F"/>
    <w:rsid w:val="00462BAA"/>
    <w:rsid w:val="00463A79"/>
    <w:rsid w:val="00463FB4"/>
    <w:rsid w:val="004640A3"/>
    <w:rsid w:val="004640F4"/>
    <w:rsid w:val="00465821"/>
    <w:rsid w:val="00465A7C"/>
    <w:rsid w:val="00465BAB"/>
    <w:rsid w:val="00465DFE"/>
    <w:rsid w:val="004662E3"/>
    <w:rsid w:val="00466D46"/>
    <w:rsid w:val="00467780"/>
    <w:rsid w:val="00467D7F"/>
    <w:rsid w:val="00467DC0"/>
    <w:rsid w:val="00470D23"/>
    <w:rsid w:val="0047195C"/>
    <w:rsid w:val="00472EB8"/>
    <w:rsid w:val="00474F7D"/>
    <w:rsid w:val="00476BF2"/>
    <w:rsid w:val="00477093"/>
    <w:rsid w:val="004772A7"/>
    <w:rsid w:val="00477BEB"/>
    <w:rsid w:val="004806BF"/>
    <w:rsid w:val="00481270"/>
    <w:rsid w:val="00482707"/>
    <w:rsid w:val="0048395E"/>
    <w:rsid w:val="00483B4C"/>
    <w:rsid w:val="00484401"/>
    <w:rsid w:val="004844B3"/>
    <w:rsid w:val="0048487F"/>
    <w:rsid w:val="00484F47"/>
    <w:rsid w:val="0048655C"/>
    <w:rsid w:val="0048726C"/>
    <w:rsid w:val="00487C73"/>
    <w:rsid w:val="00490123"/>
    <w:rsid w:val="004914BE"/>
    <w:rsid w:val="00491789"/>
    <w:rsid w:val="00491C25"/>
    <w:rsid w:val="00491E91"/>
    <w:rsid w:val="004928D8"/>
    <w:rsid w:val="00493074"/>
    <w:rsid w:val="00493827"/>
    <w:rsid w:val="0049473B"/>
    <w:rsid w:val="00494F30"/>
    <w:rsid w:val="00496E74"/>
    <w:rsid w:val="004975F6"/>
    <w:rsid w:val="00497883"/>
    <w:rsid w:val="00497921"/>
    <w:rsid w:val="004A048B"/>
    <w:rsid w:val="004A152F"/>
    <w:rsid w:val="004A26D2"/>
    <w:rsid w:val="004A3402"/>
    <w:rsid w:val="004A3C25"/>
    <w:rsid w:val="004A456C"/>
    <w:rsid w:val="004A4B98"/>
    <w:rsid w:val="004A4DC1"/>
    <w:rsid w:val="004A6144"/>
    <w:rsid w:val="004A63C4"/>
    <w:rsid w:val="004A67E6"/>
    <w:rsid w:val="004A6928"/>
    <w:rsid w:val="004A6EF5"/>
    <w:rsid w:val="004A7668"/>
    <w:rsid w:val="004B0238"/>
    <w:rsid w:val="004B2469"/>
    <w:rsid w:val="004B2CE8"/>
    <w:rsid w:val="004B310C"/>
    <w:rsid w:val="004B330F"/>
    <w:rsid w:val="004B3959"/>
    <w:rsid w:val="004B399D"/>
    <w:rsid w:val="004B4754"/>
    <w:rsid w:val="004B47FF"/>
    <w:rsid w:val="004B5A49"/>
    <w:rsid w:val="004B615B"/>
    <w:rsid w:val="004B6840"/>
    <w:rsid w:val="004B786B"/>
    <w:rsid w:val="004B78FE"/>
    <w:rsid w:val="004C123E"/>
    <w:rsid w:val="004C2039"/>
    <w:rsid w:val="004C24BD"/>
    <w:rsid w:val="004C3603"/>
    <w:rsid w:val="004C3722"/>
    <w:rsid w:val="004C54DD"/>
    <w:rsid w:val="004C5743"/>
    <w:rsid w:val="004C5AE7"/>
    <w:rsid w:val="004C6319"/>
    <w:rsid w:val="004C6F6A"/>
    <w:rsid w:val="004C7148"/>
    <w:rsid w:val="004C7408"/>
    <w:rsid w:val="004C7459"/>
    <w:rsid w:val="004C7DD1"/>
    <w:rsid w:val="004D1BEC"/>
    <w:rsid w:val="004D2672"/>
    <w:rsid w:val="004D3A7E"/>
    <w:rsid w:val="004D3B27"/>
    <w:rsid w:val="004D49CB"/>
    <w:rsid w:val="004D4C84"/>
    <w:rsid w:val="004D5821"/>
    <w:rsid w:val="004D721D"/>
    <w:rsid w:val="004D7CB7"/>
    <w:rsid w:val="004D7FB0"/>
    <w:rsid w:val="004E062A"/>
    <w:rsid w:val="004E0E02"/>
    <w:rsid w:val="004E16E1"/>
    <w:rsid w:val="004E1D19"/>
    <w:rsid w:val="004E2243"/>
    <w:rsid w:val="004E3A83"/>
    <w:rsid w:val="004E44C9"/>
    <w:rsid w:val="004E5F0F"/>
    <w:rsid w:val="004E603A"/>
    <w:rsid w:val="004E7578"/>
    <w:rsid w:val="004E78F6"/>
    <w:rsid w:val="004E7E37"/>
    <w:rsid w:val="004E7EF2"/>
    <w:rsid w:val="004F0283"/>
    <w:rsid w:val="004F056D"/>
    <w:rsid w:val="004F1347"/>
    <w:rsid w:val="004F13C2"/>
    <w:rsid w:val="004F1BAF"/>
    <w:rsid w:val="004F2DFD"/>
    <w:rsid w:val="004F2E1D"/>
    <w:rsid w:val="004F36A9"/>
    <w:rsid w:val="004F43D5"/>
    <w:rsid w:val="004F4DC4"/>
    <w:rsid w:val="004F5135"/>
    <w:rsid w:val="004F5DD5"/>
    <w:rsid w:val="004F5F4A"/>
    <w:rsid w:val="004F6190"/>
    <w:rsid w:val="004F6A77"/>
    <w:rsid w:val="004F6B1E"/>
    <w:rsid w:val="004F6BF4"/>
    <w:rsid w:val="004F6E08"/>
    <w:rsid w:val="004F6F0F"/>
    <w:rsid w:val="004F7162"/>
    <w:rsid w:val="004F73B3"/>
    <w:rsid w:val="004F7C8F"/>
    <w:rsid w:val="00500012"/>
    <w:rsid w:val="005002F2"/>
    <w:rsid w:val="00500DF8"/>
    <w:rsid w:val="00501485"/>
    <w:rsid w:val="005019B8"/>
    <w:rsid w:val="00501F79"/>
    <w:rsid w:val="0050296F"/>
    <w:rsid w:val="00502E80"/>
    <w:rsid w:val="005036DA"/>
    <w:rsid w:val="0050423E"/>
    <w:rsid w:val="00504509"/>
    <w:rsid w:val="00504521"/>
    <w:rsid w:val="0050490D"/>
    <w:rsid w:val="00505143"/>
    <w:rsid w:val="00506679"/>
    <w:rsid w:val="005077EC"/>
    <w:rsid w:val="00507992"/>
    <w:rsid w:val="005105D1"/>
    <w:rsid w:val="0051077D"/>
    <w:rsid w:val="00510928"/>
    <w:rsid w:val="00510941"/>
    <w:rsid w:val="005133C2"/>
    <w:rsid w:val="00514399"/>
    <w:rsid w:val="00515AF0"/>
    <w:rsid w:val="005162E0"/>
    <w:rsid w:val="00516E5D"/>
    <w:rsid w:val="00516EEE"/>
    <w:rsid w:val="00517997"/>
    <w:rsid w:val="005202E4"/>
    <w:rsid w:val="005204F1"/>
    <w:rsid w:val="00521AB2"/>
    <w:rsid w:val="00521D5F"/>
    <w:rsid w:val="00523030"/>
    <w:rsid w:val="005232ED"/>
    <w:rsid w:val="00524926"/>
    <w:rsid w:val="00525368"/>
    <w:rsid w:val="005255D8"/>
    <w:rsid w:val="00525AAE"/>
    <w:rsid w:val="00525B25"/>
    <w:rsid w:val="005264EA"/>
    <w:rsid w:val="00526B7C"/>
    <w:rsid w:val="00526F45"/>
    <w:rsid w:val="00530139"/>
    <w:rsid w:val="005307B5"/>
    <w:rsid w:val="00530BD5"/>
    <w:rsid w:val="00531484"/>
    <w:rsid w:val="00531736"/>
    <w:rsid w:val="00531CB9"/>
    <w:rsid w:val="005326E9"/>
    <w:rsid w:val="0053308B"/>
    <w:rsid w:val="005337A3"/>
    <w:rsid w:val="00533A5D"/>
    <w:rsid w:val="00534145"/>
    <w:rsid w:val="0053414A"/>
    <w:rsid w:val="00534E08"/>
    <w:rsid w:val="005352EC"/>
    <w:rsid w:val="0053586B"/>
    <w:rsid w:val="0053590E"/>
    <w:rsid w:val="00535AA9"/>
    <w:rsid w:val="00535FC2"/>
    <w:rsid w:val="005360F9"/>
    <w:rsid w:val="005361F3"/>
    <w:rsid w:val="00536911"/>
    <w:rsid w:val="00536B24"/>
    <w:rsid w:val="00536BA9"/>
    <w:rsid w:val="00536C73"/>
    <w:rsid w:val="005374A3"/>
    <w:rsid w:val="005377C7"/>
    <w:rsid w:val="00540873"/>
    <w:rsid w:val="005412A9"/>
    <w:rsid w:val="00541FEC"/>
    <w:rsid w:val="00542790"/>
    <w:rsid w:val="00545BD9"/>
    <w:rsid w:val="00545E3E"/>
    <w:rsid w:val="005466F0"/>
    <w:rsid w:val="00546DF3"/>
    <w:rsid w:val="00547628"/>
    <w:rsid w:val="0055008F"/>
    <w:rsid w:val="00550B98"/>
    <w:rsid w:val="00551514"/>
    <w:rsid w:val="0055195A"/>
    <w:rsid w:val="00552A03"/>
    <w:rsid w:val="00552A3D"/>
    <w:rsid w:val="00553D7A"/>
    <w:rsid w:val="00553EBA"/>
    <w:rsid w:val="00554C88"/>
    <w:rsid w:val="0055512D"/>
    <w:rsid w:val="00555245"/>
    <w:rsid w:val="00555509"/>
    <w:rsid w:val="005562E1"/>
    <w:rsid w:val="005570B7"/>
    <w:rsid w:val="005578BF"/>
    <w:rsid w:val="00557B18"/>
    <w:rsid w:val="00557CF0"/>
    <w:rsid w:val="00557FD1"/>
    <w:rsid w:val="00560061"/>
    <w:rsid w:val="00560C45"/>
    <w:rsid w:val="00561ABE"/>
    <w:rsid w:val="00562254"/>
    <w:rsid w:val="0056314D"/>
    <w:rsid w:val="005633B8"/>
    <w:rsid w:val="00563CD8"/>
    <w:rsid w:val="005646E6"/>
    <w:rsid w:val="005647EF"/>
    <w:rsid w:val="005654CE"/>
    <w:rsid w:val="0056607A"/>
    <w:rsid w:val="00566265"/>
    <w:rsid w:val="005664D8"/>
    <w:rsid w:val="005666C3"/>
    <w:rsid w:val="00566C65"/>
    <w:rsid w:val="005700CB"/>
    <w:rsid w:val="00571567"/>
    <w:rsid w:val="005722A9"/>
    <w:rsid w:val="00572594"/>
    <w:rsid w:val="005728D8"/>
    <w:rsid w:val="00573280"/>
    <w:rsid w:val="0057411C"/>
    <w:rsid w:val="005747C6"/>
    <w:rsid w:val="00574B5B"/>
    <w:rsid w:val="00574B91"/>
    <w:rsid w:val="00575124"/>
    <w:rsid w:val="005753A7"/>
    <w:rsid w:val="00575BEB"/>
    <w:rsid w:val="005765D3"/>
    <w:rsid w:val="0057672A"/>
    <w:rsid w:val="005779FE"/>
    <w:rsid w:val="00577CD8"/>
    <w:rsid w:val="00580296"/>
    <w:rsid w:val="005804D3"/>
    <w:rsid w:val="00581109"/>
    <w:rsid w:val="005815E3"/>
    <w:rsid w:val="005823CA"/>
    <w:rsid w:val="005823D5"/>
    <w:rsid w:val="00582FB0"/>
    <w:rsid w:val="00583F51"/>
    <w:rsid w:val="0058592C"/>
    <w:rsid w:val="00585B8B"/>
    <w:rsid w:val="005865FB"/>
    <w:rsid w:val="005867F1"/>
    <w:rsid w:val="00586CAA"/>
    <w:rsid w:val="0058784D"/>
    <w:rsid w:val="00587BCC"/>
    <w:rsid w:val="00587D77"/>
    <w:rsid w:val="00590839"/>
    <w:rsid w:val="00591D9E"/>
    <w:rsid w:val="00592467"/>
    <w:rsid w:val="005924FB"/>
    <w:rsid w:val="00592F1D"/>
    <w:rsid w:val="00593FCC"/>
    <w:rsid w:val="00594006"/>
    <w:rsid w:val="005946D1"/>
    <w:rsid w:val="005949C3"/>
    <w:rsid w:val="0059588A"/>
    <w:rsid w:val="00595F32"/>
    <w:rsid w:val="00596284"/>
    <w:rsid w:val="005962ED"/>
    <w:rsid w:val="005964C2"/>
    <w:rsid w:val="0059673F"/>
    <w:rsid w:val="00596C51"/>
    <w:rsid w:val="00596FBA"/>
    <w:rsid w:val="005A1234"/>
    <w:rsid w:val="005A2931"/>
    <w:rsid w:val="005A2E85"/>
    <w:rsid w:val="005A3661"/>
    <w:rsid w:val="005A36C3"/>
    <w:rsid w:val="005A3C68"/>
    <w:rsid w:val="005A41E4"/>
    <w:rsid w:val="005A446B"/>
    <w:rsid w:val="005A47B1"/>
    <w:rsid w:val="005A5F64"/>
    <w:rsid w:val="005A6030"/>
    <w:rsid w:val="005A63F4"/>
    <w:rsid w:val="005A6405"/>
    <w:rsid w:val="005A690F"/>
    <w:rsid w:val="005A6B4B"/>
    <w:rsid w:val="005A77B6"/>
    <w:rsid w:val="005B05F7"/>
    <w:rsid w:val="005B1429"/>
    <w:rsid w:val="005B15FC"/>
    <w:rsid w:val="005B21A2"/>
    <w:rsid w:val="005B2900"/>
    <w:rsid w:val="005B2C2F"/>
    <w:rsid w:val="005B2F51"/>
    <w:rsid w:val="005B2FB3"/>
    <w:rsid w:val="005B3185"/>
    <w:rsid w:val="005B3357"/>
    <w:rsid w:val="005B459F"/>
    <w:rsid w:val="005B57AD"/>
    <w:rsid w:val="005B5CFA"/>
    <w:rsid w:val="005B73E4"/>
    <w:rsid w:val="005B7527"/>
    <w:rsid w:val="005B79E3"/>
    <w:rsid w:val="005C0024"/>
    <w:rsid w:val="005C02DA"/>
    <w:rsid w:val="005C0494"/>
    <w:rsid w:val="005C18FC"/>
    <w:rsid w:val="005C1F96"/>
    <w:rsid w:val="005C3344"/>
    <w:rsid w:val="005C3486"/>
    <w:rsid w:val="005C3FF4"/>
    <w:rsid w:val="005C4543"/>
    <w:rsid w:val="005C510B"/>
    <w:rsid w:val="005C601E"/>
    <w:rsid w:val="005C6698"/>
    <w:rsid w:val="005D01B7"/>
    <w:rsid w:val="005D06D6"/>
    <w:rsid w:val="005D2650"/>
    <w:rsid w:val="005D26AD"/>
    <w:rsid w:val="005D2EDD"/>
    <w:rsid w:val="005D3181"/>
    <w:rsid w:val="005D44BA"/>
    <w:rsid w:val="005D4A7A"/>
    <w:rsid w:val="005D4F95"/>
    <w:rsid w:val="005D55E6"/>
    <w:rsid w:val="005D5CA2"/>
    <w:rsid w:val="005D73D1"/>
    <w:rsid w:val="005D7856"/>
    <w:rsid w:val="005E08D3"/>
    <w:rsid w:val="005E0B31"/>
    <w:rsid w:val="005E0D4E"/>
    <w:rsid w:val="005E2114"/>
    <w:rsid w:val="005E2609"/>
    <w:rsid w:val="005E269A"/>
    <w:rsid w:val="005E367F"/>
    <w:rsid w:val="005E3B98"/>
    <w:rsid w:val="005E3BC7"/>
    <w:rsid w:val="005E729E"/>
    <w:rsid w:val="005E7653"/>
    <w:rsid w:val="005E768A"/>
    <w:rsid w:val="005E7B08"/>
    <w:rsid w:val="005E7B9B"/>
    <w:rsid w:val="005F10BB"/>
    <w:rsid w:val="005F12D3"/>
    <w:rsid w:val="005F170B"/>
    <w:rsid w:val="005F1838"/>
    <w:rsid w:val="005F1FED"/>
    <w:rsid w:val="005F22BD"/>
    <w:rsid w:val="005F24FF"/>
    <w:rsid w:val="005F4029"/>
    <w:rsid w:val="005F47B3"/>
    <w:rsid w:val="005F50FC"/>
    <w:rsid w:val="005F518B"/>
    <w:rsid w:val="005F5912"/>
    <w:rsid w:val="005F5D63"/>
    <w:rsid w:val="005F682B"/>
    <w:rsid w:val="005F75E3"/>
    <w:rsid w:val="005F7648"/>
    <w:rsid w:val="00600469"/>
    <w:rsid w:val="0060046C"/>
    <w:rsid w:val="006007A8"/>
    <w:rsid w:val="00600839"/>
    <w:rsid w:val="00600926"/>
    <w:rsid w:val="00606B71"/>
    <w:rsid w:val="0060790C"/>
    <w:rsid w:val="00607FAD"/>
    <w:rsid w:val="00610BF5"/>
    <w:rsid w:val="006113A7"/>
    <w:rsid w:val="00613121"/>
    <w:rsid w:val="0061382A"/>
    <w:rsid w:val="00615073"/>
    <w:rsid w:val="00615E61"/>
    <w:rsid w:val="00616625"/>
    <w:rsid w:val="0061683E"/>
    <w:rsid w:val="0061795D"/>
    <w:rsid w:val="00617D32"/>
    <w:rsid w:val="00617FE8"/>
    <w:rsid w:val="006219AF"/>
    <w:rsid w:val="00621B92"/>
    <w:rsid w:val="006234CD"/>
    <w:rsid w:val="00623F57"/>
    <w:rsid w:val="00624A49"/>
    <w:rsid w:val="00624C5A"/>
    <w:rsid w:val="00625866"/>
    <w:rsid w:val="00625EE1"/>
    <w:rsid w:val="00626A18"/>
    <w:rsid w:val="00627097"/>
    <w:rsid w:val="00627733"/>
    <w:rsid w:val="00630490"/>
    <w:rsid w:val="00631123"/>
    <w:rsid w:val="006311A3"/>
    <w:rsid w:val="006323BD"/>
    <w:rsid w:val="006327DC"/>
    <w:rsid w:val="00633D93"/>
    <w:rsid w:val="006350ED"/>
    <w:rsid w:val="00635887"/>
    <w:rsid w:val="0063621E"/>
    <w:rsid w:val="00637FFC"/>
    <w:rsid w:val="0064062C"/>
    <w:rsid w:val="00641046"/>
    <w:rsid w:val="00641479"/>
    <w:rsid w:val="00641599"/>
    <w:rsid w:val="00642476"/>
    <w:rsid w:val="006430D9"/>
    <w:rsid w:val="00643D02"/>
    <w:rsid w:val="00643D99"/>
    <w:rsid w:val="006449DC"/>
    <w:rsid w:val="00644CEE"/>
    <w:rsid w:val="0064508A"/>
    <w:rsid w:val="00646026"/>
    <w:rsid w:val="0064727A"/>
    <w:rsid w:val="00650107"/>
    <w:rsid w:val="00650975"/>
    <w:rsid w:val="00650D94"/>
    <w:rsid w:val="00651417"/>
    <w:rsid w:val="00651724"/>
    <w:rsid w:val="00651872"/>
    <w:rsid w:val="0065188B"/>
    <w:rsid w:val="00652897"/>
    <w:rsid w:val="00653A7F"/>
    <w:rsid w:val="00655072"/>
    <w:rsid w:val="00655926"/>
    <w:rsid w:val="00655A9E"/>
    <w:rsid w:val="00655D13"/>
    <w:rsid w:val="006567B6"/>
    <w:rsid w:val="0065710E"/>
    <w:rsid w:val="00660DF7"/>
    <w:rsid w:val="00661204"/>
    <w:rsid w:val="00661C7E"/>
    <w:rsid w:val="00663A2B"/>
    <w:rsid w:val="00664651"/>
    <w:rsid w:val="00664ABB"/>
    <w:rsid w:val="00666428"/>
    <w:rsid w:val="00666B9E"/>
    <w:rsid w:val="00667B23"/>
    <w:rsid w:val="006702A5"/>
    <w:rsid w:val="00670603"/>
    <w:rsid w:val="00670E90"/>
    <w:rsid w:val="0067115C"/>
    <w:rsid w:val="0067150C"/>
    <w:rsid w:val="00671CA9"/>
    <w:rsid w:val="006720C5"/>
    <w:rsid w:val="00672FD3"/>
    <w:rsid w:val="0067326F"/>
    <w:rsid w:val="00674E79"/>
    <w:rsid w:val="00674FDE"/>
    <w:rsid w:val="00676064"/>
    <w:rsid w:val="006765CD"/>
    <w:rsid w:val="00676628"/>
    <w:rsid w:val="0067697C"/>
    <w:rsid w:val="0068042D"/>
    <w:rsid w:val="00680F3F"/>
    <w:rsid w:val="0068155A"/>
    <w:rsid w:val="00681F08"/>
    <w:rsid w:val="00682617"/>
    <w:rsid w:val="00683D2E"/>
    <w:rsid w:val="006866A6"/>
    <w:rsid w:val="00686B2C"/>
    <w:rsid w:val="00686E1E"/>
    <w:rsid w:val="006871B6"/>
    <w:rsid w:val="006907F6"/>
    <w:rsid w:val="00693599"/>
    <w:rsid w:val="00694597"/>
    <w:rsid w:val="006945E2"/>
    <w:rsid w:val="00694E44"/>
    <w:rsid w:val="006951E4"/>
    <w:rsid w:val="00695A60"/>
    <w:rsid w:val="00696005"/>
    <w:rsid w:val="00696202"/>
    <w:rsid w:val="0069620D"/>
    <w:rsid w:val="006A009F"/>
    <w:rsid w:val="006A05B7"/>
    <w:rsid w:val="006A077A"/>
    <w:rsid w:val="006A088F"/>
    <w:rsid w:val="006A08E2"/>
    <w:rsid w:val="006A0B94"/>
    <w:rsid w:val="006A0E6F"/>
    <w:rsid w:val="006A114B"/>
    <w:rsid w:val="006A1BDA"/>
    <w:rsid w:val="006A35B9"/>
    <w:rsid w:val="006A35F0"/>
    <w:rsid w:val="006A3FF6"/>
    <w:rsid w:val="006A44B0"/>
    <w:rsid w:val="006A4AEC"/>
    <w:rsid w:val="006A5884"/>
    <w:rsid w:val="006A5C34"/>
    <w:rsid w:val="006A6A50"/>
    <w:rsid w:val="006A73A4"/>
    <w:rsid w:val="006B1022"/>
    <w:rsid w:val="006B16FC"/>
    <w:rsid w:val="006B19B3"/>
    <w:rsid w:val="006B23CB"/>
    <w:rsid w:val="006B2516"/>
    <w:rsid w:val="006B2B5B"/>
    <w:rsid w:val="006B3483"/>
    <w:rsid w:val="006B367E"/>
    <w:rsid w:val="006B38C9"/>
    <w:rsid w:val="006B3F8B"/>
    <w:rsid w:val="006B570C"/>
    <w:rsid w:val="006B5B94"/>
    <w:rsid w:val="006B61CC"/>
    <w:rsid w:val="006B634D"/>
    <w:rsid w:val="006B67AF"/>
    <w:rsid w:val="006C0AA3"/>
    <w:rsid w:val="006C0B50"/>
    <w:rsid w:val="006C1779"/>
    <w:rsid w:val="006C204E"/>
    <w:rsid w:val="006C294D"/>
    <w:rsid w:val="006C2F99"/>
    <w:rsid w:val="006C3029"/>
    <w:rsid w:val="006C392C"/>
    <w:rsid w:val="006C3A24"/>
    <w:rsid w:val="006C599A"/>
    <w:rsid w:val="006C6395"/>
    <w:rsid w:val="006C6B67"/>
    <w:rsid w:val="006C731B"/>
    <w:rsid w:val="006D0476"/>
    <w:rsid w:val="006D1C6F"/>
    <w:rsid w:val="006D1DE1"/>
    <w:rsid w:val="006D2C54"/>
    <w:rsid w:val="006D3777"/>
    <w:rsid w:val="006D382B"/>
    <w:rsid w:val="006D3BBC"/>
    <w:rsid w:val="006D3E56"/>
    <w:rsid w:val="006D4604"/>
    <w:rsid w:val="006D4679"/>
    <w:rsid w:val="006D4B95"/>
    <w:rsid w:val="006D4F2E"/>
    <w:rsid w:val="006D51DE"/>
    <w:rsid w:val="006D589E"/>
    <w:rsid w:val="006D6D15"/>
    <w:rsid w:val="006D71FB"/>
    <w:rsid w:val="006D78A7"/>
    <w:rsid w:val="006E029E"/>
    <w:rsid w:val="006E0AC0"/>
    <w:rsid w:val="006E1BE4"/>
    <w:rsid w:val="006E5EE5"/>
    <w:rsid w:val="006E69CD"/>
    <w:rsid w:val="006F092A"/>
    <w:rsid w:val="006F0D09"/>
    <w:rsid w:val="006F0E95"/>
    <w:rsid w:val="006F106C"/>
    <w:rsid w:val="006F13FB"/>
    <w:rsid w:val="006F1419"/>
    <w:rsid w:val="006F1BD3"/>
    <w:rsid w:val="006F1CE2"/>
    <w:rsid w:val="006F203E"/>
    <w:rsid w:val="006F2929"/>
    <w:rsid w:val="006F35B3"/>
    <w:rsid w:val="006F3E00"/>
    <w:rsid w:val="006F423A"/>
    <w:rsid w:val="006F4D81"/>
    <w:rsid w:val="006F52B8"/>
    <w:rsid w:val="006F6863"/>
    <w:rsid w:val="006F6964"/>
    <w:rsid w:val="006F7CE9"/>
    <w:rsid w:val="007004E4"/>
    <w:rsid w:val="00700DEB"/>
    <w:rsid w:val="00701B30"/>
    <w:rsid w:val="00701B32"/>
    <w:rsid w:val="00701B61"/>
    <w:rsid w:val="007021A6"/>
    <w:rsid w:val="007021DE"/>
    <w:rsid w:val="00702C26"/>
    <w:rsid w:val="007032F3"/>
    <w:rsid w:val="00703601"/>
    <w:rsid w:val="00705601"/>
    <w:rsid w:val="007067B4"/>
    <w:rsid w:val="00706AEC"/>
    <w:rsid w:val="00706D9B"/>
    <w:rsid w:val="007078F9"/>
    <w:rsid w:val="00707DB1"/>
    <w:rsid w:val="00710601"/>
    <w:rsid w:val="00710C07"/>
    <w:rsid w:val="00710EB6"/>
    <w:rsid w:val="0071108E"/>
    <w:rsid w:val="00711EB7"/>
    <w:rsid w:val="007120C0"/>
    <w:rsid w:val="007123B5"/>
    <w:rsid w:val="00712E99"/>
    <w:rsid w:val="00713BB2"/>
    <w:rsid w:val="00713BE1"/>
    <w:rsid w:val="007140E8"/>
    <w:rsid w:val="0071419B"/>
    <w:rsid w:val="00714A43"/>
    <w:rsid w:val="007157A5"/>
    <w:rsid w:val="00715C8F"/>
    <w:rsid w:val="00715CEA"/>
    <w:rsid w:val="007165E5"/>
    <w:rsid w:val="00716FBC"/>
    <w:rsid w:val="007171DE"/>
    <w:rsid w:val="007176D2"/>
    <w:rsid w:val="007203D0"/>
    <w:rsid w:val="0072067D"/>
    <w:rsid w:val="00721250"/>
    <w:rsid w:val="00721B03"/>
    <w:rsid w:val="00721F56"/>
    <w:rsid w:val="0072417B"/>
    <w:rsid w:val="007247B0"/>
    <w:rsid w:val="00724AAA"/>
    <w:rsid w:val="00724B97"/>
    <w:rsid w:val="00724D94"/>
    <w:rsid w:val="0072581A"/>
    <w:rsid w:val="00725D71"/>
    <w:rsid w:val="00726360"/>
    <w:rsid w:val="007270A8"/>
    <w:rsid w:val="00727977"/>
    <w:rsid w:val="007303A2"/>
    <w:rsid w:val="00730762"/>
    <w:rsid w:val="0073103F"/>
    <w:rsid w:val="00732545"/>
    <w:rsid w:val="0073413E"/>
    <w:rsid w:val="00734687"/>
    <w:rsid w:val="00734698"/>
    <w:rsid w:val="007348B2"/>
    <w:rsid w:val="007350FD"/>
    <w:rsid w:val="00736BD9"/>
    <w:rsid w:val="00736E8B"/>
    <w:rsid w:val="00736F1D"/>
    <w:rsid w:val="007375C1"/>
    <w:rsid w:val="00737FB4"/>
    <w:rsid w:val="00740811"/>
    <w:rsid w:val="007408B7"/>
    <w:rsid w:val="00740EFE"/>
    <w:rsid w:val="00741E8D"/>
    <w:rsid w:val="0074237B"/>
    <w:rsid w:val="00742911"/>
    <w:rsid w:val="00743092"/>
    <w:rsid w:val="007438EE"/>
    <w:rsid w:val="00743943"/>
    <w:rsid w:val="00743F33"/>
    <w:rsid w:val="007440E9"/>
    <w:rsid w:val="00745371"/>
    <w:rsid w:val="007459CC"/>
    <w:rsid w:val="007465D2"/>
    <w:rsid w:val="00746DFB"/>
    <w:rsid w:val="007475E4"/>
    <w:rsid w:val="007509D7"/>
    <w:rsid w:val="00750E2A"/>
    <w:rsid w:val="00751EE2"/>
    <w:rsid w:val="0075278A"/>
    <w:rsid w:val="007544BD"/>
    <w:rsid w:val="00754B2D"/>
    <w:rsid w:val="00754F67"/>
    <w:rsid w:val="007551B2"/>
    <w:rsid w:val="00755D59"/>
    <w:rsid w:val="00756407"/>
    <w:rsid w:val="00756D77"/>
    <w:rsid w:val="00757668"/>
    <w:rsid w:val="00757993"/>
    <w:rsid w:val="00757B1C"/>
    <w:rsid w:val="00760AC6"/>
    <w:rsid w:val="00760D0E"/>
    <w:rsid w:val="00761137"/>
    <w:rsid w:val="007616D4"/>
    <w:rsid w:val="007622F8"/>
    <w:rsid w:val="00762471"/>
    <w:rsid w:val="00762973"/>
    <w:rsid w:val="0076418D"/>
    <w:rsid w:val="0076686E"/>
    <w:rsid w:val="00766BE0"/>
    <w:rsid w:val="00766CBF"/>
    <w:rsid w:val="007670C3"/>
    <w:rsid w:val="00767EC3"/>
    <w:rsid w:val="00770D15"/>
    <w:rsid w:val="00772838"/>
    <w:rsid w:val="00772C66"/>
    <w:rsid w:val="00773645"/>
    <w:rsid w:val="00773788"/>
    <w:rsid w:val="00774048"/>
    <w:rsid w:val="00774217"/>
    <w:rsid w:val="00774C72"/>
    <w:rsid w:val="007752D1"/>
    <w:rsid w:val="00776CB1"/>
    <w:rsid w:val="00780C25"/>
    <w:rsid w:val="0078169C"/>
    <w:rsid w:val="007823A0"/>
    <w:rsid w:val="00783970"/>
    <w:rsid w:val="00784017"/>
    <w:rsid w:val="00784038"/>
    <w:rsid w:val="00784A2A"/>
    <w:rsid w:val="00784BB4"/>
    <w:rsid w:val="0078667E"/>
    <w:rsid w:val="00787EC4"/>
    <w:rsid w:val="00790BA4"/>
    <w:rsid w:val="007914E7"/>
    <w:rsid w:val="0079155B"/>
    <w:rsid w:val="00792317"/>
    <w:rsid w:val="00792816"/>
    <w:rsid w:val="00792AF5"/>
    <w:rsid w:val="00793143"/>
    <w:rsid w:val="00794424"/>
    <w:rsid w:val="00794E01"/>
    <w:rsid w:val="00796C4B"/>
    <w:rsid w:val="007A003D"/>
    <w:rsid w:val="007A04F9"/>
    <w:rsid w:val="007A1A67"/>
    <w:rsid w:val="007A25CD"/>
    <w:rsid w:val="007A29E4"/>
    <w:rsid w:val="007A2A59"/>
    <w:rsid w:val="007A30E1"/>
    <w:rsid w:val="007A34FB"/>
    <w:rsid w:val="007A4CB9"/>
    <w:rsid w:val="007A500D"/>
    <w:rsid w:val="007A58A8"/>
    <w:rsid w:val="007A6B9E"/>
    <w:rsid w:val="007A7647"/>
    <w:rsid w:val="007A776C"/>
    <w:rsid w:val="007A7F36"/>
    <w:rsid w:val="007B06BD"/>
    <w:rsid w:val="007B1209"/>
    <w:rsid w:val="007B21D2"/>
    <w:rsid w:val="007B2495"/>
    <w:rsid w:val="007B2A0D"/>
    <w:rsid w:val="007B2CCC"/>
    <w:rsid w:val="007B2E82"/>
    <w:rsid w:val="007B38EE"/>
    <w:rsid w:val="007B6164"/>
    <w:rsid w:val="007B6207"/>
    <w:rsid w:val="007B6762"/>
    <w:rsid w:val="007B6A4A"/>
    <w:rsid w:val="007B6C4A"/>
    <w:rsid w:val="007B6C4B"/>
    <w:rsid w:val="007B7327"/>
    <w:rsid w:val="007B789E"/>
    <w:rsid w:val="007C1779"/>
    <w:rsid w:val="007C22BA"/>
    <w:rsid w:val="007C2773"/>
    <w:rsid w:val="007C2B47"/>
    <w:rsid w:val="007C2EDE"/>
    <w:rsid w:val="007C3CF9"/>
    <w:rsid w:val="007C46C5"/>
    <w:rsid w:val="007C47ED"/>
    <w:rsid w:val="007C4A47"/>
    <w:rsid w:val="007C566E"/>
    <w:rsid w:val="007C569F"/>
    <w:rsid w:val="007C7233"/>
    <w:rsid w:val="007C7E63"/>
    <w:rsid w:val="007D13C1"/>
    <w:rsid w:val="007D17D2"/>
    <w:rsid w:val="007D184F"/>
    <w:rsid w:val="007D1F3D"/>
    <w:rsid w:val="007D2D86"/>
    <w:rsid w:val="007D328C"/>
    <w:rsid w:val="007D366E"/>
    <w:rsid w:val="007D3706"/>
    <w:rsid w:val="007D3F95"/>
    <w:rsid w:val="007D408D"/>
    <w:rsid w:val="007D418A"/>
    <w:rsid w:val="007D55C9"/>
    <w:rsid w:val="007D6284"/>
    <w:rsid w:val="007D635A"/>
    <w:rsid w:val="007D6B65"/>
    <w:rsid w:val="007D73E5"/>
    <w:rsid w:val="007E178A"/>
    <w:rsid w:val="007E41FB"/>
    <w:rsid w:val="007E51E8"/>
    <w:rsid w:val="007E59C2"/>
    <w:rsid w:val="007E5EA9"/>
    <w:rsid w:val="007E64CD"/>
    <w:rsid w:val="007E67CB"/>
    <w:rsid w:val="007E6F3D"/>
    <w:rsid w:val="007F0FDB"/>
    <w:rsid w:val="007F1E56"/>
    <w:rsid w:val="007F26A7"/>
    <w:rsid w:val="007F39B2"/>
    <w:rsid w:val="007F3A69"/>
    <w:rsid w:val="007F53E9"/>
    <w:rsid w:val="007F5426"/>
    <w:rsid w:val="007F6524"/>
    <w:rsid w:val="00800794"/>
    <w:rsid w:val="00800B17"/>
    <w:rsid w:val="00800B5A"/>
    <w:rsid w:val="00800DF3"/>
    <w:rsid w:val="0080195A"/>
    <w:rsid w:val="008029A3"/>
    <w:rsid w:val="00802DB8"/>
    <w:rsid w:val="00802E85"/>
    <w:rsid w:val="008038B0"/>
    <w:rsid w:val="008038C9"/>
    <w:rsid w:val="00803B69"/>
    <w:rsid w:val="00804A4A"/>
    <w:rsid w:val="008062CE"/>
    <w:rsid w:val="00806927"/>
    <w:rsid w:val="00807DD9"/>
    <w:rsid w:val="008106AC"/>
    <w:rsid w:val="00810916"/>
    <w:rsid w:val="008122E3"/>
    <w:rsid w:val="00812CED"/>
    <w:rsid w:val="0081379F"/>
    <w:rsid w:val="00813B4A"/>
    <w:rsid w:val="00814DBA"/>
    <w:rsid w:val="00816AEC"/>
    <w:rsid w:val="00816B84"/>
    <w:rsid w:val="00820C64"/>
    <w:rsid w:val="008218DC"/>
    <w:rsid w:val="00821A04"/>
    <w:rsid w:val="008226E7"/>
    <w:rsid w:val="008228F2"/>
    <w:rsid w:val="008233FD"/>
    <w:rsid w:val="00823668"/>
    <w:rsid w:val="008239D6"/>
    <w:rsid w:val="00824250"/>
    <w:rsid w:val="00824544"/>
    <w:rsid w:val="0082473C"/>
    <w:rsid w:val="00824DD2"/>
    <w:rsid w:val="00825E17"/>
    <w:rsid w:val="0082728C"/>
    <w:rsid w:val="0082785C"/>
    <w:rsid w:val="00827E53"/>
    <w:rsid w:val="00830597"/>
    <w:rsid w:val="0083093D"/>
    <w:rsid w:val="00830A50"/>
    <w:rsid w:val="00833604"/>
    <w:rsid w:val="00834A66"/>
    <w:rsid w:val="0083630B"/>
    <w:rsid w:val="008368F4"/>
    <w:rsid w:val="00837C73"/>
    <w:rsid w:val="008401D1"/>
    <w:rsid w:val="008403EF"/>
    <w:rsid w:val="008418EF"/>
    <w:rsid w:val="0084208D"/>
    <w:rsid w:val="008427B6"/>
    <w:rsid w:val="00842889"/>
    <w:rsid w:val="0084301F"/>
    <w:rsid w:val="00843BD9"/>
    <w:rsid w:val="0084473E"/>
    <w:rsid w:val="00844FA8"/>
    <w:rsid w:val="00845215"/>
    <w:rsid w:val="0084538A"/>
    <w:rsid w:val="00845797"/>
    <w:rsid w:val="00846282"/>
    <w:rsid w:val="008465F0"/>
    <w:rsid w:val="00846A5E"/>
    <w:rsid w:val="0085052B"/>
    <w:rsid w:val="00850C5E"/>
    <w:rsid w:val="008512E4"/>
    <w:rsid w:val="008514A7"/>
    <w:rsid w:val="00851D6E"/>
    <w:rsid w:val="008520EB"/>
    <w:rsid w:val="008526D0"/>
    <w:rsid w:val="00852D60"/>
    <w:rsid w:val="00854F4D"/>
    <w:rsid w:val="0085505C"/>
    <w:rsid w:val="008559DB"/>
    <w:rsid w:val="008560B1"/>
    <w:rsid w:val="0085621A"/>
    <w:rsid w:val="00856588"/>
    <w:rsid w:val="00857320"/>
    <w:rsid w:val="008577A7"/>
    <w:rsid w:val="00857961"/>
    <w:rsid w:val="00860AEE"/>
    <w:rsid w:val="00861EBC"/>
    <w:rsid w:val="00861F82"/>
    <w:rsid w:val="008621E1"/>
    <w:rsid w:val="00862578"/>
    <w:rsid w:val="00862A67"/>
    <w:rsid w:val="00862CAA"/>
    <w:rsid w:val="008637FB"/>
    <w:rsid w:val="00863BEB"/>
    <w:rsid w:val="0086451F"/>
    <w:rsid w:val="00864722"/>
    <w:rsid w:val="0086553C"/>
    <w:rsid w:val="00866553"/>
    <w:rsid w:val="0086656A"/>
    <w:rsid w:val="0086677C"/>
    <w:rsid w:val="00866D11"/>
    <w:rsid w:val="00866F4F"/>
    <w:rsid w:val="00867899"/>
    <w:rsid w:val="008703C8"/>
    <w:rsid w:val="00870C71"/>
    <w:rsid w:val="00870D4A"/>
    <w:rsid w:val="00871BCF"/>
    <w:rsid w:val="00872572"/>
    <w:rsid w:val="0087284C"/>
    <w:rsid w:val="0087601B"/>
    <w:rsid w:val="00876462"/>
    <w:rsid w:val="0087675C"/>
    <w:rsid w:val="00876AA2"/>
    <w:rsid w:val="00877988"/>
    <w:rsid w:val="00880B9B"/>
    <w:rsid w:val="00881810"/>
    <w:rsid w:val="00881B73"/>
    <w:rsid w:val="00881ED4"/>
    <w:rsid w:val="00882490"/>
    <w:rsid w:val="008829DD"/>
    <w:rsid w:val="0088328C"/>
    <w:rsid w:val="0088437D"/>
    <w:rsid w:val="00884E82"/>
    <w:rsid w:val="00885050"/>
    <w:rsid w:val="0088681A"/>
    <w:rsid w:val="0088694B"/>
    <w:rsid w:val="008870FB"/>
    <w:rsid w:val="00887609"/>
    <w:rsid w:val="00890411"/>
    <w:rsid w:val="00891197"/>
    <w:rsid w:val="00891EB7"/>
    <w:rsid w:val="00891F37"/>
    <w:rsid w:val="008926E1"/>
    <w:rsid w:val="00892BF9"/>
    <w:rsid w:val="00892D18"/>
    <w:rsid w:val="00892EE7"/>
    <w:rsid w:val="00893FE8"/>
    <w:rsid w:val="00894E22"/>
    <w:rsid w:val="0089651B"/>
    <w:rsid w:val="0089714B"/>
    <w:rsid w:val="008977B3"/>
    <w:rsid w:val="00897DFD"/>
    <w:rsid w:val="008A01F1"/>
    <w:rsid w:val="008A082B"/>
    <w:rsid w:val="008A1512"/>
    <w:rsid w:val="008A1C05"/>
    <w:rsid w:val="008A2401"/>
    <w:rsid w:val="008A35F4"/>
    <w:rsid w:val="008A3B61"/>
    <w:rsid w:val="008A45AE"/>
    <w:rsid w:val="008A4BD1"/>
    <w:rsid w:val="008A50D7"/>
    <w:rsid w:val="008A6819"/>
    <w:rsid w:val="008A6E37"/>
    <w:rsid w:val="008A77DD"/>
    <w:rsid w:val="008B095A"/>
    <w:rsid w:val="008B0D20"/>
    <w:rsid w:val="008B18D3"/>
    <w:rsid w:val="008B201A"/>
    <w:rsid w:val="008B21BC"/>
    <w:rsid w:val="008B279C"/>
    <w:rsid w:val="008B2E59"/>
    <w:rsid w:val="008B2EC5"/>
    <w:rsid w:val="008B4949"/>
    <w:rsid w:val="008B5A6B"/>
    <w:rsid w:val="008B5EDA"/>
    <w:rsid w:val="008B5EEB"/>
    <w:rsid w:val="008B691C"/>
    <w:rsid w:val="008B7B65"/>
    <w:rsid w:val="008C0762"/>
    <w:rsid w:val="008C07F3"/>
    <w:rsid w:val="008C08D3"/>
    <w:rsid w:val="008C1671"/>
    <w:rsid w:val="008C1B28"/>
    <w:rsid w:val="008C2314"/>
    <w:rsid w:val="008C257D"/>
    <w:rsid w:val="008C2604"/>
    <w:rsid w:val="008C26E6"/>
    <w:rsid w:val="008C28BA"/>
    <w:rsid w:val="008C3282"/>
    <w:rsid w:val="008C6702"/>
    <w:rsid w:val="008C6772"/>
    <w:rsid w:val="008C69BD"/>
    <w:rsid w:val="008C70D4"/>
    <w:rsid w:val="008C7890"/>
    <w:rsid w:val="008C7973"/>
    <w:rsid w:val="008D06B9"/>
    <w:rsid w:val="008D08CC"/>
    <w:rsid w:val="008D1EA3"/>
    <w:rsid w:val="008D2AF0"/>
    <w:rsid w:val="008D3AC2"/>
    <w:rsid w:val="008D3C33"/>
    <w:rsid w:val="008D3D8D"/>
    <w:rsid w:val="008D4701"/>
    <w:rsid w:val="008D4A1C"/>
    <w:rsid w:val="008D4ADF"/>
    <w:rsid w:val="008D4AFE"/>
    <w:rsid w:val="008D524A"/>
    <w:rsid w:val="008D5431"/>
    <w:rsid w:val="008D56E0"/>
    <w:rsid w:val="008D5ABD"/>
    <w:rsid w:val="008D5DEA"/>
    <w:rsid w:val="008D5E57"/>
    <w:rsid w:val="008D647B"/>
    <w:rsid w:val="008D6630"/>
    <w:rsid w:val="008D6BE4"/>
    <w:rsid w:val="008D6F9F"/>
    <w:rsid w:val="008E23D3"/>
    <w:rsid w:val="008E253D"/>
    <w:rsid w:val="008E29E9"/>
    <w:rsid w:val="008E359C"/>
    <w:rsid w:val="008E38E3"/>
    <w:rsid w:val="008E444D"/>
    <w:rsid w:val="008E44DA"/>
    <w:rsid w:val="008E4783"/>
    <w:rsid w:val="008E55FF"/>
    <w:rsid w:val="008F08C5"/>
    <w:rsid w:val="008F1100"/>
    <w:rsid w:val="008F190E"/>
    <w:rsid w:val="008F19A1"/>
    <w:rsid w:val="008F291B"/>
    <w:rsid w:val="008F2AB4"/>
    <w:rsid w:val="008F2D52"/>
    <w:rsid w:val="008F4300"/>
    <w:rsid w:val="008F4339"/>
    <w:rsid w:val="008F509E"/>
    <w:rsid w:val="008F5E13"/>
    <w:rsid w:val="008F7D4C"/>
    <w:rsid w:val="008F7E49"/>
    <w:rsid w:val="00900A8D"/>
    <w:rsid w:val="00902B83"/>
    <w:rsid w:val="0090322B"/>
    <w:rsid w:val="009045D2"/>
    <w:rsid w:val="00904F89"/>
    <w:rsid w:val="00905C9F"/>
    <w:rsid w:val="0090616C"/>
    <w:rsid w:val="00906AD7"/>
    <w:rsid w:val="00906C15"/>
    <w:rsid w:val="009073CF"/>
    <w:rsid w:val="00907FB2"/>
    <w:rsid w:val="009106F0"/>
    <w:rsid w:val="009108D6"/>
    <w:rsid w:val="00910F74"/>
    <w:rsid w:val="0091113A"/>
    <w:rsid w:val="00912725"/>
    <w:rsid w:val="00912FD9"/>
    <w:rsid w:val="00913556"/>
    <w:rsid w:val="00913A90"/>
    <w:rsid w:val="00913DF3"/>
    <w:rsid w:val="00915708"/>
    <w:rsid w:val="00916B39"/>
    <w:rsid w:val="00916CF2"/>
    <w:rsid w:val="009179A7"/>
    <w:rsid w:val="00920157"/>
    <w:rsid w:val="00920CA5"/>
    <w:rsid w:val="00922522"/>
    <w:rsid w:val="009238C1"/>
    <w:rsid w:val="00924258"/>
    <w:rsid w:val="00924471"/>
    <w:rsid w:val="00925F71"/>
    <w:rsid w:val="009265CA"/>
    <w:rsid w:val="00926713"/>
    <w:rsid w:val="00926A9C"/>
    <w:rsid w:val="00926C36"/>
    <w:rsid w:val="00926CD7"/>
    <w:rsid w:val="00926F0A"/>
    <w:rsid w:val="0092776A"/>
    <w:rsid w:val="00931BE3"/>
    <w:rsid w:val="00931E82"/>
    <w:rsid w:val="00932940"/>
    <w:rsid w:val="00932F6B"/>
    <w:rsid w:val="00933025"/>
    <w:rsid w:val="009331AA"/>
    <w:rsid w:val="00934820"/>
    <w:rsid w:val="009365C9"/>
    <w:rsid w:val="0093676A"/>
    <w:rsid w:val="00936C32"/>
    <w:rsid w:val="00936E9D"/>
    <w:rsid w:val="009370C5"/>
    <w:rsid w:val="00940067"/>
    <w:rsid w:val="009403EA"/>
    <w:rsid w:val="00940A86"/>
    <w:rsid w:val="0094172B"/>
    <w:rsid w:val="00942562"/>
    <w:rsid w:val="00942A69"/>
    <w:rsid w:val="00942C66"/>
    <w:rsid w:val="00942FFC"/>
    <w:rsid w:val="0094316E"/>
    <w:rsid w:val="00943400"/>
    <w:rsid w:val="009437FF"/>
    <w:rsid w:val="00943879"/>
    <w:rsid w:val="009443BF"/>
    <w:rsid w:val="00944A0C"/>
    <w:rsid w:val="0094578E"/>
    <w:rsid w:val="00945C7C"/>
    <w:rsid w:val="00946288"/>
    <w:rsid w:val="00947C58"/>
    <w:rsid w:val="00950222"/>
    <w:rsid w:val="00950450"/>
    <w:rsid w:val="00951971"/>
    <w:rsid w:val="00952AFA"/>
    <w:rsid w:val="00953A7C"/>
    <w:rsid w:val="00953AE2"/>
    <w:rsid w:val="00953D01"/>
    <w:rsid w:val="00954DB8"/>
    <w:rsid w:val="0095508D"/>
    <w:rsid w:val="0095580B"/>
    <w:rsid w:val="00955862"/>
    <w:rsid w:val="00957B5E"/>
    <w:rsid w:val="00957EC2"/>
    <w:rsid w:val="0096002D"/>
    <w:rsid w:val="00960068"/>
    <w:rsid w:val="0096053B"/>
    <w:rsid w:val="0096073D"/>
    <w:rsid w:val="009613C8"/>
    <w:rsid w:val="009616EE"/>
    <w:rsid w:val="00961E19"/>
    <w:rsid w:val="009622D7"/>
    <w:rsid w:val="0096360C"/>
    <w:rsid w:val="00963819"/>
    <w:rsid w:val="00964D5D"/>
    <w:rsid w:val="009653DB"/>
    <w:rsid w:val="009657BF"/>
    <w:rsid w:val="00966664"/>
    <w:rsid w:val="00966864"/>
    <w:rsid w:val="00967051"/>
    <w:rsid w:val="0096751B"/>
    <w:rsid w:val="009705A8"/>
    <w:rsid w:val="0097087F"/>
    <w:rsid w:val="00970976"/>
    <w:rsid w:val="00970D22"/>
    <w:rsid w:val="00971F9C"/>
    <w:rsid w:val="00972434"/>
    <w:rsid w:val="0097243E"/>
    <w:rsid w:val="0097256A"/>
    <w:rsid w:val="00972BC5"/>
    <w:rsid w:val="00972D25"/>
    <w:rsid w:val="00972D9A"/>
    <w:rsid w:val="00972F84"/>
    <w:rsid w:val="00973C7F"/>
    <w:rsid w:val="009744C6"/>
    <w:rsid w:val="00974890"/>
    <w:rsid w:val="00974C7B"/>
    <w:rsid w:val="009759BD"/>
    <w:rsid w:val="00976549"/>
    <w:rsid w:val="00976F4D"/>
    <w:rsid w:val="00977159"/>
    <w:rsid w:val="009777E7"/>
    <w:rsid w:val="009803C5"/>
    <w:rsid w:val="00981486"/>
    <w:rsid w:val="009819B3"/>
    <w:rsid w:val="00982C28"/>
    <w:rsid w:val="00982EC1"/>
    <w:rsid w:val="009830BA"/>
    <w:rsid w:val="009848BB"/>
    <w:rsid w:val="00984901"/>
    <w:rsid w:val="00986B9E"/>
    <w:rsid w:val="00986E33"/>
    <w:rsid w:val="00987A45"/>
    <w:rsid w:val="0099093C"/>
    <w:rsid w:val="00990B96"/>
    <w:rsid w:val="00991738"/>
    <w:rsid w:val="0099261E"/>
    <w:rsid w:val="00992855"/>
    <w:rsid w:val="00993038"/>
    <w:rsid w:val="009931D3"/>
    <w:rsid w:val="009931D8"/>
    <w:rsid w:val="00993640"/>
    <w:rsid w:val="00993F70"/>
    <w:rsid w:val="00994093"/>
    <w:rsid w:val="00994C0B"/>
    <w:rsid w:val="00995506"/>
    <w:rsid w:val="00995996"/>
    <w:rsid w:val="00996253"/>
    <w:rsid w:val="009968DE"/>
    <w:rsid w:val="009A04B3"/>
    <w:rsid w:val="009A0537"/>
    <w:rsid w:val="009A1274"/>
    <w:rsid w:val="009A1A74"/>
    <w:rsid w:val="009A1BCF"/>
    <w:rsid w:val="009A1E42"/>
    <w:rsid w:val="009A25B0"/>
    <w:rsid w:val="009A25E8"/>
    <w:rsid w:val="009A290C"/>
    <w:rsid w:val="009A2B65"/>
    <w:rsid w:val="009A2FA8"/>
    <w:rsid w:val="009A34B1"/>
    <w:rsid w:val="009A4CB3"/>
    <w:rsid w:val="009A5262"/>
    <w:rsid w:val="009A5F14"/>
    <w:rsid w:val="009A626C"/>
    <w:rsid w:val="009A6475"/>
    <w:rsid w:val="009A677B"/>
    <w:rsid w:val="009A6CC0"/>
    <w:rsid w:val="009B08DC"/>
    <w:rsid w:val="009B0F5E"/>
    <w:rsid w:val="009B1CD8"/>
    <w:rsid w:val="009B3992"/>
    <w:rsid w:val="009B3C9D"/>
    <w:rsid w:val="009B4DB3"/>
    <w:rsid w:val="009B50F8"/>
    <w:rsid w:val="009B56E6"/>
    <w:rsid w:val="009B5FB9"/>
    <w:rsid w:val="009B7903"/>
    <w:rsid w:val="009C030D"/>
    <w:rsid w:val="009C0781"/>
    <w:rsid w:val="009C0DA5"/>
    <w:rsid w:val="009C171A"/>
    <w:rsid w:val="009C1F6B"/>
    <w:rsid w:val="009C3FB1"/>
    <w:rsid w:val="009C4192"/>
    <w:rsid w:val="009C4294"/>
    <w:rsid w:val="009C4A2D"/>
    <w:rsid w:val="009C4CE9"/>
    <w:rsid w:val="009C69CC"/>
    <w:rsid w:val="009C6B8C"/>
    <w:rsid w:val="009C765E"/>
    <w:rsid w:val="009D0ADF"/>
    <w:rsid w:val="009D13AE"/>
    <w:rsid w:val="009D30BB"/>
    <w:rsid w:val="009D36E2"/>
    <w:rsid w:val="009D399A"/>
    <w:rsid w:val="009D4054"/>
    <w:rsid w:val="009D41C8"/>
    <w:rsid w:val="009D445E"/>
    <w:rsid w:val="009D4514"/>
    <w:rsid w:val="009D4880"/>
    <w:rsid w:val="009D4FF3"/>
    <w:rsid w:val="009D6942"/>
    <w:rsid w:val="009D73E5"/>
    <w:rsid w:val="009D790F"/>
    <w:rsid w:val="009E0175"/>
    <w:rsid w:val="009E0188"/>
    <w:rsid w:val="009E0A19"/>
    <w:rsid w:val="009E23F2"/>
    <w:rsid w:val="009E3CCD"/>
    <w:rsid w:val="009E51CD"/>
    <w:rsid w:val="009E5FBE"/>
    <w:rsid w:val="009E6C6A"/>
    <w:rsid w:val="009F03EB"/>
    <w:rsid w:val="009F11AB"/>
    <w:rsid w:val="009F27DB"/>
    <w:rsid w:val="009F3581"/>
    <w:rsid w:val="009F42E2"/>
    <w:rsid w:val="009F4B43"/>
    <w:rsid w:val="009F4FB8"/>
    <w:rsid w:val="009F66FF"/>
    <w:rsid w:val="009F768D"/>
    <w:rsid w:val="00A00074"/>
    <w:rsid w:val="00A0019E"/>
    <w:rsid w:val="00A01497"/>
    <w:rsid w:val="00A0162C"/>
    <w:rsid w:val="00A018D5"/>
    <w:rsid w:val="00A02673"/>
    <w:rsid w:val="00A02762"/>
    <w:rsid w:val="00A02ACC"/>
    <w:rsid w:val="00A0336C"/>
    <w:rsid w:val="00A03787"/>
    <w:rsid w:val="00A03D1F"/>
    <w:rsid w:val="00A04F35"/>
    <w:rsid w:val="00A05CD7"/>
    <w:rsid w:val="00A07CEF"/>
    <w:rsid w:val="00A109CF"/>
    <w:rsid w:val="00A11283"/>
    <w:rsid w:val="00A1166B"/>
    <w:rsid w:val="00A118A7"/>
    <w:rsid w:val="00A1243E"/>
    <w:rsid w:val="00A1262E"/>
    <w:rsid w:val="00A128B3"/>
    <w:rsid w:val="00A1300D"/>
    <w:rsid w:val="00A13B54"/>
    <w:rsid w:val="00A13BA0"/>
    <w:rsid w:val="00A1439D"/>
    <w:rsid w:val="00A1504A"/>
    <w:rsid w:val="00A16A09"/>
    <w:rsid w:val="00A16DC6"/>
    <w:rsid w:val="00A17917"/>
    <w:rsid w:val="00A17E37"/>
    <w:rsid w:val="00A2064A"/>
    <w:rsid w:val="00A2066C"/>
    <w:rsid w:val="00A21CDF"/>
    <w:rsid w:val="00A223B8"/>
    <w:rsid w:val="00A25253"/>
    <w:rsid w:val="00A2633D"/>
    <w:rsid w:val="00A27B0A"/>
    <w:rsid w:val="00A304CF"/>
    <w:rsid w:val="00A32ED1"/>
    <w:rsid w:val="00A334A1"/>
    <w:rsid w:val="00A3467C"/>
    <w:rsid w:val="00A34B12"/>
    <w:rsid w:val="00A34D4C"/>
    <w:rsid w:val="00A35F6D"/>
    <w:rsid w:val="00A36135"/>
    <w:rsid w:val="00A36E82"/>
    <w:rsid w:val="00A370E1"/>
    <w:rsid w:val="00A3713C"/>
    <w:rsid w:val="00A37731"/>
    <w:rsid w:val="00A40311"/>
    <w:rsid w:val="00A41124"/>
    <w:rsid w:val="00A414EE"/>
    <w:rsid w:val="00A41C87"/>
    <w:rsid w:val="00A428B8"/>
    <w:rsid w:val="00A42FD8"/>
    <w:rsid w:val="00A43449"/>
    <w:rsid w:val="00A438C3"/>
    <w:rsid w:val="00A44269"/>
    <w:rsid w:val="00A44D9B"/>
    <w:rsid w:val="00A456BB"/>
    <w:rsid w:val="00A45EAD"/>
    <w:rsid w:val="00A45F3F"/>
    <w:rsid w:val="00A460A8"/>
    <w:rsid w:val="00A4730B"/>
    <w:rsid w:val="00A47429"/>
    <w:rsid w:val="00A475F4"/>
    <w:rsid w:val="00A5072E"/>
    <w:rsid w:val="00A5134F"/>
    <w:rsid w:val="00A513C4"/>
    <w:rsid w:val="00A52531"/>
    <w:rsid w:val="00A531A6"/>
    <w:rsid w:val="00A5417F"/>
    <w:rsid w:val="00A541D7"/>
    <w:rsid w:val="00A542B3"/>
    <w:rsid w:val="00A55756"/>
    <w:rsid w:val="00A55932"/>
    <w:rsid w:val="00A5672A"/>
    <w:rsid w:val="00A56732"/>
    <w:rsid w:val="00A56FE0"/>
    <w:rsid w:val="00A57695"/>
    <w:rsid w:val="00A60637"/>
    <w:rsid w:val="00A6073E"/>
    <w:rsid w:val="00A60DD9"/>
    <w:rsid w:val="00A6134C"/>
    <w:rsid w:val="00A628A6"/>
    <w:rsid w:val="00A636AC"/>
    <w:rsid w:val="00A638BD"/>
    <w:rsid w:val="00A63FE6"/>
    <w:rsid w:val="00A64B49"/>
    <w:rsid w:val="00A64BD5"/>
    <w:rsid w:val="00A64E33"/>
    <w:rsid w:val="00A66D23"/>
    <w:rsid w:val="00A70078"/>
    <w:rsid w:val="00A70D66"/>
    <w:rsid w:val="00A70DA6"/>
    <w:rsid w:val="00A71AA8"/>
    <w:rsid w:val="00A71F06"/>
    <w:rsid w:val="00A7203A"/>
    <w:rsid w:val="00A74D40"/>
    <w:rsid w:val="00A75083"/>
    <w:rsid w:val="00A76305"/>
    <w:rsid w:val="00A768C8"/>
    <w:rsid w:val="00A77922"/>
    <w:rsid w:val="00A80354"/>
    <w:rsid w:val="00A80A60"/>
    <w:rsid w:val="00A8140C"/>
    <w:rsid w:val="00A81BE1"/>
    <w:rsid w:val="00A83309"/>
    <w:rsid w:val="00A8392A"/>
    <w:rsid w:val="00A83A0D"/>
    <w:rsid w:val="00A83D58"/>
    <w:rsid w:val="00A841BF"/>
    <w:rsid w:val="00A849F8"/>
    <w:rsid w:val="00A84A30"/>
    <w:rsid w:val="00A84BE6"/>
    <w:rsid w:val="00A85AEF"/>
    <w:rsid w:val="00A87535"/>
    <w:rsid w:val="00A8781D"/>
    <w:rsid w:val="00A87B08"/>
    <w:rsid w:val="00A87F0B"/>
    <w:rsid w:val="00A90883"/>
    <w:rsid w:val="00A90AC8"/>
    <w:rsid w:val="00A91D5B"/>
    <w:rsid w:val="00A92142"/>
    <w:rsid w:val="00A92A22"/>
    <w:rsid w:val="00A92F57"/>
    <w:rsid w:val="00A945B4"/>
    <w:rsid w:val="00A95929"/>
    <w:rsid w:val="00A95E5F"/>
    <w:rsid w:val="00A95F5E"/>
    <w:rsid w:val="00A96F80"/>
    <w:rsid w:val="00AA025D"/>
    <w:rsid w:val="00AA070C"/>
    <w:rsid w:val="00AA0839"/>
    <w:rsid w:val="00AA14F5"/>
    <w:rsid w:val="00AA1EB2"/>
    <w:rsid w:val="00AA272B"/>
    <w:rsid w:val="00AA2FE2"/>
    <w:rsid w:val="00AA311D"/>
    <w:rsid w:val="00AA32DE"/>
    <w:rsid w:val="00AA6C85"/>
    <w:rsid w:val="00AA6FB8"/>
    <w:rsid w:val="00AA7779"/>
    <w:rsid w:val="00AA7C7A"/>
    <w:rsid w:val="00AA7DB2"/>
    <w:rsid w:val="00AB05C0"/>
    <w:rsid w:val="00AB07CE"/>
    <w:rsid w:val="00AB1333"/>
    <w:rsid w:val="00AB19E2"/>
    <w:rsid w:val="00AB2903"/>
    <w:rsid w:val="00AB2C17"/>
    <w:rsid w:val="00AB2CE5"/>
    <w:rsid w:val="00AB3CAC"/>
    <w:rsid w:val="00AB3D62"/>
    <w:rsid w:val="00AB4946"/>
    <w:rsid w:val="00AB4C33"/>
    <w:rsid w:val="00AB522B"/>
    <w:rsid w:val="00AB6C1F"/>
    <w:rsid w:val="00AB6F77"/>
    <w:rsid w:val="00AB7226"/>
    <w:rsid w:val="00AB7747"/>
    <w:rsid w:val="00AC2C41"/>
    <w:rsid w:val="00AC3270"/>
    <w:rsid w:val="00AC3723"/>
    <w:rsid w:val="00AC50C2"/>
    <w:rsid w:val="00AC5F14"/>
    <w:rsid w:val="00AC783D"/>
    <w:rsid w:val="00AD09DF"/>
    <w:rsid w:val="00AD2309"/>
    <w:rsid w:val="00AD2AE7"/>
    <w:rsid w:val="00AD39DF"/>
    <w:rsid w:val="00AD58CB"/>
    <w:rsid w:val="00AD65C1"/>
    <w:rsid w:val="00AD7116"/>
    <w:rsid w:val="00AD7E19"/>
    <w:rsid w:val="00AE078D"/>
    <w:rsid w:val="00AE124D"/>
    <w:rsid w:val="00AE1701"/>
    <w:rsid w:val="00AE6077"/>
    <w:rsid w:val="00AE63A3"/>
    <w:rsid w:val="00AE66D0"/>
    <w:rsid w:val="00AE69FD"/>
    <w:rsid w:val="00AE6AE1"/>
    <w:rsid w:val="00AE715F"/>
    <w:rsid w:val="00AE73B3"/>
    <w:rsid w:val="00AE769F"/>
    <w:rsid w:val="00AE7C36"/>
    <w:rsid w:val="00AF037D"/>
    <w:rsid w:val="00AF15E1"/>
    <w:rsid w:val="00AF1B78"/>
    <w:rsid w:val="00AF2573"/>
    <w:rsid w:val="00AF3319"/>
    <w:rsid w:val="00AF3479"/>
    <w:rsid w:val="00AF43BC"/>
    <w:rsid w:val="00AF4803"/>
    <w:rsid w:val="00AF49DD"/>
    <w:rsid w:val="00AF5847"/>
    <w:rsid w:val="00AF598F"/>
    <w:rsid w:val="00AF5F78"/>
    <w:rsid w:val="00AF71AA"/>
    <w:rsid w:val="00AF7294"/>
    <w:rsid w:val="00AF77DA"/>
    <w:rsid w:val="00B00521"/>
    <w:rsid w:val="00B0163C"/>
    <w:rsid w:val="00B01675"/>
    <w:rsid w:val="00B016B3"/>
    <w:rsid w:val="00B018CE"/>
    <w:rsid w:val="00B0192E"/>
    <w:rsid w:val="00B01C91"/>
    <w:rsid w:val="00B01E82"/>
    <w:rsid w:val="00B02365"/>
    <w:rsid w:val="00B02A32"/>
    <w:rsid w:val="00B03B91"/>
    <w:rsid w:val="00B05C2A"/>
    <w:rsid w:val="00B060AE"/>
    <w:rsid w:val="00B060D8"/>
    <w:rsid w:val="00B067E7"/>
    <w:rsid w:val="00B06FC9"/>
    <w:rsid w:val="00B10AF6"/>
    <w:rsid w:val="00B10EEE"/>
    <w:rsid w:val="00B129CD"/>
    <w:rsid w:val="00B12E90"/>
    <w:rsid w:val="00B14F41"/>
    <w:rsid w:val="00B162F1"/>
    <w:rsid w:val="00B166AD"/>
    <w:rsid w:val="00B174EA"/>
    <w:rsid w:val="00B17718"/>
    <w:rsid w:val="00B17BBF"/>
    <w:rsid w:val="00B17BD6"/>
    <w:rsid w:val="00B20397"/>
    <w:rsid w:val="00B20D87"/>
    <w:rsid w:val="00B213D5"/>
    <w:rsid w:val="00B2142F"/>
    <w:rsid w:val="00B21578"/>
    <w:rsid w:val="00B229FB"/>
    <w:rsid w:val="00B25F1C"/>
    <w:rsid w:val="00B261C9"/>
    <w:rsid w:val="00B269A8"/>
    <w:rsid w:val="00B269BE"/>
    <w:rsid w:val="00B26BCB"/>
    <w:rsid w:val="00B27110"/>
    <w:rsid w:val="00B271EA"/>
    <w:rsid w:val="00B27C8C"/>
    <w:rsid w:val="00B27FB3"/>
    <w:rsid w:val="00B30074"/>
    <w:rsid w:val="00B3056E"/>
    <w:rsid w:val="00B30DB1"/>
    <w:rsid w:val="00B32713"/>
    <w:rsid w:val="00B32D6F"/>
    <w:rsid w:val="00B32EB0"/>
    <w:rsid w:val="00B32FA8"/>
    <w:rsid w:val="00B33F7D"/>
    <w:rsid w:val="00B34428"/>
    <w:rsid w:val="00B3468D"/>
    <w:rsid w:val="00B34966"/>
    <w:rsid w:val="00B34F23"/>
    <w:rsid w:val="00B35CF3"/>
    <w:rsid w:val="00B35D55"/>
    <w:rsid w:val="00B36385"/>
    <w:rsid w:val="00B3674B"/>
    <w:rsid w:val="00B36D06"/>
    <w:rsid w:val="00B37B7A"/>
    <w:rsid w:val="00B40104"/>
    <w:rsid w:val="00B40259"/>
    <w:rsid w:val="00B4145A"/>
    <w:rsid w:val="00B419E8"/>
    <w:rsid w:val="00B41E05"/>
    <w:rsid w:val="00B4217B"/>
    <w:rsid w:val="00B42589"/>
    <w:rsid w:val="00B42595"/>
    <w:rsid w:val="00B42629"/>
    <w:rsid w:val="00B42C69"/>
    <w:rsid w:val="00B42CA7"/>
    <w:rsid w:val="00B42E00"/>
    <w:rsid w:val="00B435D4"/>
    <w:rsid w:val="00B43BF0"/>
    <w:rsid w:val="00B44502"/>
    <w:rsid w:val="00B4463B"/>
    <w:rsid w:val="00B4471B"/>
    <w:rsid w:val="00B44A8F"/>
    <w:rsid w:val="00B44F48"/>
    <w:rsid w:val="00B47706"/>
    <w:rsid w:val="00B50B8B"/>
    <w:rsid w:val="00B50BC4"/>
    <w:rsid w:val="00B51400"/>
    <w:rsid w:val="00B520B6"/>
    <w:rsid w:val="00B52AE1"/>
    <w:rsid w:val="00B52C46"/>
    <w:rsid w:val="00B52FFD"/>
    <w:rsid w:val="00B5323D"/>
    <w:rsid w:val="00B544BA"/>
    <w:rsid w:val="00B54C0C"/>
    <w:rsid w:val="00B54E28"/>
    <w:rsid w:val="00B5553F"/>
    <w:rsid w:val="00B55B51"/>
    <w:rsid w:val="00B56780"/>
    <w:rsid w:val="00B57C44"/>
    <w:rsid w:val="00B6006A"/>
    <w:rsid w:val="00B62400"/>
    <w:rsid w:val="00B6301E"/>
    <w:rsid w:val="00B63068"/>
    <w:rsid w:val="00B633E3"/>
    <w:rsid w:val="00B63BD8"/>
    <w:rsid w:val="00B63D73"/>
    <w:rsid w:val="00B64DFE"/>
    <w:rsid w:val="00B65330"/>
    <w:rsid w:val="00B65C23"/>
    <w:rsid w:val="00B66832"/>
    <w:rsid w:val="00B66A89"/>
    <w:rsid w:val="00B66E97"/>
    <w:rsid w:val="00B66F1F"/>
    <w:rsid w:val="00B6724B"/>
    <w:rsid w:val="00B67CBD"/>
    <w:rsid w:val="00B701E3"/>
    <w:rsid w:val="00B70B82"/>
    <w:rsid w:val="00B70CE6"/>
    <w:rsid w:val="00B711D8"/>
    <w:rsid w:val="00B71530"/>
    <w:rsid w:val="00B71AC5"/>
    <w:rsid w:val="00B72201"/>
    <w:rsid w:val="00B7319D"/>
    <w:rsid w:val="00B735D0"/>
    <w:rsid w:val="00B7388A"/>
    <w:rsid w:val="00B74486"/>
    <w:rsid w:val="00B74ABC"/>
    <w:rsid w:val="00B75C11"/>
    <w:rsid w:val="00B763EA"/>
    <w:rsid w:val="00B7662A"/>
    <w:rsid w:val="00B80671"/>
    <w:rsid w:val="00B80B10"/>
    <w:rsid w:val="00B80CD8"/>
    <w:rsid w:val="00B81623"/>
    <w:rsid w:val="00B81779"/>
    <w:rsid w:val="00B826DD"/>
    <w:rsid w:val="00B82901"/>
    <w:rsid w:val="00B8294B"/>
    <w:rsid w:val="00B83D1F"/>
    <w:rsid w:val="00B83FC7"/>
    <w:rsid w:val="00B845D3"/>
    <w:rsid w:val="00B8541D"/>
    <w:rsid w:val="00B856F2"/>
    <w:rsid w:val="00B86162"/>
    <w:rsid w:val="00B863EF"/>
    <w:rsid w:val="00B87226"/>
    <w:rsid w:val="00B906E1"/>
    <w:rsid w:val="00B91204"/>
    <w:rsid w:val="00B923F5"/>
    <w:rsid w:val="00B92589"/>
    <w:rsid w:val="00B925A0"/>
    <w:rsid w:val="00B9262B"/>
    <w:rsid w:val="00B9297D"/>
    <w:rsid w:val="00B943F6"/>
    <w:rsid w:val="00B9459B"/>
    <w:rsid w:val="00B958A0"/>
    <w:rsid w:val="00B961A2"/>
    <w:rsid w:val="00B96B25"/>
    <w:rsid w:val="00B972E8"/>
    <w:rsid w:val="00B977E9"/>
    <w:rsid w:val="00BA208C"/>
    <w:rsid w:val="00BA2376"/>
    <w:rsid w:val="00BA32E0"/>
    <w:rsid w:val="00BA3388"/>
    <w:rsid w:val="00BA45A7"/>
    <w:rsid w:val="00BA4AEC"/>
    <w:rsid w:val="00BA51A0"/>
    <w:rsid w:val="00BA5291"/>
    <w:rsid w:val="00BA532A"/>
    <w:rsid w:val="00BA5492"/>
    <w:rsid w:val="00BA60FE"/>
    <w:rsid w:val="00BA69FB"/>
    <w:rsid w:val="00BA7101"/>
    <w:rsid w:val="00BA777F"/>
    <w:rsid w:val="00BA7FD6"/>
    <w:rsid w:val="00BB09A8"/>
    <w:rsid w:val="00BB0B8F"/>
    <w:rsid w:val="00BB0E5B"/>
    <w:rsid w:val="00BB15DA"/>
    <w:rsid w:val="00BB243F"/>
    <w:rsid w:val="00BB2DA1"/>
    <w:rsid w:val="00BB2F33"/>
    <w:rsid w:val="00BB3A34"/>
    <w:rsid w:val="00BB3E0D"/>
    <w:rsid w:val="00BB4188"/>
    <w:rsid w:val="00BB449D"/>
    <w:rsid w:val="00BB4848"/>
    <w:rsid w:val="00BB4A7C"/>
    <w:rsid w:val="00BB5235"/>
    <w:rsid w:val="00BB5B7C"/>
    <w:rsid w:val="00BB62FC"/>
    <w:rsid w:val="00BB775B"/>
    <w:rsid w:val="00BB7FA1"/>
    <w:rsid w:val="00BC04D9"/>
    <w:rsid w:val="00BC067E"/>
    <w:rsid w:val="00BC08EA"/>
    <w:rsid w:val="00BC1858"/>
    <w:rsid w:val="00BC4646"/>
    <w:rsid w:val="00BC4EFF"/>
    <w:rsid w:val="00BC5C5B"/>
    <w:rsid w:val="00BC70EE"/>
    <w:rsid w:val="00BC7802"/>
    <w:rsid w:val="00BC78B9"/>
    <w:rsid w:val="00BC7A59"/>
    <w:rsid w:val="00BD2496"/>
    <w:rsid w:val="00BD364E"/>
    <w:rsid w:val="00BD4859"/>
    <w:rsid w:val="00BD4AB2"/>
    <w:rsid w:val="00BD57D6"/>
    <w:rsid w:val="00BD5968"/>
    <w:rsid w:val="00BD61D2"/>
    <w:rsid w:val="00BD6D30"/>
    <w:rsid w:val="00BD77F1"/>
    <w:rsid w:val="00BE020E"/>
    <w:rsid w:val="00BE086B"/>
    <w:rsid w:val="00BE0A15"/>
    <w:rsid w:val="00BE268A"/>
    <w:rsid w:val="00BE2722"/>
    <w:rsid w:val="00BE2A65"/>
    <w:rsid w:val="00BE2CE3"/>
    <w:rsid w:val="00BE3EF2"/>
    <w:rsid w:val="00BE4C63"/>
    <w:rsid w:val="00BE4E40"/>
    <w:rsid w:val="00BE5AE8"/>
    <w:rsid w:val="00BE5E4D"/>
    <w:rsid w:val="00BE68D0"/>
    <w:rsid w:val="00BE7AEF"/>
    <w:rsid w:val="00BF10D8"/>
    <w:rsid w:val="00BF12B0"/>
    <w:rsid w:val="00BF17F5"/>
    <w:rsid w:val="00BF1CE5"/>
    <w:rsid w:val="00BF24EE"/>
    <w:rsid w:val="00BF50B5"/>
    <w:rsid w:val="00BF6174"/>
    <w:rsid w:val="00BF6273"/>
    <w:rsid w:val="00BF6BA2"/>
    <w:rsid w:val="00BF6EAF"/>
    <w:rsid w:val="00BF7DB0"/>
    <w:rsid w:val="00C00456"/>
    <w:rsid w:val="00C01193"/>
    <w:rsid w:val="00C02C9E"/>
    <w:rsid w:val="00C0464A"/>
    <w:rsid w:val="00C0481F"/>
    <w:rsid w:val="00C04A33"/>
    <w:rsid w:val="00C0523F"/>
    <w:rsid w:val="00C05AD3"/>
    <w:rsid w:val="00C05C15"/>
    <w:rsid w:val="00C06630"/>
    <w:rsid w:val="00C06700"/>
    <w:rsid w:val="00C07555"/>
    <w:rsid w:val="00C07669"/>
    <w:rsid w:val="00C0766E"/>
    <w:rsid w:val="00C07B7D"/>
    <w:rsid w:val="00C07EA6"/>
    <w:rsid w:val="00C1065A"/>
    <w:rsid w:val="00C11159"/>
    <w:rsid w:val="00C11516"/>
    <w:rsid w:val="00C11FC6"/>
    <w:rsid w:val="00C1287A"/>
    <w:rsid w:val="00C13090"/>
    <w:rsid w:val="00C13374"/>
    <w:rsid w:val="00C13F73"/>
    <w:rsid w:val="00C14A07"/>
    <w:rsid w:val="00C14C88"/>
    <w:rsid w:val="00C14CAD"/>
    <w:rsid w:val="00C15CFC"/>
    <w:rsid w:val="00C16C84"/>
    <w:rsid w:val="00C17376"/>
    <w:rsid w:val="00C20115"/>
    <w:rsid w:val="00C20C17"/>
    <w:rsid w:val="00C2210F"/>
    <w:rsid w:val="00C22289"/>
    <w:rsid w:val="00C23F27"/>
    <w:rsid w:val="00C24535"/>
    <w:rsid w:val="00C24E9F"/>
    <w:rsid w:val="00C251BC"/>
    <w:rsid w:val="00C258B2"/>
    <w:rsid w:val="00C27483"/>
    <w:rsid w:val="00C27873"/>
    <w:rsid w:val="00C2794A"/>
    <w:rsid w:val="00C27D14"/>
    <w:rsid w:val="00C27D70"/>
    <w:rsid w:val="00C3093D"/>
    <w:rsid w:val="00C3128B"/>
    <w:rsid w:val="00C317E8"/>
    <w:rsid w:val="00C31FD9"/>
    <w:rsid w:val="00C32797"/>
    <w:rsid w:val="00C32893"/>
    <w:rsid w:val="00C32F09"/>
    <w:rsid w:val="00C33E89"/>
    <w:rsid w:val="00C34648"/>
    <w:rsid w:val="00C34AD5"/>
    <w:rsid w:val="00C34AED"/>
    <w:rsid w:val="00C351A5"/>
    <w:rsid w:val="00C3591E"/>
    <w:rsid w:val="00C35A65"/>
    <w:rsid w:val="00C3628C"/>
    <w:rsid w:val="00C363F1"/>
    <w:rsid w:val="00C36623"/>
    <w:rsid w:val="00C36729"/>
    <w:rsid w:val="00C36794"/>
    <w:rsid w:val="00C37819"/>
    <w:rsid w:val="00C404FA"/>
    <w:rsid w:val="00C40D42"/>
    <w:rsid w:val="00C41AD6"/>
    <w:rsid w:val="00C4267F"/>
    <w:rsid w:val="00C42E15"/>
    <w:rsid w:val="00C4383D"/>
    <w:rsid w:val="00C438B7"/>
    <w:rsid w:val="00C4519B"/>
    <w:rsid w:val="00C4715E"/>
    <w:rsid w:val="00C478BA"/>
    <w:rsid w:val="00C50D2D"/>
    <w:rsid w:val="00C51226"/>
    <w:rsid w:val="00C516A5"/>
    <w:rsid w:val="00C5195B"/>
    <w:rsid w:val="00C52B35"/>
    <w:rsid w:val="00C5367E"/>
    <w:rsid w:val="00C53D52"/>
    <w:rsid w:val="00C540D8"/>
    <w:rsid w:val="00C54252"/>
    <w:rsid w:val="00C54E17"/>
    <w:rsid w:val="00C5522E"/>
    <w:rsid w:val="00C55C6A"/>
    <w:rsid w:val="00C5633C"/>
    <w:rsid w:val="00C56C32"/>
    <w:rsid w:val="00C57B67"/>
    <w:rsid w:val="00C6065B"/>
    <w:rsid w:val="00C60974"/>
    <w:rsid w:val="00C60984"/>
    <w:rsid w:val="00C60C3B"/>
    <w:rsid w:val="00C612BB"/>
    <w:rsid w:val="00C62970"/>
    <w:rsid w:val="00C62CE6"/>
    <w:rsid w:val="00C63446"/>
    <w:rsid w:val="00C63864"/>
    <w:rsid w:val="00C63894"/>
    <w:rsid w:val="00C656B9"/>
    <w:rsid w:val="00C6594D"/>
    <w:rsid w:val="00C66139"/>
    <w:rsid w:val="00C6661E"/>
    <w:rsid w:val="00C67377"/>
    <w:rsid w:val="00C6751E"/>
    <w:rsid w:val="00C676A3"/>
    <w:rsid w:val="00C70C27"/>
    <w:rsid w:val="00C70FEB"/>
    <w:rsid w:val="00C7102F"/>
    <w:rsid w:val="00C7145A"/>
    <w:rsid w:val="00C7145E"/>
    <w:rsid w:val="00C71727"/>
    <w:rsid w:val="00C71A84"/>
    <w:rsid w:val="00C739CA"/>
    <w:rsid w:val="00C73C17"/>
    <w:rsid w:val="00C74341"/>
    <w:rsid w:val="00C7440A"/>
    <w:rsid w:val="00C74C1E"/>
    <w:rsid w:val="00C74D6D"/>
    <w:rsid w:val="00C75B37"/>
    <w:rsid w:val="00C77769"/>
    <w:rsid w:val="00C777F3"/>
    <w:rsid w:val="00C77A29"/>
    <w:rsid w:val="00C77B99"/>
    <w:rsid w:val="00C8040A"/>
    <w:rsid w:val="00C80F0A"/>
    <w:rsid w:val="00C81309"/>
    <w:rsid w:val="00C81E32"/>
    <w:rsid w:val="00C82486"/>
    <w:rsid w:val="00C826EF"/>
    <w:rsid w:val="00C833EA"/>
    <w:rsid w:val="00C849D6"/>
    <w:rsid w:val="00C85DB2"/>
    <w:rsid w:val="00C86330"/>
    <w:rsid w:val="00C86404"/>
    <w:rsid w:val="00C86823"/>
    <w:rsid w:val="00C86B15"/>
    <w:rsid w:val="00C86F54"/>
    <w:rsid w:val="00C86F8D"/>
    <w:rsid w:val="00C87444"/>
    <w:rsid w:val="00C875E0"/>
    <w:rsid w:val="00C87A95"/>
    <w:rsid w:val="00C909A2"/>
    <w:rsid w:val="00C90DF2"/>
    <w:rsid w:val="00C90E89"/>
    <w:rsid w:val="00C9128A"/>
    <w:rsid w:val="00C9157E"/>
    <w:rsid w:val="00C91A62"/>
    <w:rsid w:val="00C91C68"/>
    <w:rsid w:val="00C93035"/>
    <w:rsid w:val="00C936FB"/>
    <w:rsid w:val="00C93C33"/>
    <w:rsid w:val="00C96B6D"/>
    <w:rsid w:val="00C97147"/>
    <w:rsid w:val="00C97D22"/>
    <w:rsid w:val="00CA0057"/>
    <w:rsid w:val="00CA105C"/>
    <w:rsid w:val="00CA1130"/>
    <w:rsid w:val="00CA1184"/>
    <w:rsid w:val="00CA195C"/>
    <w:rsid w:val="00CA2706"/>
    <w:rsid w:val="00CA3B59"/>
    <w:rsid w:val="00CA43A4"/>
    <w:rsid w:val="00CA48F9"/>
    <w:rsid w:val="00CA60CA"/>
    <w:rsid w:val="00CA61F3"/>
    <w:rsid w:val="00CA6ECE"/>
    <w:rsid w:val="00CA7E2D"/>
    <w:rsid w:val="00CB2588"/>
    <w:rsid w:val="00CB2D2B"/>
    <w:rsid w:val="00CB3BB9"/>
    <w:rsid w:val="00CB3E1E"/>
    <w:rsid w:val="00CB4396"/>
    <w:rsid w:val="00CB4A56"/>
    <w:rsid w:val="00CB4B9F"/>
    <w:rsid w:val="00CB4ED7"/>
    <w:rsid w:val="00CB4FBB"/>
    <w:rsid w:val="00CB5285"/>
    <w:rsid w:val="00CB56DD"/>
    <w:rsid w:val="00CB5807"/>
    <w:rsid w:val="00CB5AAF"/>
    <w:rsid w:val="00CB649F"/>
    <w:rsid w:val="00CB65EF"/>
    <w:rsid w:val="00CC0094"/>
    <w:rsid w:val="00CC1104"/>
    <w:rsid w:val="00CC2093"/>
    <w:rsid w:val="00CC2A41"/>
    <w:rsid w:val="00CC2C8C"/>
    <w:rsid w:val="00CC48D8"/>
    <w:rsid w:val="00CC4AF6"/>
    <w:rsid w:val="00CC51A0"/>
    <w:rsid w:val="00CC58C4"/>
    <w:rsid w:val="00CC5934"/>
    <w:rsid w:val="00CC5EC5"/>
    <w:rsid w:val="00CC601D"/>
    <w:rsid w:val="00CC6834"/>
    <w:rsid w:val="00CC6BC1"/>
    <w:rsid w:val="00CD0D82"/>
    <w:rsid w:val="00CD149E"/>
    <w:rsid w:val="00CD16D7"/>
    <w:rsid w:val="00CD22A1"/>
    <w:rsid w:val="00CD2796"/>
    <w:rsid w:val="00CD3119"/>
    <w:rsid w:val="00CD36FD"/>
    <w:rsid w:val="00CD4435"/>
    <w:rsid w:val="00CD4772"/>
    <w:rsid w:val="00CD5B78"/>
    <w:rsid w:val="00CD6F98"/>
    <w:rsid w:val="00CD7907"/>
    <w:rsid w:val="00CE026A"/>
    <w:rsid w:val="00CE0769"/>
    <w:rsid w:val="00CE09B7"/>
    <w:rsid w:val="00CE0D4C"/>
    <w:rsid w:val="00CE1895"/>
    <w:rsid w:val="00CE27A2"/>
    <w:rsid w:val="00CE37F2"/>
    <w:rsid w:val="00CE6390"/>
    <w:rsid w:val="00CE699F"/>
    <w:rsid w:val="00CE6D69"/>
    <w:rsid w:val="00CF0561"/>
    <w:rsid w:val="00CF0804"/>
    <w:rsid w:val="00CF10AB"/>
    <w:rsid w:val="00CF270E"/>
    <w:rsid w:val="00CF3263"/>
    <w:rsid w:val="00CF4002"/>
    <w:rsid w:val="00CF550A"/>
    <w:rsid w:val="00CF687D"/>
    <w:rsid w:val="00D007C4"/>
    <w:rsid w:val="00D01038"/>
    <w:rsid w:val="00D0125F"/>
    <w:rsid w:val="00D01F85"/>
    <w:rsid w:val="00D021A2"/>
    <w:rsid w:val="00D02DA1"/>
    <w:rsid w:val="00D02E38"/>
    <w:rsid w:val="00D03116"/>
    <w:rsid w:val="00D032AC"/>
    <w:rsid w:val="00D0342D"/>
    <w:rsid w:val="00D034A1"/>
    <w:rsid w:val="00D0449E"/>
    <w:rsid w:val="00D0466A"/>
    <w:rsid w:val="00D050EF"/>
    <w:rsid w:val="00D06254"/>
    <w:rsid w:val="00D06927"/>
    <w:rsid w:val="00D07C0B"/>
    <w:rsid w:val="00D07C1E"/>
    <w:rsid w:val="00D07CA1"/>
    <w:rsid w:val="00D10E31"/>
    <w:rsid w:val="00D115F0"/>
    <w:rsid w:val="00D122B9"/>
    <w:rsid w:val="00D12467"/>
    <w:rsid w:val="00D12A3D"/>
    <w:rsid w:val="00D130B8"/>
    <w:rsid w:val="00D132FD"/>
    <w:rsid w:val="00D13F59"/>
    <w:rsid w:val="00D14777"/>
    <w:rsid w:val="00D15253"/>
    <w:rsid w:val="00D156C4"/>
    <w:rsid w:val="00D15919"/>
    <w:rsid w:val="00D15A1D"/>
    <w:rsid w:val="00D17018"/>
    <w:rsid w:val="00D1735A"/>
    <w:rsid w:val="00D2056A"/>
    <w:rsid w:val="00D210FB"/>
    <w:rsid w:val="00D21F39"/>
    <w:rsid w:val="00D225FA"/>
    <w:rsid w:val="00D22D8D"/>
    <w:rsid w:val="00D22D99"/>
    <w:rsid w:val="00D256DB"/>
    <w:rsid w:val="00D2732F"/>
    <w:rsid w:val="00D27904"/>
    <w:rsid w:val="00D27AD6"/>
    <w:rsid w:val="00D3154A"/>
    <w:rsid w:val="00D317D9"/>
    <w:rsid w:val="00D32ADC"/>
    <w:rsid w:val="00D32C92"/>
    <w:rsid w:val="00D32D38"/>
    <w:rsid w:val="00D32F24"/>
    <w:rsid w:val="00D33CE4"/>
    <w:rsid w:val="00D33EC5"/>
    <w:rsid w:val="00D34402"/>
    <w:rsid w:val="00D3733B"/>
    <w:rsid w:val="00D3770B"/>
    <w:rsid w:val="00D37ACD"/>
    <w:rsid w:val="00D37DB8"/>
    <w:rsid w:val="00D40E4C"/>
    <w:rsid w:val="00D417FB"/>
    <w:rsid w:val="00D43880"/>
    <w:rsid w:val="00D44630"/>
    <w:rsid w:val="00D44A0A"/>
    <w:rsid w:val="00D44D41"/>
    <w:rsid w:val="00D44EFA"/>
    <w:rsid w:val="00D4502D"/>
    <w:rsid w:val="00D46240"/>
    <w:rsid w:val="00D46864"/>
    <w:rsid w:val="00D47E30"/>
    <w:rsid w:val="00D502DA"/>
    <w:rsid w:val="00D50887"/>
    <w:rsid w:val="00D50D7D"/>
    <w:rsid w:val="00D50E8C"/>
    <w:rsid w:val="00D511D8"/>
    <w:rsid w:val="00D5122A"/>
    <w:rsid w:val="00D52A22"/>
    <w:rsid w:val="00D53284"/>
    <w:rsid w:val="00D53748"/>
    <w:rsid w:val="00D53F9C"/>
    <w:rsid w:val="00D53FA3"/>
    <w:rsid w:val="00D541B2"/>
    <w:rsid w:val="00D548D3"/>
    <w:rsid w:val="00D54D52"/>
    <w:rsid w:val="00D55278"/>
    <w:rsid w:val="00D55591"/>
    <w:rsid w:val="00D559A4"/>
    <w:rsid w:val="00D55AEE"/>
    <w:rsid w:val="00D55B49"/>
    <w:rsid w:val="00D566A2"/>
    <w:rsid w:val="00D5672E"/>
    <w:rsid w:val="00D575FA"/>
    <w:rsid w:val="00D57E0E"/>
    <w:rsid w:val="00D6022E"/>
    <w:rsid w:val="00D60AE1"/>
    <w:rsid w:val="00D61A2C"/>
    <w:rsid w:val="00D62548"/>
    <w:rsid w:val="00D62679"/>
    <w:rsid w:val="00D62F44"/>
    <w:rsid w:val="00D637F9"/>
    <w:rsid w:val="00D647C3"/>
    <w:rsid w:val="00D64810"/>
    <w:rsid w:val="00D6539A"/>
    <w:rsid w:val="00D656E6"/>
    <w:rsid w:val="00D66618"/>
    <w:rsid w:val="00D67C30"/>
    <w:rsid w:val="00D72042"/>
    <w:rsid w:val="00D73479"/>
    <w:rsid w:val="00D752BC"/>
    <w:rsid w:val="00D75B7A"/>
    <w:rsid w:val="00D76515"/>
    <w:rsid w:val="00D76C4B"/>
    <w:rsid w:val="00D81E09"/>
    <w:rsid w:val="00D828CD"/>
    <w:rsid w:val="00D82A2B"/>
    <w:rsid w:val="00D83A9D"/>
    <w:rsid w:val="00D83F48"/>
    <w:rsid w:val="00D84387"/>
    <w:rsid w:val="00D84AB6"/>
    <w:rsid w:val="00D85B24"/>
    <w:rsid w:val="00D8677D"/>
    <w:rsid w:val="00D87CC0"/>
    <w:rsid w:val="00D9003E"/>
    <w:rsid w:val="00D9020B"/>
    <w:rsid w:val="00D91116"/>
    <w:rsid w:val="00D9121A"/>
    <w:rsid w:val="00D921D3"/>
    <w:rsid w:val="00D924B1"/>
    <w:rsid w:val="00D92FF6"/>
    <w:rsid w:val="00D93D25"/>
    <w:rsid w:val="00D95677"/>
    <w:rsid w:val="00D961BB"/>
    <w:rsid w:val="00D96337"/>
    <w:rsid w:val="00D971DE"/>
    <w:rsid w:val="00DA121C"/>
    <w:rsid w:val="00DA13F9"/>
    <w:rsid w:val="00DA15A9"/>
    <w:rsid w:val="00DA169C"/>
    <w:rsid w:val="00DA2C16"/>
    <w:rsid w:val="00DA422F"/>
    <w:rsid w:val="00DA45C7"/>
    <w:rsid w:val="00DA46EB"/>
    <w:rsid w:val="00DA4EAA"/>
    <w:rsid w:val="00DA52EB"/>
    <w:rsid w:val="00DA55DB"/>
    <w:rsid w:val="00DA588F"/>
    <w:rsid w:val="00DA791E"/>
    <w:rsid w:val="00DA7FE4"/>
    <w:rsid w:val="00DB0E8F"/>
    <w:rsid w:val="00DB1915"/>
    <w:rsid w:val="00DB1D55"/>
    <w:rsid w:val="00DB1E84"/>
    <w:rsid w:val="00DB2C34"/>
    <w:rsid w:val="00DB38E4"/>
    <w:rsid w:val="00DB3C0B"/>
    <w:rsid w:val="00DB3D02"/>
    <w:rsid w:val="00DB3D72"/>
    <w:rsid w:val="00DB3F9A"/>
    <w:rsid w:val="00DB47F1"/>
    <w:rsid w:val="00DB5D97"/>
    <w:rsid w:val="00DB69FA"/>
    <w:rsid w:val="00DB6C0D"/>
    <w:rsid w:val="00DB6FF8"/>
    <w:rsid w:val="00DC18FD"/>
    <w:rsid w:val="00DC1B40"/>
    <w:rsid w:val="00DC3651"/>
    <w:rsid w:val="00DC3A11"/>
    <w:rsid w:val="00DC4497"/>
    <w:rsid w:val="00DC4694"/>
    <w:rsid w:val="00DC496B"/>
    <w:rsid w:val="00DC5D66"/>
    <w:rsid w:val="00DC641C"/>
    <w:rsid w:val="00DC70BC"/>
    <w:rsid w:val="00DD1393"/>
    <w:rsid w:val="00DD1E77"/>
    <w:rsid w:val="00DD3150"/>
    <w:rsid w:val="00DD5450"/>
    <w:rsid w:val="00DD5EE6"/>
    <w:rsid w:val="00DD6479"/>
    <w:rsid w:val="00DD6C30"/>
    <w:rsid w:val="00DD6F23"/>
    <w:rsid w:val="00DD701D"/>
    <w:rsid w:val="00DD743C"/>
    <w:rsid w:val="00DD7778"/>
    <w:rsid w:val="00DE0BBA"/>
    <w:rsid w:val="00DE0C84"/>
    <w:rsid w:val="00DE0CAF"/>
    <w:rsid w:val="00DE1351"/>
    <w:rsid w:val="00DE1680"/>
    <w:rsid w:val="00DE1E1C"/>
    <w:rsid w:val="00DE2EB7"/>
    <w:rsid w:val="00DE3EBC"/>
    <w:rsid w:val="00DE4156"/>
    <w:rsid w:val="00DE45B8"/>
    <w:rsid w:val="00DE6844"/>
    <w:rsid w:val="00DE6C0F"/>
    <w:rsid w:val="00DE7D94"/>
    <w:rsid w:val="00DF556F"/>
    <w:rsid w:val="00DF577E"/>
    <w:rsid w:val="00DF5826"/>
    <w:rsid w:val="00DF6325"/>
    <w:rsid w:val="00DF700A"/>
    <w:rsid w:val="00DF7EEE"/>
    <w:rsid w:val="00E0086C"/>
    <w:rsid w:val="00E00D4C"/>
    <w:rsid w:val="00E00EE1"/>
    <w:rsid w:val="00E0138C"/>
    <w:rsid w:val="00E0246C"/>
    <w:rsid w:val="00E02666"/>
    <w:rsid w:val="00E037E3"/>
    <w:rsid w:val="00E03F8A"/>
    <w:rsid w:val="00E04AD7"/>
    <w:rsid w:val="00E0565B"/>
    <w:rsid w:val="00E05672"/>
    <w:rsid w:val="00E05A60"/>
    <w:rsid w:val="00E06ED4"/>
    <w:rsid w:val="00E07789"/>
    <w:rsid w:val="00E07A4F"/>
    <w:rsid w:val="00E07AD1"/>
    <w:rsid w:val="00E07BE8"/>
    <w:rsid w:val="00E07C98"/>
    <w:rsid w:val="00E10533"/>
    <w:rsid w:val="00E10594"/>
    <w:rsid w:val="00E1197B"/>
    <w:rsid w:val="00E11CF1"/>
    <w:rsid w:val="00E1444E"/>
    <w:rsid w:val="00E144AA"/>
    <w:rsid w:val="00E14752"/>
    <w:rsid w:val="00E14846"/>
    <w:rsid w:val="00E14E62"/>
    <w:rsid w:val="00E15749"/>
    <w:rsid w:val="00E15945"/>
    <w:rsid w:val="00E16503"/>
    <w:rsid w:val="00E16A8E"/>
    <w:rsid w:val="00E16AA7"/>
    <w:rsid w:val="00E173C9"/>
    <w:rsid w:val="00E17E47"/>
    <w:rsid w:val="00E17F77"/>
    <w:rsid w:val="00E206EF"/>
    <w:rsid w:val="00E20FE0"/>
    <w:rsid w:val="00E219A7"/>
    <w:rsid w:val="00E21A01"/>
    <w:rsid w:val="00E21A1A"/>
    <w:rsid w:val="00E21C26"/>
    <w:rsid w:val="00E222F7"/>
    <w:rsid w:val="00E23BD5"/>
    <w:rsid w:val="00E240FC"/>
    <w:rsid w:val="00E241FC"/>
    <w:rsid w:val="00E248CB"/>
    <w:rsid w:val="00E2573D"/>
    <w:rsid w:val="00E26B3A"/>
    <w:rsid w:val="00E27644"/>
    <w:rsid w:val="00E2782F"/>
    <w:rsid w:val="00E2795E"/>
    <w:rsid w:val="00E30D7C"/>
    <w:rsid w:val="00E31082"/>
    <w:rsid w:val="00E313E7"/>
    <w:rsid w:val="00E31471"/>
    <w:rsid w:val="00E3221F"/>
    <w:rsid w:val="00E33235"/>
    <w:rsid w:val="00E343D0"/>
    <w:rsid w:val="00E345F3"/>
    <w:rsid w:val="00E34EF7"/>
    <w:rsid w:val="00E350AE"/>
    <w:rsid w:val="00E35396"/>
    <w:rsid w:val="00E35C93"/>
    <w:rsid w:val="00E35F58"/>
    <w:rsid w:val="00E368EA"/>
    <w:rsid w:val="00E36E42"/>
    <w:rsid w:val="00E36F4D"/>
    <w:rsid w:val="00E37434"/>
    <w:rsid w:val="00E37A8E"/>
    <w:rsid w:val="00E402F0"/>
    <w:rsid w:val="00E41146"/>
    <w:rsid w:val="00E4211A"/>
    <w:rsid w:val="00E42F27"/>
    <w:rsid w:val="00E43F30"/>
    <w:rsid w:val="00E441A8"/>
    <w:rsid w:val="00E44F96"/>
    <w:rsid w:val="00E46213"/>
    <w:rsid w:val="00E46AA4"/>
    <w:rsid w:val="00E47404"/>
    <w:rsid w:val="00E52BA8"/>
    <w:rsid w:val="00E53110"/>
    <w:rsid w:val="00E53C20"/>
    <w:rsid w:val="00E541C0"/>
    <w:rsid w:val="00E55189"/>
    <w:rsid w:val="00E55463"/>
    <w:rsid w:val="00E55643"/>
    <w:rsid w:val="00E558D7"/>
    <w:rsid w:val="00E5593A"/>
    <w:rsid w:val="00E55EBD"/>
    <w:rsid w:val="00E56388"/>
    <w:rsid w:val="00E56531"/>
    <w:rsid w:val="00E573A5"/>
    <w:rsid w:val="00E57667"/>
    <w:rsid w:val="00E57C0B"/>
    <w:rsid w:val="00E603D8"/>
    <w:rsid w:val="00E60892"/>
    <w:rsid w:val="00E60A83"/>
    <w:rsid w:val="00E612B2"/>
    <w:rsid w:val="00E6184E"/>
    <w:rsid w:val="00E62884"/>
    <w:rsid w:val="00E635A3"/>
    <w:rsid w:val="00E64020"/>
    <w:rsid w:val="00E64D97"/>
    <w:rsid w:val="00E65A8F"/>
    <w:rsid w:val="00E65DF0"/>
    <w:rsid w:val="00E661EE"/>
    <w:rsid w:val="00E6754A"/>
    <w:rsid w:val="00E754A6"/>
    <w:rsid w:val="00E7595E"/>
    <w:rsid w:val="00E80382"/>
    <w:rsid w:val="00E80507"/>
    <w:rsid w:val="00E80A09"/>
    <w:rsid w:val="00E82047"/>
    <w:rsid w:val="00E828AB"/>
    <w:rsid w:val="00E83343"/>
    <w:rsid w:val="00E83B41"/>
    <w:rsid w:val="00E84093"/>
    <w:rsid w:val="00E841A6"/>
    <w:rsid w:val="00E84714"/>
    <w:rsid w:val="00E85C33"/>
    <w:rsid w:val="00E861E6"/>
    <w:rsid w:val="00E87937"/>
    <w:rsid w:val="00E87F0B"/>
    <w:rsid w:val="00E9002F"/>
    <w:rsid w:val="00E90947"/>
    <w:rsid w:val="00E90B35"/>
    <w:rsid w:val="00E913B9"/>
    <w:rsid w:val="00E916B1"/>
    <w:rsid w:val="00E9394E"/>
    <w:rsid w:val="00E93E37"/>
    <w:rsid w:val="00E94BFE"/>
    <w:rsid w:val="00E958E9"/>
    <w:rsid w:val="00E9603A"/>
    <w:rsid w:val="00E960AD"/>
    <w:rsid w:val="00E96702"/>
    <w:rsid w:val="00E96D24"/>
    <w:rsid w:val="00E96D34"/>
    <w:rsid w:val="00E97FE1"/>
    <w:rsid w:val="00EA065A"/>
    <w:rsid w:val="00EA0F95"/>
    <w:rsid w:val="00EA205E"/>
    <w:rsid w:val="00EA23BB"/>
    <w:rsid w:val="00EA2498"/>
    <w:rsid w:val="00EA44F6"/>
    <w:rsid w:val="00EA46D7"/>
    <w:rsid w:val="00EA4D04"/>
    <w:rsid w:val="00EA4D12"/>
    <w:rsid w:val="00EA5859"/>
    <w:rsid w:val="00EA5F17"/>
    <w:rsid w:val="00EA601B"/>
    <w:rsid w:val="00EA6FE2"/>
    <w:rsid w:val="00EA7972"/>
    <w:rsid w:val="00EB061B"/>
    <w:rsid w:val="00EB0C98"/>
    <w:rsid w:val="00EB0DFC"/>
    <w:rsid w:val="00EB1523"/>
    <w:rsid w:val="00EB15A1"/>
    <w:rsid w:val="00EB1D2C"/>
    <w:rsid w:val="00EB2707"/>
    <w:rsid w:val="00EB2883"/>
    <w:rsid w:val="00EB3362"/>
    <w:rsid w:val="00EB3778"/>
    <w:rsid w:val="00EB48AE"/>
    <w:rsid w:val="00EB494D"/>
    <w:rsid w:val="00EB5E37"/>
    <w:rsid w:val="00EB6332"/>
    <w:rsid w:val="00EB7A1E"/>
    <w:rsid w:val="00EB7DB1"/>
    <w:rsid w:val="00EC07E8"/>
    <w:rsid w:val="00EC12A7"/>
    <w:rsid w:val="00EC163C"/>
    <w:rsid w:val="00EC17CD"/>
    <w:rsid w:val="00EC2ADF"/>
    <w:rsid w:val="00EC30B5"/>
    <w:rsid w:val="00EC3FD2"/>
    <w:rsid w:val="00EC45E4"/>
    <w:rsid w:val="00EC46FC"/>
    <w:rsid w:val="00EC4A13"/>
    <w:rsid w:val="00EC5CF4"/>
    <w:rsid w:val="00EC5E21"/>
    <w:rsid w:val="00EC6ABB"/>
    <w:rsid w:val="00EC6E7A"/>
    <w:rsid w:val="00EC70AF"/>
    <w:rsid w:val="00EC7A83"/>
    <w:rsid w:val="00ED059C"/>
    <w:rsid w:val="00ED06C1"/>
    <w:rsid w:val="00ED3FBA"/>
    <w:rsid w:val="00ED41F6"/>
    <w:rsid w:val="00ED4744"/>
    <w:rsid w:val="00ED479E"/>
    <w:rsid w:val="00ED53F1"/>
    <w:rsid w:val="00ED5FE3"/>
    <w:rsid w:val="00ED62F8"/>
    <w:rsid w:val="00ED665A"/>
    <w:rsid w:val="00ED702E"/>
    <w:rsid w:val="00ED72B0"/>
    <w:rsid w:val="00EE071C"/>
    <w:rsid w:val="00EE1A1F"/>
    <w:rsid w:val="00EE2450"/>
    <w:rsid w:val="00EE2690"/>
    <w:rsid w:val="00EE2CAC"/>
    <w:rsid w:val="00EE311A"/>
    <w:rsid w:val="00EE40D6"/>
    <w:rsid w:val="00EE58A9"/>
    <w:rsid w:val="00EE65C7"/>
    <w:rsid w:val="00EE6842"/>
    <w:rsid w:val="00EE7C48"/>
    <w:rsid w:val="00EF07E1"/>
    <w:rsid w:val="00EF0803"/>
    <w:rsid w:val="00EF162C"/>
    <w:rsid w:val="00EF1837"/>
    <w:rsid w:val="00EF1A87"/>
    <w:rsid w:val="00EF1D09"/>
    <w:rsid w:val="00EF302F"/>
    <w:rsid w:val="00EF3BBF"/>
    <w:rsid w:val="00EF3DB9"/>
    <w:rsid w:val="00EF4E77"/>
    <w:rsid w:val="00EF56B1"/>
    <w:rsid w:val="00EF670F"/>
    <w:rsid w:val="00EF69C7"/>
    <w:rsid w:val="00EF6C44"/>
    <w:rsid w:val="00EF7210"/>
    <w:rsid w:val="00EF76F9"/>
    <w:rsid w:val="00F00D82"/>
    <w:rsid w:val="00F01F60"/>
    <w:rsid w:val="00F024DD"/>
    <w:rsid w:val="00F03480"/>
    <w:rsid w:val="00F03762"/>
    <w:rsid w:val="00F037AE"/>
    <w:rsid w:val="00F04A4C"/>
    <w:rsid w:val="00F04FB2"/>
    <w:rsid w:val="00F0559F"/>
    <w:rsid w:val="00F055D1"/>
    <w:rsid w:val="00F05842"/>
    <w:rsid w:val="00F06011"/>
    <w:rsid w:val="00F0604A"/>
    <w:rsid w:val="00F07727"/>
    <w:rsid w:val="00F10F9E"/>
    <w:rsid w:val="00F135F1"/>
    <w:rsid w:val="00F13931"/>
    <w:rsid w:val="00F144E1"/>
    <w:rsid w:val="00F14D8E"/>
    <w:rsid w:val="00F15641"/>
    <w:rsid w:val="00F15DCC"/>
    <w:rsid w:val="00F1666E"/>
    <w:rsid w:val="00F20346"/>
    <w:rsid w:val="00F2077F"/>
    <w:rsid w:val="00F216F3"/>
    <w:rsid w:val="00F21896"/>
    <w:rsid w:val="00F21AED"/>
    <w:rsid w:val="00F2262A"/>
    <w:rsid w:val="00F22DD0"/>
    <w:rsid w:val="00F239AC"/>
    <w:rsid w:val="00F23ECD"/>
    <w:rsid w:val="00F26CD5"/>
    <w:rsid w:val="00F26D52"/>
    <w:rsid w:val="00F27C1E"/>
    <w:rsid w:val="00F3010B"/>
    <w:rsid w:val="00F3094E"/>
    <w:rsid w:val="00F30A75"/>
    <w:rsid w:val="00F31151"/>
    <w:rsid w:val="00F3158E"/>
    <w:rsid w:val="00F328BA"/>
    <w:rsid w:val="00F34C67"/>
    <w:rsid w:val="00F3506C"/>
    <w:rsid w:val="00F35336"/>
    <w:rsid w:val="00F355E5"/>
    <w:rsid w:val="00F36C12"/>
    <w:rsid w:val="00F3767F"/>
    <w:rsid w:val="00F37C1C"/>
    <w:rsid w:val="00F40739"/>
    <w:rsid w:val="00F419A6"/>
    <w:rsid w:val="00F42093"/>
    <w:rsid w:val="00F4287D"/>
    <w:rsid w:val="00F439A7"/>
    <w:rsid w:val="00F4415E"/>
    <w:rsid w:val="00F4429F"/>
    <w:rsid w:val="00F44760"/>
    <w:rsid w:val="00F448C0"/>
    <w:rsid w:val="00F4559E"/>
    <w:rsid w:val="00F476B6"/>
    <w:rsid w:val="00F47FCD"/>
    <w:rsid w:val="00F507E4"/>
    <w:rsid w:val="00F50F84"/>
    <w:rsid w:val="00F519D0"/>
    <w:rsid w:val="00F51B31"/>
    <w:rsid w:val="00F524EF"/>
    <w:rsid w:val="00F53483"/>
    <w:rsid w:val="00F548E9"/>
    <w:rsid w:val="00F55949"/>
    <w:rsid w:val="00F55C86"/>
    <w:rsid w:val="00F567F1"/>
    <w:rsid w:val="00F56BD6"/>
    <w:rsid w:val="00F56FDE"/>
    <w:rsid w:val="00F574B3"/>
    <w:rsid w:val="00F610D6"/>
    <w:rsid w:val="00F6246D"/>
    <w:rsid w:val="00F633B3"/>
    <w:rsid w:val="00F635D3"/>
    <w:rsid w:val="00F63D28"/>
    <w:rsid w:val="00F6442D"/>
    <w:rsid w:val="00F6613A"/>
    <w:rsid w:val="00F66297"/>
    <w:rsid w:val="00F66780"/>
    <w:rsid w:val="00F6703F"/>
    <w:rsid w:val="00F6745D"/>
    <w:rsid w:val="00F7005D"/>
    <w:rsid w:val="00F713A4"/>
    <w:rsid w:val="00F71A5C"/>
    <w:rsid w:val="00F71D85"/>
    <w:rsid w:val="00F720F2"/>
    <w:rsid w:val="00F721AC"/>
    <w:rsid w:val="00F72E98"/>
    <w:rsid w:val="00F7392D"/>
    <w:rsid w:val="00F73B5E"/>
    <w:rsid w:val="00F73C72"/>
    <w:rsid w:val="00F7410D"/>
    <w:rsid w:val="00F74205"/>
    <w:rsid w:val="00F74858"/>
    <w:rsid w:val="00F753FD"/>
    <w:rsid w:val="00F75ACE"/>
    <w:rsid w:val="00F7638E"/>
    <w:rsid w:val="00F76658"/>
    <w:rsid w:val="00F76685"/>
    <w:rsid w:val="00F767B2"/>
    <w:rsid w:val="00F76A8F"/>
    <w:rsid w:val="00F76DE7"/>
    <w:rsid w:val="00F77093"/>
    <w:rsid w:val="00F773A4"/>
    <w:rsid w:val="00F7768C"/>
    <w:rsid w:val="00F77C38"/>
    <w:rsid w:val="00F80469"/>
    <w:rsid w:val="00F81662"/>
    <w:rsid w:val="00F81931"/>
    <w:rsid w:val="00F81B92"/>
    <w:rsid w:val="00F81FD4"/>
    <w:rsid w:val="00F83260"/>
    <w:rsid w:val="00F85093"/>
    <w:rsid w:val="00F86207"/>
    <w:rsid w:val="00F8687B"/>
    <w:rsid w:val="00F86B98"/>
    <w:rsid w:val="00F8744F"/>
    <w:rsid w:val="00F904A2"/>
    <w:rsid w:val="00F90646"/>
    <w:rsid w:val="00F907B1"/>
    <w:rsid w:val="00F9085D"/>
    <w:rsid w:val="00F90A64"/>
    <w:rsid w:val="00F90E95"/>
    <w:rsid w:val="00F9114B"/>
    <w:rsid w:val="00F924E7"/>
    <w:rsid w:val="00F93CD4"/>
    <w:rsid w:val="00F958DE"/>
    <w:rsid w:val="00F968B6"/>
    <w:rsid w:val="00F96BE0"/>
    <w:rsid w:val="00F96CCB"/>
    <w:rsid w:val="00FA0289"/>
    <w:rsid w:val="00FA067D"/>
    <w:rsid w:val="00FA0B04"/>
    <w:rsid w:val="00FA159F"/>
    <w:rsid w:val="00FA309A"/>
    <w:rsid w:val="00FA3208"/>
    <w:rsid w:val="00FA3BBD"/>
    <w:rsid w:val="00FA4635"/>
    <w:rsid w:val="00FA48ED"/>
    <w:rsid w:val="00FA4DED"/>
    <w:rsid w:val="00FA5D6D"/>
    <w:rsid w:val="00FA6097"/>
    <w:rsid w:val="00FA6B7A"/>
    <w:rsid w:val="00FA6F6D"/>
    <w:rsid w:val="00FA7F47"/>
    <w:rsid w:val="00FB053F"/>
    <w:rsid w:val="00FB0A0F"/>
    <w:rsid w:val="00FB0DE9"/>
    <w:rsid w:val="00FB1A15"/>
    <w:rsid w:val="00FB25AD"/>
    <w:rsid w:val="00FB3BF5"/>
    <w:rsid w:val="00FB52CC"/>
    <w:rsid w:val="00FB54D8"/>
    <w:rsid w:val="00FB61C6"/>
    <w:rsid w:val="00FB6204"/>
    <w:rsid w:val="00FB6465"/>
    <w:rsid w:val="00FB6B5E"/>
    <w:rsid w:val="00FB6BFD"/>
    <w:rsid w:val="00FB7090"/>
    <w:rsid w:val="00FB7855"/>
    <w:rsid w:val="00FB7A2B"/>
    <w:rsid w:val="00FB7C18"/>
    <w:rsid w:val="00FC0760"/>
    <w:rsid w:val="00FC15BA"/>
    <w:rsid w:val="00FC1CBB"/>
    <w:rsid w:val="00FC2750"/>
    <w:rsid w:val="00FC38FC"/>
    <w:rsid w:val="00FC452B"/>
    <w:rsid w:val="00FC4C83"/>
    <w:rsid w:val="00FC5AEF"/>
    <w:rsid w:val="00FC6115"/>
    <w:rsid w:val="00FC6681"/>
    <w:rsid w:val="00FC77D2"/>
    <w:rsid w:val="00FD0440"/>
    <w:rsid w:val="00FD0A39"/>
    <w:rsid w:val="00FD1183"/>
    <w:rsid w:val="00FD1744"/>
    <w:rsid w:val="00FD1EA2"/>
    <w:rsid w:val="00FD4867"/>
    <w:rsid w:val="00FD4A8C"/>
    <w:rsid w:val="00FD4E97"/>
    <w:rsid w:val="00FD5780"/>
    <w:rsid w:val="00FD76CF"/>
    <w:rsid w:val="00FE065D"/>
    <w:rsid w:val="00FE09CA"/>
    <w:rsid w:val="00FE0CF6"/>
    <w:rsid w:val="00FE10D7"/>
    <w:rsid w:val="00FE1FCF"/>
    <w:rsid w:val="00FE2322"/>
    <w:rsid w:val="00FE41BB"/>
    <w:rsid w:val="00FE527D"/>
    <w:rsid w:val="00FE5BB9"/>
    <w:rsid w:val="00FE66FE"/>
    <w:rsid w:val="00FF009C"/>
    <w:rsid w:val="00FF0F58"/>
    <w:rsid w:val="00FF136B"/>
    <w:rsid w:val="00FF1946"/>
    <w:rsid w:val="00FF2234"/>
    <w:rsid w:val="00FF2917"/>
    <w:rsid w:val="00FF2D6D"/>
    <w:rsid w:val="00FF2F0E"/>
    <w:rsid w:val="00FF2F6F"/>
    <w:rsid w:val="00FF3F5E"/>
    <w:rsid w:val="00FF4511"/>
    <w:rsid w:val="00FF782D"/>
    <w:rsid w:val="00FF79DE"/>
  </w:rsids>
  <m:mathPr>
    <m:mathFont m:val="Cambria Math"/>
    <m:brkBin m:val="before"/>
    <m:brkBinSub m:val="--"/>
    <m:smallFrac/>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D1647"/>
  <w15:docId w15:val="{C38CBDFF-CA0D-4E64-BB70-E07A0F7EB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8C1"/>
    <w:pPr>
      <w:spacing w:after="120" w:line="276" w:lineRule="auto"/>
      <w:jc w:val="both"/>
    </w:pPr>
    <w:rPr>
      <w:rFonts w:ascii="Gill Sans MT" w:eastAsia="Times New Roman" w:hAnsi="Gill Sans MT"/>
      <w:sz w:val="23"/>
      <w:szCs w:val="24"/>
    </w:rPr>
  </w:style>
  <w:style w:type="paragraph" w:styleId="Naslov1">
    <w:name w:val="heading 1"/>
    <w:basedOn w:val="Normal"/>
    <w:next w:val="Normal"/>
    <w:link w:val="Naslov1Char"/>
    <w:autoRedefine/>
    <w:qFormat/>
    <w:rsid w:val="001F7977"/>
    <w:pPr>
      <w:keepNext/>
      <w:spacing w:before="360"/>
      <w:outlineLvl w:val="0"/>
    </w:pPr>
    <w:rPr>
      <w:rFonts w:ascii="Roboto" w:eastAsia="Calibri" w:hAnsi="Roboto"/>
      <w:b/>
      <w:bCs/>
      <w:kern w:val="32"/>
      <w:sz w:val="22"/>
      <w:szCs w:val="22"/>
      <w:lang w:eastAsia="en-US"/>
    </w:rPr>
  </w:style>
  <w:style w:type="paragraph" w:styleId="Naslov2">
    <w:name w:val="heading 2"/>
    <w:basedOn w:val="Normal"/>
    <w:next w:val="Normal"/>
    <w:link w:val="Naslov2Char"/>
    <w:uiPriority w:val="9"/>
    <w:unhideWhenUsed/>
    <w:qFormat/>
    <w:rsid w:val="001B2EF8"/>
    <w:pPr>
      <w:keepNext/>
      <w:numPr>
        <w:ilvl w:val="1"/>
        <w:numId w:val="1"/>
      </w:numPr>
      <w:spacing w:before="480" w:after="360"/>
      <w:outlineLvl w:val="1"/>
    </w:pPr>
    <w:rPr>
      <w:b/>
      <w:bCs/>
      <w:iCs/>
      <w:szCs w:val="28"/>
    </w:rPr>
  </w:style>
  <w:style w:type="paragraph" w:styleId="Naslov3">
    <w:name w:val="heading 3"/>
    <w:basedOn w:val="Normal"/>
    <w:next w:val="Normal"/>
    <w:link w:val="Naslov3Char"/>
    <w:uiPriority w:val="9"/>
    <w:unhideWhenUsed/>
    <w:qFormat/>
    <w:rsid w:val="00F635D3"/>
    <w:pPr>
      <w:numPr>
        <w:ilvl w:val="2"/>
        <w:numId w:val="1"/>
      </w:numPr>
      <w:spacing w:before="360" w:after="240"/>
      <w:outlineLvl w:val="2"/>
    </w:pPr>
    <w:rPr>
      <w:b/>
      <w:bCs/>
      <w:szCs w:val="26"/>
    </w:rPr>
  </w:style>
  <w:style w:type="paragraph" w:styleId="Naslov4">
    <w:name w:val="heading 4"/>
    <w:basedOn w:val="Naslov3"/>
    <w:next w:val="Normal"/>
    <w:link w:val="Naslov4Char"/>
    <w:uiPriority w:val="9"/>
    <w:unhideWhenUsed/>
    <w:qFormat/>
    <w:rsid w:val="00CC6BC1"/>
    <w:pPr>
      <w:numPr>
        <w:ilvl w:val="3"/>
      </w:numPr>
      <w:spacing w:before="240" w:after="120"/>
      <w:ind w:left="1713" w:hanging="862"/>
      <w:outlineLvl w:val="3"/>
    </w:pPr>
    <w:rPr>
      <w:bCs w:val="0"/>
      <w:szCs w:val="28"/>
    </w:rPr>
  </w:style>
  <w:style w:type="paragraph" w:styleId="Naslov5">
    <w:name w:val="heading 5"/>
    <w:basedOn w:val="Normal"/>
    <w:next w:val="Normal"/>
    <w:link w:val="Naslov5Char"/>
    <w:uiPriority w:val="9"/>
    <w:unhideWhenUsed/>
    <w:qFormat/>
    <w:rsid w:val="005D3181"/>
    <w:pPr>
      <w:numPr>
        <w:ilvl w:val="4"/>
        <w:numId w:val="1"/>
      </w:numPr>
      <w:spacing w:before="240" w:after="60"/>
      <w:outlineLvl w:val="4"/>
    </w:pPr>
    <w:rPr>
      <w:rFonts w:ascii="Calibri" w:hAnsi="Calibri"/>
      <w:b/>
      <w:bCs/>
      <w:i/>
      <w:iCs/>
      <w:sz w:val="26"/>
      <w:szCs w:val="26"/>
    </w:rPr>
  </w:style>
  <w:style w:type="paragraph" w:styleId="Naslov6">
    <w:name w:val="heading 6"/>
    <w:basedOn w:val="Normal"/>
    <w:next w:val="TIJELOJV"/>
    <w:link w:val="Naslov6Char"/>
    <w:uiPriority w:val="9"/>
    <w:unhideWhenUsed/>
    <w:qFormat/>
    <w:rsid w:val="007157A5"/>
    <w:pPr>
      <w:spacing w:before="240" w:after="60"/>
      <w:outlineLvl w:val="5"/>
    </w:pPr>
    <w:rPr>
      <w:b/>
      <w:bCs/>
      <w:sz w:val="28"/>
      <w:szCs w:val="22"/>
    </w:rPr>
  </w:style>
  <w:style w:type="paragraph" w:styleId="Naslov7">
    <w:name w:val="heading 7"/>
    <w:basedOn w:val="Normal"/>
    <w:next w:val="Normal"/>
    <w:link w:val="Naslov7Char"/>
    <w:uiPriority w:val="9"/>
    <w:semiHidden/>
    <w:unhideWhenUsed/>
    <w:qFormat/>
    <w:rsid w:val="005D3181"/>
    <w:pPr>
      <w:numPr>
        <w:ilvl w:val="6"/>
        <w:numId w:val="1"/>
      </w:numPr>
      <w:spacing w:before="240" w:after="60"/>
      <w:outlineLvl w:val="6"/>
    </w:pPr>
    <w:rPr>
      <w:rFonts w:ascii="Calibri" w:hAnsi="Calibri"/>
    </w:rPr>
  </w:style>
  <w:style w:type="paragraph" w:styleId="Naslov8">
    <w:name w:val="heading 8"/>
    <w:basedOn w:val="Normal"/>
    <w:next w:val="Normal"/>
    <w:link w:val="Naslov8Char"/>
    <w:uiPriority w:val="9"/>
    <w:semiHidden/>
    <w:unhideWhenUsed/>
    <w:qFormat/>
    <w:rsid w:val="005D3181"/>
    <w:pPr>
      <w:numPr>
        <w:ilvl w:val="7"/>
        <w:numId w:val="1"/>
      </w:numPr>
      <w:spacing w:before="240" w:after="60"/>
      <w:outlineLvl w:val="7"/>
    </w:pPr>
    <w:rPr>
      <w:rFonts w:ascii="Calibri" w:hAnsi="Calibri"/>
      <w:i/>
      <w:iCs/>
    </w:rPr>
  </w:style>
  <w:style w:type="paragraph" w:styleId="Naslov9">
    <w:name w:val="heading 9"/>
    <w:basedOn w:val="Normal"/>
    <w:next w:val="Normal"/>
    <w:link w:val="Naslov9Char"/>
    <w:uiPriority w:val="9"/>
    <w:semiHidden/>
    <w:unhideWhenUsed/>
    <w:qFormat/>
    <w:rsid w:val="005D3181"/>
    <w:pPr>
      <w:numPr>
        <w:ilvl w:val="8"/>
        <w:numId w:val="1"/>
      </w:numPr>
      <w:spacing w:before="240" w:after="60"/>
      <w:outlineLvl w:val="8"/>
    </w:pPr>
    <w:rPr>
      <w:rFonts w:ascii="Cambria" w:hAnsi="Cambria"/>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sid w:val="001F7977"/>
    <w:rPr>
      <w:rFonts w:ascii="Roboto" w:hAnsi="Roboto"/>
      <w:b/>
      <w:bCs/>
      <w:kern w:val="32"/>
      <w:sz w:val="22"/>
      <w:szCs w:val="22"/>
      <w:lang w:eastAsia="en-US"/>
    </w:rPr>
  </w:style>
  <w:style w:type="character" w:customStyle="1" w:styleId="Naslov2Char">
    <w:name w:val="Naslov 2 Char"/>
    <w:link w:val="Naslov2"/>
    <w:uiPriority w:val="9"/>
    <w:rsid w:val="001B2EF8"/>
    <w:rPr>
      <w:rFonts w:ascii="Gill Sans MT" w:eastAsia="Times New Roman" w:hAnsi="Gill Sans MT"/>
      <w:b/>
      <w:bCs/>
      <w:iCs/>
      <w:sz w:val="23"/>
      <w:szCs w:val="28"/>
    </w:rPr>
  </w:style>
  <w:style w:type="character" w:customStyle="1" w:styleId="Naslov3Char">
    <w:name w:val="Naslov 3 Char"/>
    <w:link w:val="Naslov3"/>
    <w:uiPriority w:val="9"/>
    <w:rsid w:val="00F635D3"/>
    <w:rPr>
      <w:rFonts w:ascii="Gill Sans MT" w:eastAsia="Times New Roman" w:hAnsi="Gill Sans MT"/>
      <w:b/>
      <w:bCs/>
      <w:sz w:val="23"/>
      <w:szCs w:val="26"/>
    </w:rPr>
  </w:style>
  <w:style w:type="character" w:customStyle="1" w:styleId="Naslov4Char">
    <w:name w:val="Naslov 4 Char"/>
    <w:link w:val="Naslov4"/>
    <w:uiPriority w:val="9"/>
    <w:rsid w:val="00CC6BC1"/>
    <w:rPr>
      <w:rFonts w:ascii="Gill Sans MT" w:eastAsia="Times New Roman" w:hAnsi="Gill Sans MT"/>
      <w:b/>
      <w:sz w:val="23"/>
      <w:szCs w:val="28"/>
    </w:rPr>
  </w:style>
  <w:style w:type="character" w:customStyle="1" w:styleId="Naslov5Char">
    <w:name w:val="Naslov 5 Char"/>
    <w:link w:val="Naslov5"/>
    <w:uiPriority w:val="9"/>
    <w:rsid w:val="005D3181"/>
    <w:rPr>
      <w:rFonts w:eastAsia="Times New Roman"/>
      <w:b/>
      <w:bCs/>
      <w:i/>
      <w:iCs/>
      <w:sz w:val="26"/>
      <w:szCs w:val="26"/>
    </w:rPr>
  </w:style>
  <w:style w:type="paragraph" w:customStyle="1" w:styleId="TIJELOJV">
    <w:name w:val="TIJELO_JV"/>
    <w:basedOn w:val="t-9-8"/>
    <w:qFormat/>
    <w:rsid w:val="005D3181"/>
    <w:pPr>
      <w:keepNext/>
      <w:spacing w:before="600" w:beforeAutospacing="0" w:after="240" w:afterAutospacing="0"/>
    </w:pPr>
    <w:rPr>
      <w:rFonts w:ascii="Arial" w:hAnsi="Arial" w:cs="Arial"/>
      <w:b/>
      <w:szCs w:val="22"/>
    </w:rPr>
  </w:style>
  <w:style w:type="paragraph" w:customStyle="1" w:styleId="t-9-8">
    <w:name w:val="t-9-8"/>
    <w:basedOn w:val="Normal"/>
    <w:rsid w:val="005D3181"/>
    <w:pPr>
      <w:spacing w:before="100" w:beforeAutospacing="1" w:after="100" w:afterAutospacing="1"/>
    </w:pPr>
  </w:style>
  <w:style w:type="character" w:customStyle="1" w:styleId="Naslov6Char">
    <w:name w:val="Naslov 6 Char"/>
    <w:link w:val="Naslov6"/>
    <w:uiPriority w:val="9"/>
    <w:rsid w:val="007157A5"/>
    <w:rPr>
      <w:rFonts w:ascii="Gill Sans MT" w:eastAsia="Times New Roman" w:hAnsi="Gill Sans MT"/>
      <w:b/>
      <w:bCs/>
      <w:sz w:val="28"/>
      <w:szCs w:val="22"/>
    </w:rPr>
  </w:style>
  <w:style w:type="character" w:customStyle="1" w:styleId="Naslov7Char">
    <w:name w:val="Naslov 7 Char"/>
    <w:link w:val="Naslov7"/>
    <w:uiPriority w:val="9"/>
    <w:semiHidden/>
    <w:rsid w:val="005D3181"/>
    <w:rPr>
      <w:rFonts w:eastAsia="Times New Roman"/>
      <w:sz w:val="23"/>
      <w:szCs w:val="24"/>
    </w:rPr>
  </w:style>
  <w:style w:type="character" w:customStyle="1" w:styleId="Naslov8Char">
    <w:name w:val="Naslov 8 Char"/>
    <w:link w:val="Naslov8"/>
    <w:uiPriority w:val="9"/>
    <w:semiHidden/>
    <w:rsid w:val="005D3181"/>
    <w:rPr>
      <w:rFonts w:eastAsia="Times New Roman"/>
      <w:i/>
      <w:iCs/>
      <w:sz w:val="23"/>
      <w:szCs w:val="24"/>
    </w:rPr>
  </w:style>
  <w:style w:type="character" w:customStyle="1" w:styleId="Naslov9Char">
    <w:name w:val="Naslov 9 Char"/>
    <w:link w:val="Naslov9"/>
    <w:uiPriority w:val="9"/>
    <w:semiHidden/>
    <w:rsid w:val="005D3181"/>
    <w:rPr>
      <w:rFonts w:ascii="Cambria" w:eastAsia="Times New Roman" w:hAnsi="Cambria"/>
      <w:sz w:val="22"/>
      <w:szCs w:val="22"/>
    </w:rPr>
  </w:style>
  <w:style w:type="character" w:styleId="Hiperveza">
    <w:name w:val="Hyperlink"/>
    <w:basedOn w:val="Naslov2Char"/>
    <w:uiPriority w:val="99"/>
    <w:unhideWhenUsed/>
    <w:qFormat/>
    <w:rsid w:val="000D2C4C"/>
    <w:rPr>
      <w:rFonts w:ascii="Roboto" w:eastAsia="Times New Roman" w:hAnsi="Roboto"/>
      <w:b/>
      <w:bCs/>
      <w:iCs/>
      <w:color w:val="auto"/>
      <w:sz w:val="22"/>
      <w:szCs w:val="28"/>
      <w:u w:val="single"/>
    </w:rPr>
  </w:style>
  <w:style w:type="paragraph" w:customStyle="1" w:styleId="Default">
    <w:name w:val="Default"/>
    <w:rsid w:val="005D3181"/>
    <w:pPr>
      <w:autoSpaceDE w:val="0"/>
      <w:autoSpaceDN w:val="0"/>
      <w:adjustRightInd w:val="0"/>
    </w:pPr>
    <w:rPr>
      <w:rFonts w:cs="Calibri"/>
      <w:color w:val="000000"/>
      <w:sz w:val="24"/>
      <w:szCs w:val="24"/>
    </w:rPr>
  </w:style>
  <w:style w:type="paragraph" w:styleId="Tekstbalonia">
    <w:name w:val="Balloon Text"/>
    <w:basedOn w:val="Normal"/>
    <w:link w:val="TekstbaloniaChar"/>
    <w:uiPriority w:val="99"/>
    <w:unhideWhenUsed/>
    <w:rsid w:val="005D3181"/>
    <w:rPr>
      <w:rFonts w:ascii="Tahoma" w:hAnsi="Tahoma"/>
      <w:sz w:val="16"/>
      <w:szCs w:val="16"/>
    </w:rPr>
  </w:style>
  <w:style w:type="character" w:customStyle="1" w:styleId="TekstbaloniaChar">
    <w:name w:val="Tekst balončića Char"/>
    <w:link w:val="Tekstbalonia"/>
    <w:uiPriority w:val="99"/>
    <w:rsid w:val="005D3181"/>
    <w:rPr>
      <w:rFonts w:ascii="Tahoma" w:eastAsia="Times New Roman" w:hAnsi="Tahoma" w:cs="Times New Roman"/>
      <w:sz w:val="16"/>
      <w:szCs w:val="16"/>
      <w:lang w:eastAsia="hr-HR"/>
    </w:rPr>
  </w:style>
  <w:style w:type="paragraph" w:customStyle="1" w:styleId="t-98-2">
    <w:name w:val="t-98-2"/>
    <w:basedOn w:val="Normal"/>
    <w:rsid w:val="005D3181"/>
    <w:pPr>
      <w:spacing w:before="100" w:beforeAutospacing="1" w:after="100" w:afterAutospacing="1"/>
    </w:pPr>
  </w:style>
  <w:style w:type="paragraph" w:styleId="Bezproreda">
    <w:name w:val="No Spacing"/>
    <w:link w:val="BezproredaChar"/>
    <w:uiPriority w:val="1"/>
    <w:qFormat/>
    <w:rsid w:val="005D3181"/>
    <w:rPr>
      <w:sz w:val="22"/>
      <w:szCs w:val="22"/>
      <w:lang w:eastAsia="en-US"/>
    </w:rPr>
  </w:style>
  <w:style w:type="character" w:customStyle="1" w:styleId="BezproredaChar">
    <w:name w:val="Bez proreda Char"/>
    <w:link w:val="Bezproreda"/>
    <w:uiPriority w:val="1"/>
    <w:rsid w:val="005D3181"/>
    <w:rPr>
      <w:sz w:val="22"/>
      <w:szCs w:val="22"/>
      <w:lang w:val="hr-HR" w:eastAsia="en-US" w:bidi="ar-SA"/>
    </w:rPr>
  </w:style>
  <w:style w:type="paragraph" w:styleId="Tekstfusnote">
    <w:name w:val="footnote text"/>
    <w:aliases w:val="notefranz"/>
    <w:basedOn w:val="Normal"/>
    <w:link w:val="TekstfusnoteChar"/>
    <w:uiPriority w:val="99"/>
    <w:unhideWhenUsed/>
    <w:rsid w:val="005D3181"/>
    <w:pPr>
      <w:spacing w:after="200"/>
    </w:pPr>
    <w:rPr>
      <w:rFonts w:ascii="Calibri" w:eastAsia="Calibri" w:hAnsi="Calibri"/>
      <w:sz w:val="20"/>
      <w:szCs w:val="20"/>
    </w:rPr>
  </w:style>
  <w:style w:type="character" w:customStyle="1" w:styleId="TekstfusnoteChar">
    <w:name w:val="Tekst fusnote Char"/>
    <w:aliases w:val="notefranz Char"/>
    <w:link w:val="Tekstfusnote"/>
    <w:uiPriority w:val="99"/>
    <w:rsid w:val="005D3181"/>
    <w:rPr>
      <w:rFonts w:ascii="Calibri" w:eastAsia="Calibri" w:hAnsi="Calibri" w:cs="Times New Roman"/>
      <w:sz w:val="20"/>
      <w:szCs w:val="20"/>
    </w:rPr>
  </w:style>
  <w:style w:type="character" w:styleId="Referencafusnote">
    <w:name w:val="footnote reference"/>
    <w:uiPriority w:val="99"/>
    <w:unhideWhenUsed/>
    <w:rsid w:val="005D3181"/>
    <w:rPr>
      <w:vertAlign w:val="superscript"/>
    </w:rPr>
  </w:style>
  <w:style w:type="paragraph" w:styleId="StandardWeb">
    <w:name w:val="Normal (Web)"/>
    <w:basedOn w:val="Normal"/>
    <w:uiPriority w:val="99"/>
    <w:unhideWhenUsed/>
    <w:rsid w:val="005D3181"/>
    <w:pPr>
      <w:spacing w:before="100" w:beforeAutospacing="1" w:after="100" w:afterAutospacing="1"/>
    </w:pPr>
  </w:style>
  <w:style w:type="character" w:styleId="Naglaeno">
    <w:name w:val="Strong"/>
    <w:uiPriority w:val="22"/>
    <w:qFormat/>
    <w:rsid w:val="005D3181"/>
    <w:rPr>
      <w:b/>
      <w:bCs/>
    </w:rPr>
  </w:style>
  <w:style w:type="paragraph" w:customStyle="1" w:styleId="clanak">
    <w:name w:val="clanak"/>
    <w:basedOn w:val="Normal"/>
    <w:rsid w:val="005D3181"/>
    <w:pPr>
      <w:spacing w:before="100" w:beforeAutospacing="1" w:after="100" w:afterAutospacing="1"/>
    </w:pPr>
  </w:style>
  <w:style w:type="paragraph" w:styleId="Odlomakpopisa">
    <w:name w:val="List Paragraph"/>
    <w:basedOn w:val="Normal"/>
    <w:link w:val="OdlomakpopisaChar"/>
    <w:uiPriority w:val="34"/>
    <w:qFormat/>
    <w:rsid w:val="005D3181"/>
    <w:pPr>
      <w:ind w:left="708"/>
    </w:pPr>
    <w:rPr>
      <w:rFonts w:ascii="Arial Narrow" w:hAnsi="Arial Narrow"/>
      <w:sz w:val="22"/>
    </w:rPr>
  </w:style>
  <w:style w:type="paragraph" w:styleId="Tijeloteksta-uvlaka3">
    <w:name w:val="Body Text Indent 3"/>
    <w:aliases w:val=" uvlaka 3,uvlaka 3"/>
    <w:basedOn w:val="Normal"/>
    <w:link w:val="Tijeloteksta-uvlaka3Char"/>
    <w:rsid w:val="005D3181"/>
    <w:pPr>
      <w:ind w:left="-567" w:firstLine="567"/>
    </w:pPr>
    <w:rPr>
      <w:szCs w:val="20"/>
      <w:lang w:val="en-US"/>
    </w:rPr>
  </w:style>
  <w:style w:type="character" w:customStyle="1" w:styleId="Tijeloteksta-uvlaka3Char">
    <w:name w:val="Tijelo teksta - uvlaka 3 Char"/>
    <w:aliases w:val=" uvlaka 3 Char,uvlaka 3 Char"/>
    <w:link w:val="Tijeloteksta-uvlaka3"/>
    <w:rsid w:val="005D3181"/>
    <w:rPr>
      <w:rFonts w:ascii="Times New Roman" w:eastAsia="Times New Roman" w:hAnsi="Times New Roman" w:cs="Times New Roman"/>
      <w:sz w:val="24"/>
      <w:szCs w:val="20"/>
      <w:lang w:val="en-US"/>
    </w:rPr>
  </w:style>
  <w:style w:type="paragraph" w:styleId="Zaglavlje">
    <w:name w:val="header"/>
    <w:basedOn w:val="Normal"/>
    <w:link w:val="ZaglavljeChar"/>
    <w:uiPriority w:val="99"/>
    <w:unhideWhenUsed/>
    <w:rsid w:val="005D3181"/>
    <w:pPr>
      <w:tabs>
        <w:tab w:val="center" w:pos="4536"/>
        <w:tab w:val="right" w:pos="9072"/>
      </w:tabs>
    </w:pPr>
  </w:style>
  <w:style w:type="character" w:customStyle="1" w:styleId="ZaglavljeChar">
    <w:name w:val="Zaglavlje Char"/>
    <w:link w:val="Zaglavlje"/>
    <w:uiPriority w:val="99"/>
    <w:rsid w:val="005D3181"/>
    <w:rPr>
      <w:rFonts w:ascii="Times New Roman" w:eastAsia="Times New Roman" w:hAnsi="Times New Roman" w:cs="Times New Roman"/>
      <w:sz w:val="24"/>
      <w:szCs w:val="24"/>
    </w:rPr>
  </w:style>
  <w:style w:type="paragraph" w:styleId="Podnoje">
    <w:name w:val="footer"/>
    <w:basedOn w:val="Normal"/>
    <w:link w:val="PodnojeChar"/>
    <w:uiPriority w:val="99"/>
    <w:unhideWhenUsed/>
    <w:rsid w:val="005D3181"/>
    <w:pPr>
      <w:tabs>
        <w:tab w:val="center" w:pos="4536"/>
        <w:tab w:val="right" w:pos="9072"/>
      </w:tabs>
    </w:pPr>
  </w:style>
  <w:style w:type="character" w:customStyle="1" w:styleId="PodnojeChar">
    <w:name w:val="Podnožje Char"/>
    <w:link w:val="Podnoje"/>
    <w:uiPriority w:val="99"/>
    <w:rsid w:val="005D3181"/>
    <w:rPr>
      <w:rFonts w:ascii="Times New Roman" w:eastAsia="Times New Roman" w:hAnsi="Times New Roman" w:cs="Times New Roman"/>
      <w:sz w:val="24"/>
      <w:szCs w:val="24"/>
    </w:rPr>
  </w:style>
  <w:style w:type="paragraph" w:styleId="Opisslike">
    <w:name w:val="caption"/>
    <w:basedOn w:val="Normal"/>
    <w:next w:val="Normal"/>
    <w:qFormat/>
    <w:rsid w:val="005D3181"/>
    <w:pPr>
      <w:ind w:left="-567" w:firstLine="567"/>
    </w:pPr>
    <w:rPr>
      <w:szCs w:val="20"/>
      <w:lang w:val="en-US"/>
    </w:rPr>
  </w:style>
  <w:style w:type="paragraph" w:customStyle="1" w:styleId="tekst">
    <w:name w:val="tekst"/>
    <w:basedOn w:val="Normal"/>
    <w:rsid w:val="005D3181"/>
    <w:pPr>
      <w:spacing w:before="100" w:beforeAutospacing="1" w:after="100" w:afterAutospacing="1"/>
    </w:pPr>
  </w:style>
  <w:style w:type="character" w:customStyle="1" w:styleId="bold1">
    <w:name w:val="bold1"/>
    <w:rsid w:val="005D3181"/>
    <w:rPr>
      <w:b/>
      <w:bCs/>
    </w:rPr>
  </w:style>
  <w:style w:type="paragraph" w:styleId="TOCNaslov">
    <w:name w:val="TOC Heading"/>
    <w:basedOn w:val="Normal"/>
    <w:next w:val="Normal"/>
    <w:uiPriority w:val="39"/>
    <w:unhideWhenUsed/>
    <w:qFormat/>
    <w:rsid w:val="005D3181"/>
    <w:pPr>
      <w:keepLines/>
      <w:spacing w:before="480"/>
    </w:pPr>
    <w:rPr>
      <w:color w:val="365F91"/>
      <w:sz w:val="28"/>
      <w:szCs w:val="28"/>
      <w:lang w:val="en-US" w:eastAsia="en-US"/>
    </w:rPr>
  </w:style>
  <w:style w:type="paragraph" w:styleId="Sadraj1">
    <w:name w:val="toc 1"/>
    <w:basedOn w:val="Normal"/>
    <w:next w:val="Normal"/>
    <w:link w:val="Sadraj1Char"/>
    <w:autoRedefine/>
    <w:uiPriority w:val="39"/>
    <w:unhideWhenUsed/>
    <w:qFormat/>
    <w:rsid w:val="00047C34"/>
    <w:pPr>
      <w:keepLines/>
      <w:tabs>
        <w:tab w:val="left" w:pos="426"/>
        <w:tab w:val="right" w:leader="dot" w:pos="9072"/>
      </w:tabs>
      <w:spacing w:before="120" w:line="240" w:lineRule="auto"/>
      <w:ind w:left="425" w:hanging="425"/>
      <w:jc w:val="left"/>
    </w:pPr>
    <w:rPr>
      <w:rFonts w:ascii="Roboto" w:hAnsi="Roboto"/>
      <w:b/>
      <w:noProof/>
      <w:sz w:val="22"/>
      <w:szCs w:val="23"/>
    </w:rPr>
  </w:style>
  <w:style w:type="paragraph" w:customStyle="1" w:styleId="Char">
    <w:name w:val="Char"/>
    <w:basedOn w:val="Normal"/>
    <w:rsid w:val="005D3181"/>
    <w:pPr>
      <w:spacing w:after="160" w:line="240" w:lineRule="exact"/>
    </w:pPr>
    <w:rPr>
      <w:rFonts w:ascii="Tahoma" w:hAnsi="Tahoma"/>
      <w:sz w:val="20"/>
      <w:szCs w:val="20"/>
      <w:lang w:val="en-US" w:eastAsia="en-US"/>
    </w:rPr>
  </w:style>
  <w:style w:type="paragraph" w:styleId="Sadraj2">
    <w:name w:val="toc 2"/>
    <w:basedOn w:val="Normal"/>
    <w:next w:val="Normal"/>
    <w:link w:val="Sadraj2Char"/>
    <w:autoRedefine/>
    <w:uiPriority w:val="39"/>
    <w:unhideWhenUsed/>
    <w:qFormat/>
    <w:rsid w:val="00D130B8"/>
    <w:pPr>
      <w:tabs>
        <w:tab w:val="left" w:pos="1276"/>
        <w:tab w:val="right" w:leader="dot" w:pos="9062"/>
      </w:tabs>
      <w:spacing w:after="0"/>
      <w:ind w:left="1134" w:hanging="510"/>
    </w:pPr>
    <w:rPr>
      <w:noProof/>
      <w:sz w:val="20"/>
    </w:rPr>
  </w:style>
  <w:style w:type="character" w:customStyle="1" w:styleId="Bodytext">
    <w:name w:val="Body text_"/>
    <w:link w:val="BodyText1"/>
    <w:rsid w:val="005D3181"/>
    <w:rPr>
      <w:rFonts w:ascii="Times New Roman" w:eastAsia="Times New Roman" w:hAnsi="Times New Roman"/>
      <w:sz w:val="23"/>
      <w:szCs w:val="23"/>
      <w:shd w:val="clear" w:color="auto" w:fill="FFFFFF"/>
    </w:rPr>
  </w:style>
  <w:style w:type="paragraph" w:customStyle="1" w:styleId="BodyText1">
    <w:name w:val="Body Text1"/>
    <w:basedOn w:val="Normal"/>
    <w:link w:val="Bodytext"/>
    <w:rsid w:val="005D3181"/>
    <w:pPr>
      <w:shd w:val="clear" w:color="auto" w:fill="FFFFFF"/>
      <w:spacing w:after="60" w:line="0" w:lineRule="atLeast"/>
      <w:ind w:hanging="1640"/>
    </w:pPr>
    <w:rPr>
      <w:szCs w:val="23"/>
    </w:rPr>
  </w:style>
  <w:style w:type="paragraph" w:customStyle="1" w:styleId="PODNASLOV">
    <w:name w:val="PODNASLOV"/>
    <w:basedOn w:val="Normal"/>
    <w:rsid w:val="005D3181"/>
    <w:rPr>
      <w:rFonts w:ascii="Arial" w:hAnsi="Arial" w:cs="Arial"/>
      <w:b/>
      <w:szCs w:val="20"/>
      <w:lang w:eastAsia="en-US"/>
    </w:rPr>
  </w:style>
  <w:style w:type="paragraph" w:customStyle="1" w:styleId="bezproreda0">
    <w:name w:val="bezproreda"/>
    <w:basedOn w:val="Normal"/>
    <w:rsid w:val="005D3181"/>
    <w:pPr>
      <w:spacing w:before="100" w:beforeAutospacing="1" w:after="100" w:afterAutospacing="1"/>
    </w:pPr>
    <w:rPr>
      <w:rFonts w:eastAsia="Calibri"/>
    </w:rPr>
  </w:style>
  <w:style w:type="paragraph" w:customStyle="1" w:styleId="klasa2">
    <w:name w:val="klasa2"/>
    <w:basedOn w:val="Normal"/>
    <w:rsid w:val="005D3181"/>
    <w:pPr>
      <w:spacing w:before="100" w:beforeAutospacing="1" w:after="100" w:afterAutospacing="1"/>
    </w:pPr>
  </w:style>
  <w:style w:type="paragraph" w:customStyle="1" w:styleId="T-98-20">
    <w:name w:val="T-9/8-2"/>
    <w:link w:val="T-98-2Char"/>
    <w:rsid w:val="005D3181"/>
    <w:pPr>
      <w:widowControl w:val="0"/>
      <w:tabs>
        <w:tab w:val="left" w:pos="2153"/>
      </w:tabs>
      <w:adjustRightInd w:val="0"/>
      <w:spacing w:after="43"/>
      <w:ind w:firstLine="342"/>
      <w:jc w:val="both"/>
    </w:pPr>
    <w:rPr>
      <w:rFonts w:ascii="Times-NewRoman" w:eastAsia="Times New Roman" w:hAnsi="Times-NewRoman"/>
      <w:sz w:val="19"/>
      <w:szCs w:val="19"/>
    </w:rPr>
  </w:style>
  <w:style w:type="character" w:customStyle="1" w:styleId="T-98-2Char">
    <w:name w:val="T-9/8-2 Char"/>
    <w:link w:val="T-98-20"/>
    <w:locked/>
    <w:rsid w:val="00E21A01"/>
    <w:rPr>
      <w:rFonts w:ascii="Times-NewRoman" w:eastAsia="Times New Roman" w:hAnsi="Times-NewRoman"/>
      <w:sz w:val="19"/>
      <w:szCs w:val="19"/>
      <w:lang w:val="hr-HR" w:eastAsia="hr-HR" w:bidi="ar-SA"/>
    </w:rPr>
  </w:style>
  <w:style w:type="character" w:styleId="HTML-navod">
    <w:name w:val="HTML Cite"/>
    <w:rsid w:val="005D3181"/>
    <w:rPr>
      <w:i/>
      <w:iCs/>
    </w:rPr>
  </w:style>
  <w:style w:type="character" w:customStyle="1" w:styleId="Normal1">
    <w:name w:val="Normal1"/>
    <w:basedOn w:val="Zadanifontodlomka"/>
    <w:rsid w:val="005D3181"/>
  </w:style>
  <w:style w:type="paragraph" w:styleId="Naslov">
    <w:name w:val="Title"/>
    <w:basedOn w:val="Normal"/>
    <w:link w:val="NaslovChar"/>
    <w:qFormat/>
    <w:rsid w:val="005D3181"/>
    <w:pPr>
      <w:jc w:val="center"/>
    </w:pPr>
    <w:rPr>
      <w:b/>
      <w:bCs/>
      <w:sz w:val="40"/>
    </w:rPr>
  </w:style>
  <w:style w:type="character" w:customStyle="1" w:styleId="NaslovChar">
    <w:name w:val="Naslov Char"/>
    <w:link w:val="Naslov"/>
    <w:rsid w:val="005D3181"/>
    <w:rPr>
      <w:rFonts w:ascii="Times New Roman" w:eastAsia="Times New Roman" w:hAnsi="Times New Roman" w:cs="Times New Roman"/>
      <w:b/>
      <w:bCs/>
      <w:sz w:val="40"/>
      <w:szCs w:val="24"/>
    </w:rPr>
  </w:style>
  <w:style w:type="character" w:customStyle="1" w:styleId="klasifikacijskaoznaka">
    <w:name w:val="klasifikacijskaoznaka"/>
    <w:basedOn w:val="Zadanifontodlomka"/>
    <w:rsid w:val="005D3181"/>
  </w:style>
  <w:style w:type="paragraph" w:styleId="Tijeloteksta">
    <w:name w:val="Body Text"/>
    <w:basedOn w:val="Normal"/>
    <w:link w:val="TijelotekstaChar"/>
    <w:rsid w:val="005D3181"/>
    <w:rPr>
      <w:szCs w:val="20"/>
    </w:rPr>
  </w:style>
  <w:style w:type="character" w:customStyle="1" w:styleId="TijelotekstaChar">
    <w:name w:val="Tijelo teksta Char"/>
    <w:link w:val="Tijeloteksta"/>
    <w:rsid w:val="005D3181"/>
    <w:rPr>
      <w:rFonts w:ascii="Times New Roman" w:eastAsia="Times New Roman" w:hAnsi="Times New Roman" w:cs="Times New Roman"/>
      <w:sz w:val="24"/>
      <w:szCs w:val="20"/>
    </w:rPr>
  </w:style>
  <w:style w:type="paragraph" w:customStyle="1" w:styleId="plavastrelica1">
    <w:name w:val="plavastrelica1"/>
    <w:basedOn w:val="Normal"/>
    <w:rsid w:val="005D3181"/>
    <w:rPr>
      <w:rFonts w:ascii="Arial" w:hAnsi="Arial" w:cs="Arial"/>
      <w:b/>
      <w:bCs/>
      <w:color w:val="000000"/>
      <w:sz w:val="17"/>
      <w:szCs w:val="17"/>
    </w:rPr>
  </w:style>
  <w:style w:type="paragraph" w:styleId="Podnaslov0">
    <w:name w:val="Subtitle"/>
    <w:basedOn w:val="Normal"/>
    <w:next w:val="Normal"/>
    <w:link w:val="PodnaslovChar"/>
    <w:qFormat/>
    <w:rsid w:val="005D3181"/>
    <w:pPr>
      <w:spacing w:after="60"/>
      <w:jc w:val="center"/>
      <w:outlineLvl w:val="1"/>
    </w:pPr>
    <w:rPr>
      <w:rFonts w:ascii="Cambria" w:hAnsi="Cambria"/>
    </w:rPr>
  </w:style>
  <w:style w:type="character" w:customStyle="1" w:styleId="PodnaslovChar">
    <w:name w:val="Podnaslov Char"/>
    <w:link w:val="Podnaslov0"/>
    <w:rsid w:val="005D3181"/>
    <w:rPr>
      <w:rFonts w:ascii="Cambria" w:eastAsia="Times New Roman" w:hAnsi="Cambria" w:cs="Times New Roman"/>
      <w:sz w:val="24"/>
      <w:szCs w:val="24"/>
    </w:rPr>
  </w:style>
  <w:style w:type="paragraph" w:customStyle="1" w:styleId="TekstNaslovnice">
    <w:name w:val="TekstNaslovnice"/>
    <w:basedOn w:val="BodyText1"/>
    <w:qFormat/>
    <w:rsid w:val="005D3181"/>
    <w:pPr>
      <w:spacing w:after="0" w:line="240" w:lineRule="auto"/>
      <w:ind w:firstLine="0"/>
      <w:jc w:val="center"/>
    </w:pPr>
    <w:rPr>
      <w:rFonts w:ascii="Arial" w:hAnsi="Arial" w:cs="Arial"/>
      <w:b/>
      <w:color w:val="404040"/>
      <w:sz w:val="28"/>
    </w:rPr>
  </w:style>
  <w:style w:type="paragraph" w:customStyle="1" w:styleId="NormalDB">
    <w:name w:val="NormalDB"/>
    <w:basedOn w:val="Default"/>
    <w:qFormat/>
    <w:rsid w:val="005D3181"/>
    <w:pPr>
      <w:spacing w:before="120" w:after="240" w:line="360" w:lineRule="auto"/>
      <w:ind w:firstLine="426"/>
      <w:jc w:val="both"/>
    </w:pPr>
    <w:rPr>
      <w:rFonts w:ascii="Arial" w:hAnsi="Arial" w:cs="Arial"/>
      <w:sz w:val="22"/>
      <w:szCs w:val="22"/>
    </w:rPr>
  </w:style>
  <w:style w:type="paragraph" w:customStyle="1" w:styleId="NatkunicaDB1">
    <w:name w:val="Natkunica_DB_1"/>
    <w:basedOn w:val="Normal"/>
    <w:qFormat/>
    <w:rsid w:val="005D3181"/>
    <w:pPr>
      <w:numPr>
        <w:numId w:val="2"/>
      </w:numPr>
      <w:autoSpaceDE w:val="0"/>
      <w:autoSpaceDN w:val="0"/>
      <w:adjustRightInd w:val="0"/>
      <w:spacing w:line="360" w:lineRule="auto"/>
      <w:ind w:left="993" w:hanging="284"/>
    </w:pPr>
    <w:rPr>
      <w:rFonts w:ascii="Arial" w:eastAsia="Calibri" w:hAnsi="Arial" w:cs="Arial"/>
      <w:sz w:val="22"/>
      <w:szCs w:val="22"/>
    </w:rPr>
  </w:style>
  <w:style w:type="paragraph" w:customStyle="1" w:styleId="NatkunicaDB2">
    <w:name w:val="Natkunica_DB_2"/>
    <w:basedOn w:val="Normal"/>
    <w:qFormat/>
    <w:rsid w:val="005D3181"/>
    <w:pPr>
      <w:numPr>
        <w:numId w:val="3"/>
      </w:numPr>
      <w:spacing w:after="200" w:line="360" w:lineRule="auto"/>
    </w:pPr>
    <w:rPr>
      <w:rFonts w:ascii="Arial" w:hAnsi="Arial" w:cs="Arial"/>
      <w:sz w:val="22"/>
      <w:szCs w:val="22"/>
    </w:rPr>
  </w:style>
  <w:style w:type="paragraph" w:customStyle="1" w:styleId="1tekst">
    <w:name w:val="1tekst"/>
    <w:basedOn w:val="Normal"/>
    <w:rsid w:val="005D3181"/>
    <w:pPr>
      <w:ind w:left="375" w:right="375" w:firstLine="240"/>
    </w:pPr>
    <w:rPr>
      <w:rFonts w:ascii="Arial" w:eastAsia="MS Mincho" w:hAnsi="Arial" w:cs="Arial"/>
      <w:sz w:val="20"/>
      <w:szCs w:val="20"/>
      <w:lang w:val="en-US" w:eastAsia="en-US"/>
    </w:rPr>
  </w:style>
  <w:style w:type="paragraph" w:customStyle="1" w:styleId="CharCharCharChar">
    <w:name w:val="Char Char Char Char"/>
    <w:basedOn w:val="Normal"/>
    <w:rsid w:val="005D3181"/>
    <w:pPr>
      <w:spacing w:after="160" w:line="240" w:lineRule="exact"/>
    </w:pPr>
    <w:rPr>
      <w:rFonts w:ascii="Tahoma" w:hAnsi="Tahoma"/>
      <w:sz w:val="20"/>
      <w:szCs w:val="20"/>
      <w:lang w:val="en-US" w:eastAsia="en-US"/>
    </w:rPr>
  </w:style>
  <w:style w:type="paragraph" w:styleId="Tijeloteksta-uvlaka2">
    <w:name w:val="Body Text Indent 2"/>
    <w:basedOn w:val="Normal"/>
    <w:link w:val="Tijeloteksta-uvlaka2Char"/>
    <w:rsid w:val="005D3181"/>
    <w:pPr>
      <w:ind w:firstLine="720"/>
    </w:pPr>
    <w:rPr>
      <w:rFonts w:ascii="Arial" w:hAnsi="Arial"/>
      <w:sz w:val="20"/>
      <w:szCs w:val="20"/>
    </w:rPr>
  </w:style>
  <w:style w:type="character" w:customStyle="1" w:styleId="Tijeloteksta-uvlaka2Char">
    <w:name w:val="Tijelo teksta - uvlaka 2 Char"/>
    <w:link w:val="Tijeloteksta-uvlaka2"/>
    <w:rsid w:val="005D3181"/>
    <w:rPr>
      <w:rFonts w:ascii="Arial" w:eastAsia="Times New Roman" w:hAnsi="Arial" w:cs="Arial"/>
    </w:rPr>
  </w:style>
  <w:style w:type="paragraph" w:customStyle="1" w:styleId="4clan">
    <w:name w:val="4clan"/>
    <w:basedOn w:val="Normal"/>
    <w:rsid w:val="005D3181"/>
    <w:pPr>
      <w:spacing w:before="30" w:after="30"/>
      <w:jc w:val="center"/>
    </w:pPr>
    <w:rPr>
      <w:rFonts w:ascii="Arial" w:hAnsi="Arial" w:cs="Arial"/>
      <w:b/>
      <w:bCs/>
      <w:sz w:val="20"/>
      <w:szCs w:val="20"/>
      <w:lang w:val="en-US" w:eastAsia="en-US"/>
    </w:rPr>
  </w:style>
  <w:style w:type="paragraph" w:styleId="Uvuenotijeloteksta">
    <w:name w:val="Body Text Indent"/>
    <w:basedOn w:val="Normal"/>
    <w:link w:val="UvuenotijelotekstaChar"/>
    <w:rsid w:val="005D3181"/>
    <w:pPr>
      <w:ind w:left="283"/>
    </w:pPr>
  </w:style>
  <w:style w:type="character" w:customStyle="1" w:styleId="UvuenotijelotekstaChar">
    <w:name w:val="Uvučeno tijelo teksta Char"/>
    <w:link w:val="Uvuenotijeloteksta"/>
    <w:rsid w:val="005D3181"/>
    <w:rPr>
      <w:rFonts w:ascii="Times New Roman" w:eastAsia="Times New Roman" w:hAnsi="Times New Roman" w:cs="Times New Roman"/>
      <w:sz w:val="24"/>
      <w:szCs w:val="24"/>
    </w:rPr>
  </w:style>
  <w:style w:type="paragraph" w:customStyle="1" w:styleId="GLAVNINASLOV">
    <w:name w:val="GLAVNI NASLOV"/>
    <w:basedOn w:val="Normal"/>
    <w:rsid w:val="005D3181"/>
    <w:pPr>
      <w:jc w:val="center"/>
    </w:pPr>
    <w:rPr>
      <w:rFonts w:ascii="Arial" w:hAnsi="Arial" w:cs="Arial"/>
      <w:b/>
      <w:lang w:eastAsia="en-US"/>
    </w:rPr>
  </w:style>
  <w:style w:type="paragraph" w:customStyle="1" w:styleId="6naslov">
    <w:name w:val="6naslov"/>
    <w:basedOn w:val="Normal"/>
    <w:rsid w:val="005D3181"/>
    <w:pPr>
      <w:spacing w:before="60" w:after="30"/>
      <w:ind w:left="225" w:right="225"/>
      <w:jc w:val="center"/>
    </w:pPr>
    <w:rPr>
      <w:rFonts w:ascii="Arial" w:hAnsi="Arial" w:cs="Arial"/>
      <w:b/>
      <w:bCs/>
      <w:sz w:val="27"/>
      <w:szCs w:val="27"/>
      <w:lang w:val="en-US" w:eastAsia="en-US"/>
    </w:rPr>
  </w:style>
  <w:style w:type="paragraph" w:customStyle="1" w:styleId="7podnas">
    <w:name w:val="7podnas"/>
    <w:basedOn w:val="Normal"/>
    <w:rsid w:val="005D3181"/>
    <w:pPr>
      <w:shd w:val="clear" w:color="auto" w:fill="FFFFFF"/>
      <w:spacing w:before="60"/>
      <w:jc w:val="center"/>
    </w:pPr>
    <w:rPr>
      <w:rFonts w:ascii="Arial" w:hAnsi="Arial" w:cs="Arial"/>
      <w:b/>
      <w:bCs/>
      <w:sz w:val="27"/>
      <w:szCs w:val="27"/>
      <w:lang w:val="en-US" w:eastAsia="en-US"/>
    </w:rPr>
  </w:style>
  <w:style w:type="paragraph" w:styleId="Tijeloteksta3">
    <w:name w:val="Body Text 3"/>
    <w:basedOn w:val="Normal"/>
    <w:link w:val="Tijeloteksta3Char"/>
    <w:rsid w:val="005D3181"/>
    <w:rPr>
      <w:sz w:val="16"/>
      <w:szCs w:val="16"/>
      <w:lang w:val="en-US"/>
    </w:rPr>
  </w:style>
  <w:style w:type="character" w:customStyle="1" w:styleId="Tijeloteksta3Char">
    <w:name w:val="Tijelo teksta 3 Char"/>
    <w:link w:val="Tijeloteksta3"/>
    <w:rsid w:val="005D3181"/>
    <w:rPr>
      <w:rFonts w:ascii="Times New Roman" w:eastAsia="Times New Roman" w:hAnsi="Times New Roman" w:cs="Times New Roman"/>
      <w:sz w:val="16"/>
      <w:szCs w:val="16"/>
      <w:lang w:val="en-US"/>
    </w:rPr>
  </w:style>
  <w:style w:type="paragraph" w:styleId="Tijeloteksta2">
    <w:name w:val="Body Text 2"/>
    <w:basedOn w:val="Normal"/>
    <w:link w:val="Tijeloteksta2Char"/>
    <w:rsid w:val="005D3181"/>
    <w:rPr>
      <w:rFonts w:ascii="Tahoma" w:hAnsi="Tahoma"/>
      <w:b/>
      <w:i/>
      <w:szCs w:val="20"/>
    </w:rPr>
  </w:style>
  <w:style w:type="character" w:customStyle="1" w:styleId="Tijeloteksta2Char">
    <w:name w:val="Tijelo teksta 2 Char"/>
    <w:link w:val="Tijeloteksta2"/>
    <w:rsid w:val="005D3181"/>
    <w:rPr>
      <w:rFonts w:ascii="Tahoma" w:eastAsia="Times New Roman" w:hAnsi="Tahoma" w:cs="Tahoma"/>
      <w:b/>
      <w:i/>
      <w:sz w:val="24"/>
      <w:szCs w:val="20"/>
    </w:rPr>
  </w:style>
  <w:style w:type="paragraph" w:customStyle="1" w:styleId="clan">
    <w:name w:val="clan"/>
    <w:basedOn w:val="Normal"/>
    <w:rsid w:val="005D3181"/>
    <w:pPr>
      <w:spacing w:before="240"/>
      <w:jc w:val="center"/>
    </w:pPr>
    <w:rPr>
      <w:rFonts w:ascii="Arial" w:hAnsi="Arial" w:cs="Arial"/>
      <w:b/>
      <w:bCs/>
      <w:lang w:eastAsia="en-GB"/>
    </w:rPr>
  </w:style>
  <w:style w:type="paragraph" w:customStyle="1" w:styleId="110---naslov-clana">
    <w:name w:val="110---naslov-clana"/>
    <w:basedOn w:val="Normal"/>
    <w:rsid w:val="005D3181"/>
    <w:pPr>
      <w:spacing w:before="240" w:after="240"/>
      <w:jc w:val="center"/>
    </w:pPr>
    <w:rPr>
      <w:rFonts w:ascii="Arial" w:hAnsi="Arial" w:cs="Arial"/>
      <w:b/>
      <w:bCs/>
      <w:lang w:eastAsia="en-GB"/>
    </w:rPr>
  </w:style>
  <w:style w:type="paragraph" w:customStyle="1" w:styleId="CharCharCharChar0">
    <w:name w:val="Char Char Char Char"/>
    <w:basedOn w:val="Normal"/>
    <w:rsid w:val="005D3181"/>
    <w:pPr>
      <w:spacing w:after="160" w:line="240" w:lineRule="exact"/>
    </w:pPr>
    <w:rPr>
      <w:rFonts w:ascii="Tahoma" w:hAnsi="Tahoma"/>
      <w:sz w:val="20"/>
      <w:szCs w:val="20"/>
      <w:lang w:val="en-US" w:eastAsia="en-US"/>
    </w:rPr>
  </w:style>
  <w:style w:type="paragraph" w:customStyle="1" w:styleId="CharChar">
    <w:name w:val="Char Char"/>
    <w:basedOn w:val="Normal"/>
    <w:rsid w:val="005D3181"/>
    <w:pPr>
      <w:spacing w:after="160" w:line="240" w:lineRule="exact"/>
    </w:pPr>
    <w:rPr>
      <w:rFonts w:ascii="Tahoma" w:hAnsi="Tahoma"/>
      <w:sz w:val="20"/>
      <w:szCs w:val="20"/>
      <w:lang w:val="en-US" w:eastAsia="en-US"/>
    </w:rPr>
  </w:style>
  <w:style w:type="paragraph" w:customStyle="1" w:styleId="normaluvuceni">
    <w:name w:val="normal_uvuceni"/>
    <w:basedOn w:val="Normal"/>
    <w:rsid w:val="005D3181"/>
    <w:pPr>
      <w:spacing w:before="100" w:beforeAutospacing="1" w:after="100" w:afterAutospacing="1"/>
      <w:ind w:left="1134" w:hanging="142"/>
    </w:pPr>
    <w:rPr>
      <w:rFonts w:ascii="Arial" w:hAnsi="Arial" w:cs="Arial"/>
      <w:sz w:val="22"/>
      <w:szCs w:val="22"/>
      <w:lang w:val="en-US" w:eastAsia="en-US"/>
    </w:rPr>
  </w:style>
  <w:style w:type="paragraph" w:customStyle="1" w:styleId="CarCharCarCharCarCharCar">
    <w:name w:val="Car Char Car Char Car Char Car"/>
    <w:basedOn w:val="Normal"/>
    <w:rsid w:val="005D3181"/>
    <w:pPr>
      <w:spacing w:after="160" w:line="240" w:lineRule="exact"/>
    </w:pPr>
    <w:rPr>
      <w:rFonts w:ascii="Arial" w:hAnsi="Arial" w:cs="Arial"/>
      <w:sz w:val="20"/>
      <w:szCs w:val="20"/>
      <w:lang w:val="en-US" w:eastAsia="en-US"/>
    </w:rPr>
  </w:style>
  <w:style w:type="paragraph" w:customStyle="1" w:styleId="CharCharChar2Char">
    <w:name w:val="Char Char Char2 Char"/>
    <w:basedOn w:val="Normal"/>
    <w:rsid w:val="005D3181"/>
    <w:rPr>
      <w:lang w:val="en-GB" w:eastAsia="en-US"/>
    </w:rPr>
  </w:style>
  <w:style w:type="character" w:customStyle="1" w:styleId="hps">
    <w:name w:val="hps"/>
    <w:rsid w:val="005D3181"/>
  </w:style>
  <w:style w:type="character" w:customStyle="1" w:styleId="KartadokumentaChar">
    <w:name w:val="Karta dokumenta Char"/>
    <w:link w:val="Kartadokumenta"/>
    <w:semiHidden/>
    <w:rsid w:val="005D3181"/>
    <w:rPr>
      <w:rFonts w:ascii="Tahoma" w:eastAsia="Times New Roman" w:hAnsi="Tahoma" w:cs="Tahoma"/>
      <w:sz w:val="20"/>
      <w:szCs w:val="20"/>
      <w:shd w:val="clear" w:color="auto" w:fill="000080"/>
    </w:rPr>
  </w:style>
  <w:style w:type="paragraph" w:styleId="Kartadokumenta">
    <w:name w:val="Document Map"/>
    <w:basedOn w:val="Normal"/>
    <w:link w:val="KartadokumentaChar"/>
    <w:semiHidden/>
    <w:rsid w:val="005D3181"/>
    <w:pPr>
      <w:shd w:val="clear" w:color="auto" w:fill="000080"/>
    </w:pPr>
    <w:rPr>
      <w:rFonts w:ascii="Tahoma" w:hAnsi="Tahoma"/>
      <w:sz w:val="20"/>
      <w:szCs w:val="20"/>
    </w:rPr>
  </w:style>
  <w:style w:type="paragraph" w:customStyle="1" w:styleId="T-119sred">
    <w:name w:val="T-11/9 sred"/>
    <w:next w:val="Normal"/>
    <w:link w:val="T-119sredChar"/>
    <w:rsid w:val="005D3181"/>
    <w:pPr>
      <w:widowControl w:val="0"/>
      <w:autoSpaceDE w:val="0"/>
      <w:autoSpaceDN w:val="0"/>
      <w:adjustRightInd w:val="0"/>
      <w:spacing w:before="128" w:after="43"/>
      <w:jc w:val="center"/>
    </w:pPr>
    <w:rPr>
      <w:rFonts w:ascii="Times-NewRoman" w:hAnsi="Times-NewRoman"/>
      <w:sz w:val="23"/>
      <w:szCs w:val="23"/>
    </w:rPr>
  </w:style>
  <w:style w:type="character" w:customStyle="1" w:styleId="T-119sredChar">
    <w:name w:val="T-11/9 sred Char"/>
    <w:link w:val="T-119sred"/>
    <w:locked/>
    <w:rsid w:val="005D3181"/>
    <w:rPr>
      <w:rFonts w:ascii="Times-NewRoman" w:hAnsi="Times-NewRoman"/>
      <w:sz w:val="23"/>
      <w:szCs w:val="23"/>
      <w:lang w:val="hr-HR" w:eastAsia="hr-HR" w:bidi="ar-SA"/>
    </w:rPr>
  </w:style>
  <w:style w:type="table" w:styleId="Svijetlosjenanje-Isticanje4">
    <w:name w:val="Light Shading Accent 4"/>
    <w:basedOn w:val="Obinatablica"/>
    <w:uiPriority w:val="60"/>
    <w:rsid w:val="005D318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Svijetlareetka-Isticanje4">
    <w:name w:val="Light Grid Accent 4"/>
    <w:basedOn w:val="Obinatablica"/>
    <w:uiPriority w:val="62"/>
    <w:rsid w:val="005D318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Aptos Display" w:eastAsia="Times New Roman" w:hAnsi="Aptos Display"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Aptos Display" w:eastAsia="Times New Roman" w:hAnsi="Aptos Display"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Aptos Display" w:eastAsia="Times New Roman" w:hAnsi="Aptos Display" w:cs="Times New Roman"/>
        <w:b/>
        <w:bCs/>
      </w:rPr>
    </w:tblStylePr>
    <w:tblStylePr w:type="lastCol">
      <w:rPr>
        <w:rFonts w:ascii="Aptos Display" w:eastAsia="Times New Roman" w:hAnsi="Aptos Display"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Reetkatablice">
    <w:name w:val="Table Grid"/>
    <w:basedOn w:val="Obinatablica"/>
    <w:uiPriority w:val="59"/>
    <w:rsid w:val="000D2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05ptBold">
    <w:name w:val="Body text + 10;5 pt;Bold"/>
    <w:rsid w:val="007D17D2"/>
    <w:rPr>
      <w:rFonts w:ascii="Arial" w:eastAsia="Arial" w:hAnsi="Arial" w:cs="Arial"/>
      <w:b/>
      <w:bCs/>
      <w:i w:val="0"/>
      <w:iCs w:val="0"/>
      <w:smallCaps w:val="0"/>
      <w:strike w:val="0"/>
      <w:spacing w:val="0"/>
      <w:sz w:val="21"/>
      <w:szCs w:val="21"/>
      <w:shd w:val="clear" w:color="auto" w:fill="FFFFFF"/>
    </w:rPr>
  </w:style>
  <w:style w:type="paragraph" w:customStyle="1" w:styleId="Grupa1">
    <w:name w:val="Grupa 1"/>
    <w:basedOn w:val="Odlomakpopisa"/>
    <w:qFormat/>
    <w:rsid w:val="00481270"/>
    <w:pPr>
      <w:spacing w:before="360" w:after="360"/>
      <w:ind w:left="0"/>
      <w:contextualSpacing/>
    </w:pPr>
    <w:rPr>
      <w:rFonts w:ascii="Arial" w:hAnsi="Arial" w:cs="Arial"/>
      <w:bCs/>
      <w:i/>
      <w:sz w:val="21"/>
      <w:szCs w:val="21"/>
    </w:rPr>
  </w:style>
  <w:style w:type="paragraph" w:customStyle="1" w:styleId="Grupa2">
    <w:name w:val="Grupa 2"/>
    <w:basedOn w:val="Odlomakpopisa"/>
    <w:qFormat/>
    <w:rsid w:val="00481270"/>
    <w:pPr>
      <w:numPr>
        <w:numId w:val="4"/>
      </w:numPr>
      <w:spacing w:before="240"/>
      <w:ind w:left="709" w:hanging="709"/>
    </w:pPr>
    <w:rPr>
      <w:rFonts w:ascii="Arial" w:hAnsi="Arial" w:cs="Arial"/>
      <w:bCs/>
      <w:sz w:val="21"/>
      <w:szCs w:val="21"/>
    </w:rPr>
  </w:style>
  <w:style w:type="paragraph" w:styleId="Sadraj3">
    <w:name w:val="toc 3"/>
    <w:basedOn w:val="Sadraj2"/>
    <w:next w:val="Normal"/>
    <w:link w:val="Sadraj3Char"/>
    <w:autoRedefine/>
    <w:uiPriority w:val="39"/>
    <w:unhideWhenUsed/>
    <w:qFormat/>
    <w:rsid w:val="00C5522E"/>
    <w:pPr>
      <w:tabs>
        <w:tab w:val="clear" w:pos="1276"/>
      </w:tabs>
      <w:ind w:left="1418" w:hanging="652"/>
    </w:pPr>
  </w:style>
  <w:style w:type="paragraph" w:customStyle="1" w:styleId="clanak-">
    <w:name w:val="clanak-"/>
    <w:basedOn w:val="Normal"/>
    <w:uiPriority w:val="99"/>
    <w:rsid w:val="000220C9"/>
    <w:pPr>
      <w:spacing w:before="100" w:beforeAutospacing="1" w:after="100" w:afterAutospacing="1"/>
      <w:jc w:val="center"/>
    </w:pPr>
  </w:style>
  <w:style w:type="paragraph" w:customStyle="1" w:styleId="t-10-9-kurz-s">
    <w:name w:val="t-10-9-kurz-s"/>
    <w:basedOn w:val="Normal"/>
    <w:rsid w:val="000220C9"/>
    <w:pPr>
      <w:spacing w:before="100" w:beforeAutospacing="1" w:after="100" w:afterAutospacing="1"/>
      <w:jc w:val="center"/>
    </w:pPr>
    <w:rPr>
      <w:i/>
      <w:iCs/>
      <w:sz w:val="26"/>
      <w:szCs w:val="26"/>
    </w:rPr>
  </w:style>
  <w:style w:type="table" w:styleId="Srednjesjenanje2-Isticanje3">
    <w:name w:val="Medium Shading 2 Accent 3"/>
    <w:basedOn w:val="Obinatablica"/>
    <w:uiPriority w:val="64"/>
    <w:rsid w:val="0095022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rednjesjenanje1-Isticanje6">
    <w:name w:val="Medium Shading 1 Accent 6"/>
    <w:basedOn w:val="Obinatablica"/>
    <w:uiPriority w:val="63"/>
    <w:rsid w:val="0095022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List-Accent11">
    <w:name w:val="Light List - Accent 11"/>
    <w:basedOn w:val="Obinatablica"/>
    <w:uiPriority w:val="61"/>
    <w:rsid w:val="0095022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Obinatablica"/>
    <w:uiPriority w:val="63"/>
    <w:rsid w:val="00EB152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Obinitekst">
    <w:name w:val="Plain Text"/>
    <w:basedOn w:val="Normal"/>
    <w:link w:val="ObinitekstChar"/>
    <w:uiPriority w:val="99"/>
    <w:semiHidden/>
    <w:unhideWhenUsed/>
    <w:rsid w:val="00EB1523"/>
    <w:rPr>
      <w:rFonts w:ascii="Consolas" w:eastAsia="Calibri" w:hAnsi="Consolas"/>
      <w:sz w:val="21"/>
      <w:szCs w:val="21"/>
      <w:lang w:eastAsia="en-US"/>
    </w:rPr>
  </w:style>
  <w:style w:type="character" w:customStyle="1" w:styleId="ObinitekstChar">
    <w:name w:val="Obični tekst Char"/>
    <w:link w:val="Obinitekst"/>
    <w:uiPriority w:val="99"/>
    <w:semiHidden/>
    <w:rsid w:val="00EB1523"/>
    <w:rPr>
      <w:rFonts w:ascii="Consolas" w:eastAsia="Calibri" w:hAnsi="Consolas" w:cs="Times New Roman"/>
      <w:sz w:val="21"/>
      <w:szCs w:val="21"/>
      <w:lang w:eastAsia="en-US"/>
    </w:rPr>
  </w:style>
  <w:style w:type="table" w:customStyle="1" w:styleId="LightShading-Accent11">
    <w:name w:val="Light Shading - Accent 11"/>
    <w:basedOn w:val="Obinatablica"/>
    <w:uiPriority w:val="60"/>
    <w:rsid w:val="00816B8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vijetlosjenanje-Isticanje2">
    <w:name w:val="Light Shading Accent 2"/>
    <w:basedOn w:val="Obinatablica"/>
    <w:uiPriority w:val="60"/>
    <w:rsid w:val="0029019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longtext">
    <w:name w:val="long_text"/>
    <w:basedOn w:val="Zadanifontodlomka"/>
    <w:rsid w:val="00E21A01"/>
  </w:style>
  <w:style w:type="table" w:customStyle="1" w:styleId="LightGrid-Accent11">
    <w:name w:val="Light Grid - Accent 11"/>
    <w:basedOn w:val="Obinatablica"/>
    <w:uiPriority w:val="62"/>
    <w:rsid w:val="00A70D6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ptos Display" w:eastAsia="Times New Roman" w:hAnsi="Aptos Display"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ptos Display" w:eastAsia="Times New Roman" w:hAnsi="Aptos Display"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ptos Display" w:eastAsia="Times New Roman" w:hAnsi="Aptos Display" w:cs="Times New Roman"/>
        <w:b/>
        <w:bCs/>
      </w:rPr>
    </w:tblStylePr>
    <w:tblStylePr w:type="lastCol">
      <w:rPr>
        <w:rFonts w:ascii="Aptos Display" w:eastAsia="Times New Roman" w:hAnsi="Aptos Display"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Srednjareetka1-Isticanje5">
    <w:name w:val="Medium Grid 1 Accent 5"/>
    <w:basedOn w:val="Obinatablica"/>
    <w:uiPriority w:val="67"/>
    <w:rsid w:val="0007448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LightShading-Accent12">
    <w:name w:val="Light Shading - Accent 12"/>
    <w:basedOn w:val="Obinatablica"/>
    <w:uiPriority w:val="60"/>
    <w:rsid w:val="00BA69FB"/>
    <w:rPr>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apple-converted-space">
    <w:name w:val="apple-converted-space"/>
    <w:basedOn w:val="Zadanifontodlomka"/>
    <w:rsid w:val="00275D6B"/>
  </w:style>
  <w:style w:type="table" w:customStyle="1" w:styleId="LightShading-Accent13">
    <w:name w:val="Light Shading - Accent 13"/>
    <w:basedOn w:val="Obinatablica"/>
    <w:uiPriority w:val="60"/>
    <w:rsid w:val="00127251"/>
    <w:rPr>
      <w:color w:val="2E74B5"/>
      <w:sz w:val="22"/>
      <w:szCs w:val="22"/>
      <w:lang w:eastAsia="en-US"/>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character" w:styleId="Istaknuto">
    <w:name w:val="Emphasis"/>
    <w:uiPriority w:val="20"/>
    <w:qFormat/>
    <w:rsid w:val="007D6284"/>
    <w:rPr>
      <w:i/>
      <w:iCs/>
    </w:rPr>
  </w:style>
  <w:style w:type="paragraph" w:customStyle="1" w:styleId="js-tweet-text">
    <w:name w:val="js-tweet-text"/>
    <w:basedOn w:val="Normal"/>
    <w:rsid w:val="00774C72"/>
    <w:pPr>
      <w:spacing w:before="100" w:beforeAutospacing="1" w:after="100" w:afterAutospacing="1"/>
    </w:pPr>
  </w:style>
  <w:style w:type="paragraph" w:customStyle="1" w:styleId="yiv2717926743msonormal">
    <w:name w:val="yiv2717926743msonormal"/>
    <w:basedOn w:val="Normal"/>
    <w:rsid w:val="00B977E9"/>
    <w:pPr>
      <w:spacing w:before="100" w:beforeAutospacing="1" w:after="100" w:afterAutospacing="1"/>
    </w:pPr>
  </w:style>
  <w:style w:type="table" w:customStyle="1" w:styleId="LightShading-Accent14">
    <w:name w:val="Light Shading - Accent 14"/>
    <w:basedOn w:val="Obinatablica"/>
    <w:uiPriority w:val="60"/>
    <w:rsid w:val="00DA13F9"/>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15">
    <w:name w:val="Light Shading - Accent 15"/>
    <w:basedOn w:val="Obinatablica"/>
    <w:uiPriority w:val="60"/>
    <w:rsid w:val="00A85AEF"/>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16">
    <w:name w:val="Light Shading - Accent 16"/>
    <w:basedOn w:val="Obinatablica"/>
    <w:uiPriority w:val="60"/>
    <w:rsid w:val="00AA7DB2"/>
    <w:rPr>
      <w:rFonts w:eastAsia="Malgun Gothic"/>
      <w:color w:val="2E74B5"/>
      <w:sz w:val="22"/>
      <w:szCs w:val="22"/>
      <w:lang w:eastAsia="zh-CN"/>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111">
    <w:name w:val="Light Shading - Accent 111"/>
    <w:basedOn w:val="Obinatablica"/>
    <w:uiPriority w:val="60"/>
    <w:rsid w:val="003D6845"/>
    <w:rPr>
      <w:color w:val="365F91"/>
    </w:rPr>
    <w:tblPr>
      <w:tblStyleRowBandSize w:val="1"/>
      <w:tblStyleColBandSize w:val="1"/>
      <w:tblBorders>
        <w:top w:val="single" w:sz="8" w:space="0" w:color="4F81BD"/>
        <w:bottom w:val="single" w:sz="8" w:space="0" w:color="4F81BD"/>
      </w:tblBorders>
    </w:tblPr>
    <w:tblStylePr w:type="fir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harCharCharChar1">
    <w:name w:val="Char Char Char Char1"/>
    <w:basedOn w:val="Normal"/>
    <w:rsid w:val="00F135F1"/>
    <w:pPr>
      <w:spacing w:after="160" w:line="240" w:lineRule="exact"/>
    </w:pPr>
    <w:rPr>
      <w:rFonts w:ascii="Tahoma" w:hAnsi="Tahoma"/>
      <w:sz w:val="20"/>
      <w:szCs w:val="20"/>
      <w:lang w:val="en-US" w:eastAsia="en-US"/>
    </w:rPr>
  </w:style>
  <w:style w:type="paragraph" w:styleId="Tekstkomentara">
    <w:name w:val="annotation text"/>
    <w:basedOn w:val="Normal"/>
    <w:link w:val="TekstkomentaraChar"/>
    <w:uiPriority w:val="99"/>
    <w:unhideWhenUsed/>
    <w:rsid w:val="00993F70"/>
    <w:rPr>
      <w:sz w:val="20"/>
      <w:szCs w:val="20"/>
    </w:rPr>
  </w:style>
  <w:style w:type="character" w:customStyle="1" w:styleId="TekstkomentaraChar">
    <w:name w:val="Tekst komentara Char"/>
    <w:link w:val="Tekstkomentara"/>
    <w:uiPriority w:val="99"/>
    <w:rsid w:val="00993F70"/>
    <w:rPr>
      <w:rFonts w:ascii="Times New Roman" w:eastAsia="Times New Roman" w:hAnsi="Times New Roman"/>
    </w:rPr>
  </w:style>
  <w:style w:type="character" w:customStyle="1" w:styleId="PredmetkomentaraChar">
    <w:name w:val="Predmet komentara Char"/>
    <w:link w:val="Predmetkomentara"/>
    <w:uiPriority w:val="99"/>
    <w:semiHidden/>
    <w:rsid w:val="00993F70"/>
    <w:rPr>
      <w:rFonts w:ascii="Times New Roman" w:eastAsia="Times New Roman" w:hAnsi="Times New Roman"/>
      <w:b/>
      <w:bCs/>
    </w:rPr>
  </w:style>
  <w:style w:type="paragraph" w:styleId="Predmetkomentara">
    <w:name w:val="annotation subject"/>
    <w:basedOn w:val="Tekstkomentara"/>
    <w:next w:val="Tekstkomentara"/>
    <w:link w:val="PredmetkomentaraChar"/>
    <w:uiPriority w:val="99"/>
    <w:semiHidden/>
    <w:unhideWhenUsed/>
    <w:rsid w:val="00993F70"/>
    <w:rPr>
      <w:b/>
      <w:bCs/>
    </w:rPr>
  </w:style>
  <w:style w:type="table" w:customStyle="1" w:styleId="Svijetlosjenanje-Isticanje11">
    <w:name w:val="Svijetlo sjenčanje - Isticanje 11"/>
    <w:basedOn w:val="Obinatablica"/>
    <w:uiPriority w:val="60"/>
    <w:rsid w:val="00466D46"/>
    <w:rPr>
      <w:rFonts w:asciiTheme="minorHAnsi" w:eastAsiaTheme="minorHAnsi" w:hAnsiTheme="minorHAnsi" w:cstheme="minorBidi"/>
      <w:color w:val="2F5496" w:themeColor="accent1" w:themeShade="BF"/>
      <w:sz w:val="22"/>
      <w:szCs w:val="22"/>
      <w:lang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customStyle="1" w:styleId="infos">
    <w:name w:val="infos"/>
    <w:basedOn w:val="Zadanifontodlomka"/>
    <w:rsid w:val="006A5884"/>
  </w:style>
  <w:style w:type="table" w:customStyle="1" w:styleId="PlainTable11">
    <w:name w:val="Plain Table 11"/>
    <w:basedOn w:val="Obinatablica"/>
    <w:uiPriority w:val="41"/>
    <w:rsid w:val="00B52FFD"/>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ox454013">
    <w:name w:val="box_454013"/>
    <w:basedOn w:val="Normal"/>
    <w:rsid w:val="00B52FFD"/>
    <w:pPr>
      <w:spacing w:before="100" w:beforeAutospacing="1" w:after="100" w:afterAutospacing="1"/>
    </w:pPr>
  </w:style>
  <w:style w:type="table" w:customStyle="1" w:styleId="ListTable2-Accent11">
    <w:name w:val="List Table 2 - Accent 11"/>
    <w:basedOn w:val="Obinatablica"/>
    <w:uiPriority w:val="47"/>
    <w:rsid w:val="00595F32"/>
    <w:rPr>
      <w:rFonts w:asciiTheme="minorHAnsi" w:eastAsiaTheme="minorEastAsia" w:hAnsiTheme="minorHAnsi" w:cstheme="minorBidi"/>
      <w:sz w:val="22"/>
      <w:szCs w:val="22"/>
      <w:lang w:eastAsia="ko-KR"/>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1">
    <w:name w:val="Grid Table 4 - Accent 11"/>
    <w:basedOn w:val="Obinatablica"/>
    <w:uiPriority w:val="49"/>
    <w:rsid w:val="00595F32"/>
    <w:rPr>
      <w:sz w:val="22"/>
      <w:szCs w:val="22"/>
      <w:lang w:val="en-US"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Srednjareetka-Isticanje6">
    <w:name w:val="Light Grid Accent 6"/>
    <w:basedOn w:val="Obinatablica"/>
    <w:uiPriority w:val="62"/>
    <w:rsid w:val="00651724"/>
    <w:rPr>
      <w:rFonts w:asciiTheme="minorHAnsi" w:eastAsiaTheme="minorHAnsi" w:hAnsiTheme="minorHAnsi" w:cstheme="minorBidi"/>
      <w:sz w:val="22"/>
      <w:szCs w:val="22"/>
      <w:lang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Shading-Accent17">
    <w:name w:val="Light Shading - Accent 17"/>
    <w:basedOn w:val="Obinatablica"/>
    <w:uiPriority w:val="60"/>
    <w:rsid w:val="00651724"/>
    <w:rPr>
      <w:rFonts w:asciiTheme="minorHAnsi" w:eastAsiaTheme="minorHAnsi" w:hAnsiTheme="minorHAnsi" w:cstheme="minorBidi"/>
      <w:color w:val="2F5496" w:themeColor="accent1" w:themeShade="BF"/>
      <w:sz w:val="22"/>
      <w:szCs w:val="22"/>
      <w:lang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numbering" w:customStyle="1" w:styleId="Bezpopisa1">
    <w:name w:val="Bez popisa1"/>
    <w:next w:val="Bezpopisa"/>
    <w:uiPriority w:val="99"/>
    <w:semiHidden/>
    <w:unhideWhenUsed/>
    <w:rsid w:val="00651724"/>
  </w:style>
  <w:style w:type="character" w:styleId="Referencakomentara">
    <w:name w:val="annotation reference"/>
    <w:basedOn w:val="Zadanifontodlomka"/>
    <w:uiPriority w:val="99"/>
    <w:semiHidden/>
    <w:unhideWhenUsed/>
    <w:rsid w:val="00651724"/>
    <w:rPr>
      <w:sz w:val="16"/>
      <w:szCs w:val="16"/>
    </w:rPr>
  </w:style>
  <w:style w:type="table" w:customStyle="1" w:styleId="TableGridLight1">
    <w:name w:val="Table Grid Light1"/>
    <w:basedOn w:val="Obinatablica"/>
    <w:uiPriority w:val="40"/>
    <w:rsid w:val="00651724"/>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vijetlosjenanje-Isticanje5">
    <w:name w:val="Light Shading Accent 5"/>
    <w:basedOn w:val="Obinatablica"/>
    <w:uiPriority w:val="60"/>
    <w:rsid w:val="00651724"/>
    <w:rPr>
      <w:rFonts w:asciiTheme="minorHAnsi" w:eastAsiaTheme="minorHAnsi" w:hAnsiTheme="minorHAnsi" w:cstheme="minorBidi"/>
      <w:color w:val="2E74B5" w:themeColor="accent5" w:themeShade="BF"/>
      <w:sz w:val="22"/>
      <w:szCs w:val="22"/>
      <w:lang w:eastAsia="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paragraph" w:styleId="Revizija">
    <w:name w:val="Revision"/>
    <w:hidden/>
    <w:uiPriority w:val="99"/>
    <w:semiHidden/>
    <w:rsid w:val="00651724"/>
    <w:rPr>
      <w:rFonts w:ascii="Times New Roman" w:eastAsia="Times New Roman" w:hAnsi="Times New Roman"/>
      <w:sz w:val="24"/>
      <w:szCs w:val="24"/>
    </w:rPr>
  </w:style>
  <w:style w:type="table" w:customStyle="1" w:styleId="TableGridLight2">
    <w:name w:val="Table Grid Light2"/>
    <w:basedOn w:val="Obinatablica"/>
    <w:uiPriority w:val="40"/>
    <w:rsid w:val="00651724"/>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11">
    <w:name w:val="Grid Table 2 - Accent 11"/>
    <w:basedOn w:val="Obinatablica"/>
    <w:uiPriority w:val="47"/>
    <w:rsid w:val="00651724"/>
    <w:rPr>
      <w:rFonts w:asciiTheme="minorHAnsi" w:eastAsiaTheme="minorHAnsi" w:hAnsiTheme="minorHAnsi" w:cstheme="minorBidi"/>
      <w:sz w:val="22"/>
      <w:szCs w:val="22"/>
      <w:lang w:eastAsia="en-US"/>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1">
    <w:name w:val="Grid Table 1 Light1"/>
    <w:basedOn w:val="Obinatablica"/>
    <w:uiPriority w:val="46"/>
    <w:rsid w:val="00651724"/>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Bezpopisa2">
    <w:name w:val="Bez popisa2"/>
    <w:next w:val="Bezpopisa"/>
    <w:uiPriority w:val="99"/>
    <w:semiHidden/>
    <w:unhideWhenUsed/>
    <w:rsid w:val="00651724"/>
  </w:style>
  <w:style w:type="character" w:customStyle="1" w:styleId="Nerijeenospominjanje1">
    <w:name w:val="Neriješeno spominjanje1"/>
    <w:basedOn w:val="Zadanifontodlomka"/>
    <w:uiPriority w:val="99"/>
    <w:semiHidden/>
    <w:unhideWhenUsed/>
    <w:rsid w:val="00651724"/>
    <w:rPr>
      <w:color w:val="605E5C"/>
      <w:shd w:val="clear" w:color="auto" w:fill="E1DFDD"/>
    </w:rPr>
  </w:style>
  <w:style w:type="table" w:customStyle="1" w:styleId="Tablicareetke4-isticanje11">
    <w:name w:val="Tablica rešetke 4 - isticanje 11"/>
    <w:basedOn w:val="Obinatablica"/>
    <w:uiPriority w:val="49"/>
    <w:rsid w:val="00651724"/>
    <w:rPr>
      <w:rFonts w:asciiTheme="minorHAnsi" w:eastAsia="Malgun Gothic" w:hAnsiTheme="minorHAnsi" w:cstheme="minorBidi"/>
      <w:sz w:val="22"/>
      <w:szCs w:val="22"/>
      <w:lang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UnresolvedMention1">
    <w:name w:val="Unresolved Mention1"/>
    <w:basedOn w:val="Zadanifontodlomka"/>
    <w:uiPriority w:val="99"/>
    <w:semiHidden/>
    <w:unhideWhenUsed/>
    <w:rsid w:val="00651724"/>
    <w:rPr>
      <w:color w:val="605E5C"/>
      <w:shd w:val="clear" w:color="auto" w:fill="E1DFDD"/>
    </w:rPr>
  </w:style>
  <w:style w:type="table" w:customStyle="1" w:styleId="ListTable2-Accent111">
    <w:name w:val="List Table 2 - Accent 111"/>
    <w:basedOn w:val="Obinatablica"/>
    <w:uiPriority w:val="47"/>
    <w:rsid w:val="00651724"/>
    <w:rPr>
      <w:rFonts w:asciiTheme="minorHAnsi" w:eastAsia="Malgun Gothic" w:hAnsiTheme="minorHAnsi" w:cstheme="minorBidi"/>
      <w:sz w:val="22"/>
      <w:szCs w:val="22"/>
      <w:lang w:eastAsia="ko-KR"/>
    </w:rPr>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UnresolvedMention2">
    <w:name w:val="Unresolved Mention2"/>
    <w:basedOn w:val="Zadanifontodlomka"/>
    <w:uiPriority w:val="99"/>
    <w:semiHidden/>
    <w:unhideWhenUsed/>
    <w:rsid w:val="005B7527"/>
    <w:rPr>
      <w:color w:val="605E5C"/>
      <w:shd w:val="clear" w:color="auto" w:fill="E1DFDD"/>
    </w:rPr>
  </w:style>
  <w:style w:type="paragraph" w:customStyle="1" w:styleId="Style1">
    <w:name w:val="Style1"/>
    <w:basedOn w:val="Sadraj1"/>
    <w:link w:val="Style1Char"/>
    <w:qFormat/>
    <w:rsid w:val="007F5426"/>
    <w:rPr>
      <w:kern w:val="23"/>
    </w:rPr>
  </w:style>
  <w:style w:type="character" w:customStyle="1" w:styleId="Sadraj2Char">
    <w:name w:val="Sadržaj 2 Char"/>
    <w:basedOn w:val="Zadanifontodlomka"/>
    <w:link w:val="Sadraj2"/>
    <w:uiPriority w:val="39"/>
    <w:rsid w:val="00D130B8"/>
    <w:rPr>
      <w:rFonts w:ascii="Gill Sans MT" w:eastAsia="Times New Roman" w:hAnsi="Gill Sans MT"/>
      <w:noProof/>
      <w:szCs w:val="24"/>
    </w:rPr>
  </w:style>
  <w:style w:type="character" w:customStyle="1" w:styleId="Sadraj1Char">
    <w:name w:val="Sadržaj 1 Char"/>
    <w:basedOn w:val="Zadanifontodlomka"/>
    <w:link w:val="Sadraj1"/>
    <w:uiPriority w:val="39"/>
    <w:rsid w:val="00047C34"/>
    <w:rPr>
      <w:rFonts w:ascii="Roboto" w:eastAsia="Times New Roman" w:hAnsi="Roboto"/>
      <w:b/>
      <w:noProof/>
      <w:sz w:val="22"/>
      <w:szCs w:val="23"/>
    </w:rPr>
  </w:style>
  <w:style w:type="character" w:customStyle="1" w:styleId="Style1Char">
    <w:name w:val="Style1 Char"/>
    <w:basedOn w:val="Sadraj1Char"/>
    <w:link w:val="Style1"/>
    <w:rsid w:val="007F5426"/>
    <w:rPr>
      <w:rFonts w:ascii="Gill Sans MT" w:eastAsia="Times New Roman" w:hAnsi="Gill Sans MT"/>
      <w:b/>
      <w:noProof/>
      <w:kern w:val="23"/>
      <w:sz w:val="23"/>
      <w:szCs w:val="23"/>
    </w:rPr>
  </w:style>
  <w:style w:type="character" w:customStyle="1" w:styleId="Sadraj3Char">
    <w:name w:val="Sadržaj 3 Char"/>
    <w:basedOn w:val="Sadraj2Char"/>
    <w:link w:val="Sadraj3"/>
    <w:uiPriority w:val="39"/>
    <w:rsid w:val="00C5522E"/>
    <w:rPr>
      <w:rFonts w:ascii="Gill Sans MT" w:eastAsia="Times New Roman" w:hAnsi="Gill Sans MT"/>
      <w:noProof/>
      <w:szCs w:val="24"/>
    </w:rPr>
  </w:style>
  <w:style w:type="paragraph" w:styleId="Sadraj4">
    <w:name w:val="toc 4"/>
    <w:basedOn w:val="Sadraj3"/>
    <w:next w:val="Normal"/>
    <w:autoRedefine/>
    <w:uiPriority w:val="39"/>
    <w:unhideWhenUsed/>
    <w:rsid w:val="001502CA"/>
    <w:pPr>
      <w:tabs>
        <w:tab w:val="clear" w:pos="9062"/>
        <w:tab w:val="left" w:pos="1928"/>
        <w:tab w:val="right" w:leader="dot" w:pos="9061"/>
      </w:tabs>
      <w:ind w:left="1757"/>
    </w:pPr>
  </w:style>
  <w:style w:type="character" w:customStyle="1" w:styleId="UnresolvedMention3">
    <w:name w:val="Unresolved Mention3"/>
    <w:basedOn w:val="Zadanifontodlomka"/>
    <w:uiPriority w:val="99"/>
    <w:semiHidden/>
    <w:unhideWhenUsed/>
    <w:rsid w:val="00C02C9E"/>
    <w:rPr>
      <w:color w:val="605E5C"/>
      <w:shd w:val="clear" w:color="auto" w:fill="E1DFDD"/>
    </w:rPr>
  </w:style>
  <w:style w:type="paragraph" w:customStyle="1" w:styleId="Glava">
    <w:name w:val="Glava"/>
    <w:basedOn w:val="Normal"/>
    <w:next w:val="Naslov1"/>
    <w:link w:val="GlavaChar"/>
    <w:qFormat/>
    <w:rsid w:val="006A077A"/>
    <w:pPr>
      <w:numPr>
        <w:numId w:val="5"/>
      </w:numPr>
      <w:tabs>
        <w:tab w:val="left" w:pos="425"/>
      </w:tabs>
      <w:spacing w:before="480" w:after="480"/>
      <w:ind w:left="0" w:firstLine="0"/>
    </w:pPr>
    <w:rPr>
      <w:b/>
      <w:sz w:val="28"/>
    </w:rPr>
  </w:style>
  <w:style w:type="character" w:customStyle="1" w:styleId="KartadokumentaChar1">
    <w:name w:val="Karta dokumenta Char1"/>
    <w:basedOn w:val="Zadanifontodlomka"/>
    <w:uiPriority w:val="99"/>
    <w:semiHidden/>
    <w:rsid w:val="005307B5"/>
    <w:rPr>
      <w:rFonts w:ascii="Segoe UI" w:eastAsia="Times New Roman" w:hAnsi="Segoe UI" w:cs="Segoe UI"/>
      <w:sz w:val="16"/>
      <w:szCs w:val="16"/>
      <w:lang w:eastAsia="hr-HR"/>
    </w:rPr>
  </w:style>
  <w:style w:type="character" w:customStyle="1" w:styleId="GlavaChar">
    <w:name w:val="Glava Char"/>
    <w:basedOn w:val="Naslov1Char"/>
    <w:link w:val="Glava"/>
    <w:rsid w:val="006A077A"/>
    <w:rPr>
      <w:rFonts w:ascii="Gill Sans MT" w:eastAsia="Times New Roman" w:hAnsi="Gill Sans MT"/>
      <w:b/>
      <w:bCs w:val="0"/>
      <w:kern w:val="32"/>
      <w:sz w:val="28"/>
      <w:szCs w:val="24"/>
      <w:lang w:eastAsia="en-US"/>
    </w:rPr>
  </w:style>
  <w:style w:type="character" w:customStyle="1" w:styleId="DocumentMapChar1">
    <w:name w:val="Document Map Char1"/>
    <w:basedOn w:val="Zadanifontodlomka"/>
    <w:uiPriority w:val="99"/>
    <w:semiHidden/>
    <w:rsid w:val="005307B5"/>
    <w:rPr>
      <w:rFonts w:ascii="Segoe UI" w:eastAsia="Times New Roman" w:hAnsi="Segoe UI" w:cs="Segoe UI"/>
      <w:sz w:val="16"/>
      <w:szCs w:val="16"/>
      <w:lang w:eastAsia="hr-HR"/>
    </w:rPr>
  </w:style>
  <w:style w:type="character" w:customStyle="1" w:styleId="PredmetkomentaraChar1">
    <w:name w:val="Predmet komentara Char1"/>
    <w:basedOn w:val="TekstkomentaraChar"/>
    <w:uiPriority w:val="99"/>
    <w:semiHidden/>
    <w:rsid w:val="005307B5"/>
    <w:rPr>
      <w:rFonts w:ascii="Times New Roman" w:eastAsia="Times New Roman" w:hAnsi="Times New Roman"/>
      <w:b/>
      <w:bCs/>
      <w:sz w:val="20"/>
      <w:szCs w:val="20"/>
      <w:lang w:eastAsia="hr-HR"/>
    </w:rPr>
  </w:style>
  <w:style w:type="character" w:customStyle="1" w:styleId="CommentSubjectChar1">
    <w:name w:val="Comment Subject Char1"/>
    <w:basedOn w:val="TekstkomentaraChar"/>
    <w:uiPriority w:val="99"/>
    <w:semiHidden/>
    <w:rsid w:val="005307B5"/>
    <w:rPr>
      <w:rFonts w:ascii="Times New Roman" w:eastAsia="Times New Roman" w:hAnsi="Times New Roman" w:cs="Times New Roman"/>
      <w:b/>
      <w:bCs/>
      <w:sz w:val="20"/>
      <w:szCs w:val="20"/>
      <w:lang w:eastAsia="hr-HR"/>
    </w:rPr>
  </w:style>
  <w:style w:type="character" w:customStyle="1" w:styleId="Nerijeenospominjanje2">
    <w:name w:val="Neriješeno spominjanje2"/>
    <w:basedOn w:val="Zadanifontodlomka"/>
    <w:uiPriority w:val="99"/>
    <w:semiHidden/>
    <w:unhideWhenUsed/>
    <w:rsid w:val="005307B5"/>
    <w:rPr>
      <w:color w:val="605E5C"/>
      <w:shd w:val="clear" w:color="auto" w:fill="E1DFDD"/>
    </w:rPr>
  </w:style>
  <w:style w:type="character" w:customStyle="1" w:styleId="OdlomakpopisaChar">
    <w:name w:val="Odlomak popisa Char"/>
    <w:link w:val="Odlomakpopisa"/>
    <w:uiPriority w:val="34"/>
    <w:locked/>
    <w:rsid w:val="005307B5"/>
    <w:rPr>
      <w:rFonts w:ascii="Arial Narrow" w:eastAsia="Times New Roman" w:hAnsi="Arial Narrow"/>
      <w:sz w:val="22"/>
      <w:szCs w:val="24"/>
    </w:rPr>
  </w:style>
  <w:style w:type="table" w:styleId="Svijetlosjenanje-Isticanje1">
    <w:name w:val="Light Shading Accent 1"/>
    <w:basedOn w:val="Obinatablica"/>
    <w:uiPriority w:val="60"/>
    <w:rsid w:val="005307B5"/>
    <w:rPr>
      <w:rFonts w:asciiTheme="minorHAnsi" w:eastAsiaTheme="minorHAnsi" w:hAnsiTheme="minorHAnsi" w:cstheme="minorBidi"/>
      <w:color w:val="2F5496" w:themeColor="accent1" w:themeShade="BF"/>
      <w:sz w:val="22"/>
      <w:szCs w:val="22"/>
      <w:lang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icareetke4-isticanje12">
    <w:name w:val="Tablica rešetke 4 - isticanje 12"/>
    <w:basedOn w:val="Obinatablica"/>
    <w:uiPriority w:val="49"/>
    <w:rsid w:val="005307B5"/>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icareetke4-isticanje111">
    <w:name w:val="Tablica rešetke 4 - isticanje 111"/>
    <w:basedOn w:val="Obinatablica"/>
    <w:uiPriority w:val="49"/>
    <w:rsid w:val="005307B5"/>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erijeenospominjanje3">
    <w:name w:val="Neriješeno spominjanje3"/>
    <w:basedOn w:val="Zadanifontodlomka"/>
    <w:uiPriority w:val="99"/>
    <w:semiHidden/>
    <w:unhideWhenUsed/>
    <w:rsid w:val="005307B5"/>
    <w:rPr>
      <w:color w:val="605E5C"/>
      <w:shd w:val="clear" w:color="auto" w:fill="E1DFDD"/>
    </w:rPr>
  </w:style>
  <w:style w:type="character" w:customStyle="1" w:styleId="Nerijeenospominjanje4">
    <w:name w:val="Neriješeno spominjanje4"/>
    <w:basedOn w:val="Zadanifontodlomka"/>
    <w:uiPriority w:val="99"/>
    <w:semiHidden/>
    <w:unhideWhenUsed/>
    <w:rsid w:val="005307B5"/>
    <w:rPr>
      <w:color w:val="605E5C"/>
      <w:shd w:val="clear" w:color="auto" w:fill="E1DFDD"/>
    </w:rPr>
  </w:style>
  <w:style w:type="paragraph" w:styleId="Sadraj5">
    <w:name w:val="toc 5"/>
    <w:basedOn w:val="Normal"/>
    <w:next w:val="Normal"/>
    <w:autoRedefine/>
    <w:uiPriority w:val="39"/>
    <w:unhideWhenUsed/>
    <w:rsid w:val="00721250"/>
    <w:pPr>
      <w:spacing w:after="100" w:line="259" w:lineRule="auto"/>
      <w:ind w:left="880"/>
    </w:pPr>
    <w:rPr>
      <w:rFonts w:asciiTheme="minorHAnsi" w:eastAsiaTheme="minorEastAsia" w:hAnsiTheme="minorHAnsi" w:cstheme="minorBidi"/>
      <w:sz w:val="22"/>
      <w:szCs w:val="22"/>
    </w:rPr>
  </w:style>
  <w:style w:type="paragraph" w:styleId="Sadraj6">
    <w:name w:val="toc 6"/>
    <w:basedOn w:val="Normal"/>
    <w:next w:val="Normal"/>
    <w:autoRedefine/>
    <w:uiPriority w:val="39"/>
    <w:unhideWhenUsed/>
    <w:rsid w:val="00721250"/>
    <w:pPr>
      <w:spacing w:after="100" w:line="259" w:lineRule="auto"/>
      <w:ind w:left="1100"/>
    </w:pPr>
    <w:rPr>
      <w:rFonts w:asciiTheme="minorHAnsi" w:eastAsiaTheme="minorEastAsia" w:hAnsiTheme="minorHAnsi" w:cstheme="minorBidi"/>
      <w:sz w:val="22"/>
      <w:szCs w:val="22"/>
    </w:rPr>
  </w:style>
  <w:style w:type="paragraph" w:styleId="Sadraj7">
    <w:name w:val="toc 7"/>
    <w:basedOn w:val="Normal"/>
    <w:next w:val="Normal"/>
    <w:autoRedefine/>
    <w:uiPriority w:val="39"/>
    <w:unhideWhenUsed/>
    <w:rsid w:val="00721250"/>
    <w:pPr>
      <w:spacing w:after="100" w:line="259" w:lineRule="auto"/>
      <w:ind w:left="1320"/>
    </w:pPr>
    <w:rPr>
      <w:rFonts w:asciiTheme="minorHAnsi" w:eastAsiaTheme="minorEastAsia" w:hAnsiTheme="minorHAnsi" w:cstheme="minorBidi"/>
      <w:sz w:val="22"/>
      <w:szCs w:val="22"/>
    </w:rPr>
  </w:style>
  <w:style w:type="paragraph" w:styleId="Sadraj8">
    <w:name w:val="toc 8"/>
    <w:basedOn w:val="Normal"/>
    <w:next w:val="Normal"/>
    <w:autoRedefine/>
    <w:uiPriority w:val="39"/>
    <w:unhideWhenUsed/>
    <w:rsid w:val="00721250"/>
    <w:pPr>
      <w:spacing w:after="100" w:line="259" w:lineRule="auto"/>
      <w:ind w:left="1540"/>
    </w:pPr>
    <w:rPr>
      <w:rFonts w:asciiTheme="minorHAnsi" w:eastAsiaTheme="minorEastAsia" w:hAnsiTheme="minorHAnsi" w:cstheme="minorBidi"/>
      <w:sz w:val="22"/>
      <w:szCs w:val="22"/>
    </w:rPr>
  </w:style>
  <w:style w:type="paragraph" w:styleId="Sadraj9">
    <w:name w:val="toc 9"/>
    <w:basedOn w:val="Normal"/>
    <w:next w:val="Normal"/>
    <w:autoRedefine/>
    <w:uiPriority w:val="39"/>
    <w:unhideWhenUsed/>
    <w:rsid w:val="00721250"/>
    <w:pPr>
      <w:spacing w:after="100" w:line="259" w:lineRule="auto"/>
      <w:ind w:left="1760"/>
    </w:pPr>
    <w:rPr>
      <w:rFonts w:asciiTheme="minorHAnsi" w:eastAsiaTheme="minorEastAsia" w:hAnsiTheme="minorHAnsi" w:cstheme="minorBidi"/>
      <w:sz w:val="22"/>
      <w:szCs w:val="22"/>
    </w:rPr>
  </w:style>
  <w:style w:type="character" w:styleId="Nerijeenospominjanje">
    <w:name w:val="Unresolved Mention"/>
    <w:basedOn w:val="Zadanifontodlomka"/>
    <w:uiPriority w:val="99"/>
    <w:semiHidden/>
    <w:unhideWhenUsed/>
    <w:rsid w:val="00721250"/>
    <w:rPr>
      <w:color w:val="605E5C"/>
      <w:shd w:val="clear" w:color="auto" w:fill="E1DFDD"/>
    </w:rPr>
  </w:style>
  <w:style w:type="table" w:customStyle="1" w:styleId="Tablicareetke4-isticanje13">
    <w:name w:val="Tablica rešetke 4 - isticanje 13"/>
    <w:basedOn w:val="Obinatablica"/>
    <w:uiPriority w:val="49"/>
    <w:rsid w:val="00E56388"/>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113">
    <w:name w:val="List Table 2 - Accent 113"/>
    <w:basedOn w:val="Obinatablica"/>
    <w:uiPriority w:val="47"/>
    <w:rsid w:val="004662E3"/>
    <w:rPr>
      <w:rFonts w:asciiTheme="minorHAnsi" w:eastAsiaTheme="minorEastAsia" w:hAnsiTheme="minorHAnsi" w:cstheme="minorBidi"/>
      <w:sz w:val="22"/>
      <w:szCs w:val="22"/>
      <w:lang w:eastAsia="ko-KR"/>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Svijetlosjenanje-Isticanje111">
    <w:name w:val="Svijetlo sjenčanje - Isticanje 111"/>
    <w:basedOn w:val="Obinatablica"/>
    <w:uiPriority w:val="60"/>
    <w:rsid w:val="004F6BF4"/>
    <w:rPr>
      <w:rFonts w:asciiTheme="minorHAnsi" w:eastAsiaTheme="minorHAnsi" w:hAnsiTheme="minorHAnsi" w:cstheme="minorBidi"/>
      <w:color w:val="2F5496" w:themeColor="accent1" w:themeShade="BF"/>
      <w:sz w:val="22"/>
      <w:szCs w:val="22"/>
      <w:lang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ListTable2-Accent112">
    <w:name w:val="List Table 2 - Accent 112"/>
    <w:basedOn w:val="Obinatablica"/>
    <w:uiPriority w:val="47"/>
    <w:rsid w:val="005374A3"/>
    <w:rPr>
      <w:rFonts w:asciiTheme="minorHAnsi" w:eastAsiaTheme="minorEastAsia" w:hAnsiTheme="minorHAnsi" w:cstheme="minorBidi"/>
      <w:sz w:val="22"/>
      <w:szCs w:val="22"/>
      <w:lang w:eastAsia="ko-KR"/>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115">
    <w:name w:val="List Table 2 - Accent 115"/>
    <w:basedOn w:val="Obinatablica"/>
    <w:uiPriority w:val="47"/>
    <w:rsid w:val="003D39DE"/>
    <w:rPr>
      <w:rFonts w:asciiTheme="minorHAnsi" w:eastAsia="Times New Roman" w:hAnsiTheme="minorHAnsi" w:cstheme="minorBidi"/>
      <w:sz w:val="22"/>
      <w:szCs w:val="22"/>
      <w:lang w:eastAsia="ko-KR"/>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25302">
      <w:bodyDiv w:val="1"/>
      <w:marLeft w:val="0"/>
      <w:marRight w:val="0"/>
      <w:marTop w:val="0"/>
      <w:marBottom w:val="0"/>
      <w:divBdr>
        <w:top w:val="none" w:sz="0" w:space="0" w:color="auto"/>
        <w:left w:val="none" w:sz="0" w:space="0" w:color="auto"/>
        <w:bottom w:val="none" w:sz="0" w:space="0" w:color="auto"/>
        <w:right w:val="none" w:sz="0" w:space="0" w:color="auto"/>
      </w:divBdr>
    </w:div>
    <w:div w:id="56978394">
      <w:bodyDiv w:val="1"/>
      <w:marLeft w:val="0"/>
      <w:marRight w:val="0"/>
      <w:marTop w:val="0"/>
      <w:marBottom w:val="0"/>
      <w:divBdr>
        <w:top w:val="none" w:sz="0" w:space="0" w:color="auto"/>
        <w:left w:val="none" w:sz="0" w:space="0" w:color="auto"/>
        <w:bottom w:val="none" w:sz="0" w:space="0" w:color="auto"/>
        <w:right w:val="none" w:sz="0" w:space="0" w:color="auto"/>
      </w:divBdr>
    </w:div>
    <w:div w:id="82535856">
      <w:bodyDiv w:val="1"/>
      <w:marLeft w:val="0"/>
      <w:marRight w:val="0"/>
      <w:marTop w:val="0"/>
      <w:marBottom w:val="0"/>
      <w:divBdr>
        <w:top w:val="none" w:sz="0" w:space="0" w:color="auto"/>
        <w:left w:val="none" w:sz="0" w:space="0" w:color="auto"/>
        <w:bottom w:val="none" w:sz="0" w:space="0" w:color="auto"/>
        <w:right w:val="none" w:sz="0" w:space="0" w:color="auto"/>
      </w:divBdr>
    </w:div>
    <w:div w:id="120273671">
      <w:bodyDiv w:val="1"/>
      <w:marLeft w:val="0"/>
      <w:marRight w:val="0"/>
      <w:marTop w:val="0"/>
      <w:marBottom w:val="0"/>
      <w:divBdr>
        <w:top w:val="none" w:sz="0" w:space="0" w:color="auto"/>
        <w:left w:val="none" w:sz="0" w:space="0" w:color="auto"/>
        <w:bottom w:val="none" w:sz="0" w:space="0" w:color="auto"/>
        <w:right w:val="none" w:sz="0" w:space="0" w:color="auto"/>
      </w:divBdr>
    </w:div>
    <w:div w:id="126901562">
      <w:bodyDiv w:val="1"/>
      <w:marLeft w:val="0"/>
      <w:marRight w:val="0"/>
      <w:marTop w:val="0"/>
      <w:marBottom w:val="0"/>
      <w:divBdr>
        <w:top w:val="none" w:sz="0" w:space="0" w:color="auto"/>
        <w:left w:val="none" w:sz="0" w:space="0" w:color="auto"/>
        <w:bottom w:val="none" w:sz="0" w:space="0" w:color="auto"/>
        <w:right w:val="none" w:sz="0" w:space="0" w:color="auto"/>
      </w:divBdr>
    </w:div>
    <w:div w:id="153229827">
      <w:bodyDiv w:val="1"/>
      <w:marLeft w:val="0"/>
      <w:marRight w:val="0"/>
      <w:marTop w:val="0"/>
      <w:marBottom w:val="0"/>
      <w:divBdr>
        <w:top w:val="none" w:sz="0" w:space="0" w:color="auto"/>
        <w:left w:val="none" w:sz="0" w:space="0" w:color="auto"/>
        <w:bottom w:val="none" w:sz="0" w:space="0" w:color="auto"/>
        <w:right w:val="none" w:sz="0" w:space="0" w:color="auto"/>
      </w:divBdr>
    </w:div>
    <w:div w:id="177544097">
      <w:bodyDiv w:val="1"/>
      <w:marLeft w:val="0"/>
      <w:marRight w:val="0"/>
      <w:marTop w:val="0"/>
      <w:marBottom w:val="0"/>
      <w:divBdr>
        <w:top w:val="none" w:sz="0" w:space="0" w:color="auto"/>
        <w:left w:val="none" w:sz="0" w:space="0" w:color="auto"/>
        <w:bottom w:val="none" w:sz="0" w:space="0" w:color="auto"/>
        <w:right w:val="none" w:sz="0" w:space="0" w:color="auto"/>
      </w:divBdr>
    </w:div>
    <w:div w:id="239143258">
      <w:bodyDiv w:val="1"/>
      <w:marLeft w:val="0"/>
      <w:marRight w:val="0"/>
      <w:marTop w:val="0"/>
      <w:marBottom w:val="0"/>
      <w:divBdr>
        <w:top w:val="none" w:sz="0" w:space="0" w:color="auto"/>
        <w:left w:val="none" w:sz="0" w:space="0" w:color="auto"/>
        <w:bottom w:val="none" w:sz="0" w:space="0" w:color="auto"/>
        <w:right w:val="none" w:sz="0" w:space="0" w:color="auto"/>
      </w:divBdr>
    </w:div>
    <w:div w:id="267129303">
      <w:bodyDiv w:val="1"/>
      <w:marLeft w:val="0"/>
      <w:marRight w:val="0"/>
      <w:marTop w:val="0"/>
      <w:marBottom w:val="0"/>
      <w:divBdr>
        <w:top w:val="none" w:sz="0" w:space="0" w:color="auto"/>
        <w:left w:val="none" w:sz="0" w:space="0" w:color="auto"/>
        <w:bottom w:val="none" w:sz="0" w:space="0" w:color="auto"/>
        <w:right w:val="none" w:sz="0" w:space="0" w:color="auto"/>
      </w:divBdr>
    </w:div>
    <w:div w:id="284312270">
      <w:bodyDiv w:val="1"/>
      <w:marLeft w:val="0"/>
      <w:marRight w:val="0"/>
      <w:marTop w:val="0"/>
      <w:marBottom w:val="0"/>
      <w:divBdr>
        <w:top w:val="none" w:sz="0" w:space="0" w:color="auto"/>
        <w:left w:val="none" w:sz="0" w:space="0" w:color="auto"/>
        <w:bottom w:val="none" w:sz="0" w:space="0" w:color="auto"/>
        <w:right w:val="none" w:sz="0" w:space="0" w:color="auto"/>
      </w:divBdr>
    </w:div>
    <w:div w:id="304816472">
      <w:bodyDiv w:val="1"/>
      <w:marLeft w:val="0"/>
      <w:marRight w:val="0"/>
      <w:marTop w:val="0"/>
      <w:marBottom w:val="0"/>
      <w:divBdr>
        <w:top w:val="none" w:sz="0" w:space="0" w:color="auto"/>
        <w:left w:val="none" w:sz="0" w:space="0" w:color="auto"/>
        <w:bottom w:val="none" w:sz="0" w:space="0" w:color="auto"/>
        <w:right w:val="none" w:sz="0" w:space="0" w:color="auto"/>
      </w:divBdr>
    </w:div>
    <w:div w:id="325977106">
      <w:bodyDiv w:val="1"/>
      <w:marLeft w:val="0"/>
      <w:marRight w:val="0"/>
      <w:marTop w:val="0"/>
      <w:marBottom w:val="0"/>
      <w:divBdr>
        <w:top w:val="none" w:sz="0" w:space="0" w:color="auto"/>
        <w:left w:val="none" w:sz="0" w:space="0" w:color="auto"/>
        <w:bottom w:val="none" w:sz="0" w:space="0" w:color="auto"/>
        <w:right w:val="none" w:sz="0" w:space="0" w:color="auto"/>
      </w:divBdr>
    </w:div>
    <w:div w:id="337580648">
      <w:bodyDiv w:val="1"/>
      <w:marLeft w:val="0"/>
      <w:marRight w:val="0"/>
      <w:marTop w:val="0"/>
      <w:marBottom w:val="0"/>
      <w:divBdr>
        <w:top w:val="none" w:sz="0" w:space="0" w:color="auto"/>
        <w:left w:val="none" w:sz="0" w:space="0" w:color="auto"/>
        <w:bottom w:val="none" w:sz="0" w:space="0" w:color="auto"/>
        <w:right w:val="none" w:sz="0" w:space="0" w:color="auto"/>
      </w:divBdr>
    </w:div>
    <w:div w:id="352341289">
      <w:bodyDiv w:val="1"/>
      <w:marLeft w:val="0"/>
      <w:marRight w:val="0"/>
      <w:marTop w:val="0"/>
      <w:marBottom w:val="0"/>
      <w:divBdr>
        <w:top w:val="none" w:sz="0" w:space="0" w:color="auto"/>
        <w:left w:val="none" w:sz="0" w:space="0" w:color="auto"/>
        <w:bottom w:val="none" w:sz="0" w:space="0" w:color="auto"/>
        <w:right w:val="none" w:sz="0" w:space="0" w:color="auto"/>
      </w:divBdr>
    </w:div>
    <w:div w:id="367997869">
      <w:bodyDiv w:val="1"/>
      <w:marLeft w:val="0"/>
      <w:marRight w:val="0"/>
      <w:marTop w:val="0"/>
      <w:marBottom w:val="0"/>
      <w:divBdr>
        <w:top w:val="none" w:sz="0" w:space="0" w:color="auto"/>
        <w:left w:val="none" w:sz="0" w:space="0" w:color="auto"/>
        <w:bottom w:val="none" w:sz="0" w:space="0" w:color="auto"/>
        <w:right w:val="none" w:sz="0" w:space="0" w:color="auto"/>
      </w:divBdr>
    </w:div>
    <w:div w:id="372390229">
      <w:bodyDiv w:val="1"/>
      <w:marLeft w:val="0"/>
      <w:marRight w:val="0"/>
      <w:marTop w:val="0"/>
      <w:marBottom w:val="0"/>
      <w:divBdr>
        <w:top w:val="none" w:sz="0" w:space="0" w:color="auto"/>
        <w:left w:val="none" w:sz="0" w:space="0" w:color="auto"/>
        <w:bottom w:val="none" w:sz="0" w:space="0" w:color="auto"/>
        <w:right w:val="none" w:sz="0" w:space="0" w:color="auto"/>
      </w:divBdr>
    </w:div>
    <w:div w:id="375280668">
      <w:bodyDiv w:val="1"/>
      <w:marLeft w:val="0"/>
      <w:marRight w:val="0"/>
      <w:marTop w:val="0"/>
      <w:marBottom w:val="0"/>
      <w:divBdr>
        <w:top w:val="none" w:sz="0" w:space="0" w:color="auto"/>
        <w:left w:val="none" w:sz="0" w:space="0" w:color="auto"/>
        <w:bottom w:val="none" w:sz="0" w:space="0" w:color="auto"/>
        <w:right w:val="none" w:sz="0" w:space="0" w:color="auto"/>
      </w:divBdr>
    </w:div>
    <w:div w:id="379403530">
      <w:bodyDiv w:val="1"/>
      <w:marLeft w:val="0"/>
      <w:marRight w:val="0"/>
      <w:marTop w:val="0"/>
      <w:marBottom w:val="0"/>
      <w:divBdr>
        <w:top w:val="none" w:sz="0" w:space="0" w:color="auto"/>
        <w:left w:val="none" w:sz="0" w:space="0" w:color="auto"/>
        <w:bottom w:val="none" w:sz="0" w:space="0" w:color="auto"/>
        <w:right w:val="none" w:sz="0" w:space="0" w:color="auto"/>
      </w:divBdr>
    </w:div>
    <w:div w:id="454447673">
      <w:bodyDiv w:val="1"/>
      <w:marLeft w:val="0"/>
      <w:marRight w:val="0"/>
      <w:marTop w:val="0"/>
      <w:marBottom w:val="0"/>
      <w:divBdr>
        <w:top w:val="none" w:sz="0" w:space="0" w:color="auto"/>
        <w:left w:val="none" w:sz="0" w:space="0" w:color="auto"/>
        <w:bottom w:val="none" w:sz="0" w:space="0" w:color="auto"/>
        <w:right w:val="none" w:sz="0" w:space="0" w:color="auto"/>
      </w:divBdr>
    </w:div>
    <w:div w:id="480539643">
      <w:bodyDiv w:val="1"/>
      <w:marLeft w:val="0"/>
      <w:marRight w:val="0"/>
      <w:marTop w:val="0"/>
      <w:marBottom w:val="0"/>
      <w:divBdr>
        <w:top w:val="none" w:sz="0" w:space="0" w:color="auto"/>
        <w:left w:val="none" w:sz="0" w:space="0" w:color="auto"/>
        <w:bottom w:val="none" w:sz="0" w:space="0" w:color="auto"/>
        <w:right w:val="none" w:sz="0" w:space="0" w:color="auto"/>
      </w:divBdr>
    </w:div>
    <w:div w:id="501743887">
      <w:bodyDiv w:val="1"/>
      <w:marLeft w:val="0"/>
      <w:marRight w:val="0"/>
      <w:marTop w:val="0"/>
      <w:marBottom w:val="0"/>
      <w:divBdr>
        <w:top w:val="none" w:sz="0" w:space="0" w:color="auto"/>
        <w:left w:val="none" w:sz="0" w:space="0" w:color="auto"/>
        <w:bottom w:val="none" w:sz="0" w:space="0" w:color="auto"/>
        <w:right w:val="none" w:sz="0" w:space="0" w:color="auto"/>
      </w:divBdr>
    </w:div>
    <w:div w:id="507334661">
      <w:bodyDiv w:val="1"/>
      <w:marLeft w:val="0"/>
      <w:marRight w:val="0"/>
      <w:marTop w:val="0"/>
      <w:marBottom w:val="0"/>
      <w:divBdr>
        <w:top w:val="none" w:sz="0" w:space="0" w:color="auto"/>
        <w:left w:val="none" w:sz="0" w:space="0" w:color="auto"/>
        <w:bottom w:val="none" w:sz="0" w:space="0" w:color="auto"/>
        <w:right w:val="none" w:sz="0" w:space="0" w:color="auto"/>
      </w:divBdr>
    </w:div>
    <w:div w:id="521629709">
      <w:bodyDiv w:val="1"/>
      <w:marLeft w:val="0"/>
      <w:marRight w:val="0"/>
      <w:marTop w:val="0"/>
      <w:marBottom w:val="0"/>
      <w:divBdr>
        <w:top w:val="none" w:sz="0" w:space="0" w:color="auto"/>
        <w:left w:val="none" w:sz="0" w:space="0" w:color="auto"/>
        <w:bottom w:val="none" w:sz="0" w:space="0" w:color="auto"/>
        <w:right w:val="none" w:sz="0" w:space="0" w:color="auto"/>
      </w:divBdr>
    </w:div>
    <w:div w:id="597524446">
      <w:bodyDiv w:val="1"/>
      <w:marLeft w:val="0"/>
      <w:marRight w:val="0"/>
      <w:marTop w:val="0"/>
      <w:marBottom w:val="0"/>
      <w:divBdr>
        <w:top w:val="none" w:sz="0" w:space="0" w:color="auto"/>
        <w:left w:val="none" w:sz="0" w:space="0" w:color="auto"/>
        <w:bottom w:val="none" w:sz="0" w:space="0" w:color="auto"/>
        <w:right w:val="none" w:sz="0" w:space="0" w:color="auto"/>
      </w:divBdr>
    </w:div>
    <w:div w:id="617756147">
      <w:bodyDiv w:val="1"/>
      <w:marLeft w:val="0"/>
      <w:marRight w:val="0"/>
      <w:marTop w:val="0"/>
      <w:marBottom w:val="0"/>
      <w:divBdr>
        <w:top w:val="none" w:sz="0" w:space="0" w:color="auto"/>
        <w:left w:val="none" w:sz="0" w:space="0" w:color="auto"/>
        <w:bottom w:val="none" w:sz="0" w:space="0" w:color="auto"/>
        <w:right w:val="none" w:sz="0" w:space="0" w:color="auto"/>
      </w:divBdr>
    </w:div>
    <w:div w:id="624428345">
      <w:bodyDiv w:val="1"/>
      <w:marLeft w:val="0"/>
      <w:marRight w:val="0"/>
      <w:marTop w:val="0"/>
      <w:marBottom w:val="0"/>
      <w:divBdr>
        <w:top w:val="none" w:sz="0" w:space="0" w:color="auto"/>
        <w:left w:val="none" w:sz="0" w:space="0" w:color="auto"/>
        <w:bottom w:val="none" w:sz="0" w:space="0" w:color="auto"/>
        <w:right w:val="none" w:sz="0" w:space="0" w:color="auto"/>
      </w:divBdr>
    </w:div>
    <w:div w:id="633677067">
      <w:bodyDiv w:val="1"/>
      <w:marLeft w:val="0"/>
      <w:marRight w:val="0"/>
      <w:marTop w:val="0"/>
      <w:marBottom w:val="0"/>
      <w:divBdr>
        <w:top w:val="none" w:sz="0" w:space="0" w:color="auto"/>
        <w:left w:val="none" w:sz="0" w:space="0" w:color="auto"/>
        <w:bottom w:val="none" w:sz="0" w:space="0" w:color="auto"/>
        <w:right w:val="none" w:sz="0" w:space="0" w:color="auto"/>
      </w:divBdr>
    </w:div>
    <w:div w:id="677662483">
      <w:bodyDiv w:val="1"/>
      <w:marLeft w:val="0"/>
      <w:marRight w:val="0"/>
      <w:marTop w:val="0"/>
      <w:marBottom w:val="0"/>
      <w:divBdr>
        <w:top w:val="none" w:sz="0" w:space="0" w:color="auto"/>
        <w:left w:val="none" w:sz="0" w:space="0" w:color="auto"/>
        <w:bottom w:val="none" w:sz="0" w:space="0" w:color="auto"/>
        <w:right w:val="none" w:sz="0" w:space="0" w:color="auto"/>
      </w:divBdr>
    </w:div>
    <w:div w:id="689143406">
      <w:bodyDiv w:val="1"/>
      <w:marLeft w:val="0"/>
      <w:marRight w:val="0"/>
      <w:marTop w:val="0"/>
      <w:marBottom w:val="0"/>
      <w:divBdr>
        <w:top w:val="none" w:sz="0" w:space="0" w:color="auto"/>
        <w:left w:val="none" w:sz="0" w:space="0" w:color="auto"/>
        <w:bottom w:val="none" w:sz="0" w:space="0" w:color="auto"/>
        <w:right w:val="none" w:sz="0" w:space="0" w:color="auto"/>
      </w:divBdr>
    </w:div>
    <w:div w:id="737436169">
      <w:bodyDiv w:val="1"/>
      <w:marLeft w:val="0"/>
      <w:marRight w:val="0"/>
      <w:marTop w:val="0"/>
      <w:marBottom w:val="0"/>
      <w:divBdr>
        <w:top w:val="none" w:sz="0" w:space="0" w:color="auto"/>
        <w:left w:val="none" w:sz="0" w:space="0" w:color="auto"/>
        <w:bottom w:val="none" w:sz="0" w:space="0" w:color="auto"/>
        <w:right w:val="none" w:sz="0" w:space="0" w:color="auto"/>
      </w:divBdr>
    </w:div>
    <w:div w:id="750128899">
      <w:bodyDiv w:val="1"/>
      <w:marLeft w:val="0"/>
      <w:marRight w:val="0"/>
      <w:marTop w:val="0"/>
      <w:marBottom w:val="0"/>
      <w:divBdr>
        <w:top w:val="none" w:sz="0" w:space="0" w:color="auto"/>
        <w:left w:val="none" w:sz="0" w:space="0" w:color="auto"/>
        <w:bottom w:val="none" w:sz="0" w:space="0" w:color="auto"/>
        <w:right w:val="none" w:sz="0" w:space="0" w:color="auto"/>
      </w:divBdr>
      <w:divsChild>
        <w:div w:id="1517647454">
          <w:marLeft w:val="0"/>
          <w:marRight w:val="0"/>
          <w:marTop w:val="0"/>
          <w:marBottom w:val="0"/>
          <w:divBdr>
            <w:top w:val="none" w:sz="0" w:space="0" w:color="auto"/>
            <w:left w:val="none" w:sz="0" w:space="0" w:color="auto"/>
            <w:bottom w:val="none" w:sz="0" w:space="0" w:color="auto"/>
            <w:right w:val="none" w:sz="0" w:space="0" w:color="auto"/>
          </w:divBdr>
          <w:divsChild>
            <w:div w:id="2049259286">
              <w:marLeft w:val="0"/>
              <w:marRight w:val="0"/>
              <w:marTop w:val="0"/>
              <w:marBottom w:val="0"/>
              <w:divBdr>
                <w:top w:val="none" w:sz="0" w:space="0" w:color="auto"/>
                <w:left w:val="none" w:sz="0" w:space="0" w:color="auto"/>
                <w:bottom w:val="none" w:sz="0" w:space="0" w:color="auto"/>
                <w:right w:val="none" w:sz="0" w:space="0" w:color="auto"/>
              </w:divBdr>
              <w:divsChild>
                <w:div w:id="751974977">
                  <w:marLeft w:val="0"/>
                  <w:marRight w:val="0"/>
                  <w:marTop w:val="0"/>
                  <w:marBottom w:val="0"/>
                  <w:divBdr>
                    <w:top w:val="none" w:sz="0" w:space="0" w:color="auto"/>
                    <w:left w:val="none" w:sz="0" w:space="0" w:color="auto"/>
                    <w:bottom w:val="none" w:sz="0" w:space="0" w:color="auto"/>
                    <w:right w:val="none" w:sz="0" w:space="0" w:color="auto"/>
                  </w:divBdr>
                  <w:divsChild>
                    <w:div w:id="468786753">
                      <w:marLeft w:val="0"/>
                      <w:marRight w:val="0"/>
                      <w:marTop w:val="0"/>
                      <w:marBottom w:val="0"/>
                      <w:divBdr>
                        <w:top w:val="none" w:sz="0" w:space="0" w:color="auto"/>
                        <w:left w:val="none" w:sz="0" w:space="0" w:color="auto"/>
                        <w:bottom w:val="none" w:sz="0" w:space="0" w:color="auto"/>
                        <w:right w:val="none" w:sz="0" w:space="0" w:color="auto"/>
                      </w:divBdr>
                      <w:divsChild>
                        <w:div w:id="1152332714">
                          <w:marLeft w:val="0"/>
                          <w:marRight w:val="0"/>
                          <w:marTop w:val="0"/>
                          <w:marBottom w:val="0"/>
                          <w:divBdr>
                            <w:top w:val="none" w:sz="0" w:space="0" w:color="auto"/>
                            <w:left w:val="none" w:sz="0" w:space="0" w:color="auto"/>
                            <w:bottom w:val="none" w:sz="0" w:space="0" w:color="auto"/>
                            <w:right w:val="none" w:sz="0" w:space="0" w:color="auto"/>
                          </w:divBdr>
                          <w:divsChild>
                            <w:div w:id="1076169160">
                              <w:marLeft w:val="0"/>
                              <w:marRight w:val="0"/>
                              <w:marTop w:val="0"/>
                              <w:marBottom w:val="0"/>
                              <w:divBdr>
                                <w:top w:val="none" w:sz="0" w:space="0" w:color="auto"/>
                                <w:left w:val="none" w:sz="0" w:space="0" w:color="auto"/>
                                <w:bottom w:val="none" w:sz="0" w:space="0" w:color="auto"/>
                                <w:right w:val="none" w:sz="0" w:space="0" w:color="auto"/>
                              </w:divBdr>
                              <w:divsChild>
                                <w:div w:id="2037610349">
                                  <w:marLeft w:val="0"/>
                                  <w:marRight w:val="0"/>
                                  <w:marTop w:val="0"/>
                                  <w:marBottom w:val="0"/>
                                  <w:divBdr>
                                    <w:top w:val="none" w:sz="0" w:space="0" w:color="auto"/>
                                    <w:left w:val="none" w:sz="0" w:space="0" w:color="auto"/>
                                    <w:bottom w:val="none" w:sz="0" w:space="0" w:color="auto"/>
                                    <w:right w:val="none" w:sz="0" w:space="0" w:color="auto"/>
                                  </w:divBdr>
                                  <w:divsChild>
                                    <w:div w:id="27797420">
                                      <w:marLeft w:val="0"/>
                                      <w:marRight w:val="0"/>
                                      <w:marTop w:val="0"/>
                                      <w:marBottom w:val="0"/>
                                      <w:divBdr>
                                        <w:top w:val="none" w:sz="0" w:space="0" w:color="auto"/>
                                        <w:left w:val="none" w:sz="0" w:space="0" w:color="auto"/>
                                        <w:bottom w:val="none" w:sz="0" w:space="0" w:color="auto"/>
                                        <w:right w:val="none" w:sz="0" w:space="0" w:color="auto"/>
                                      </w:divBdr>
                                      <w:divsChild>
                                        <w:div w:id="587155444">
                                          <w:marLeft w:val="0"/>
                                          <w:marRight w:val="0"/>
                                          <w:marTop w:val="0"/>
                                          <w:marBottom w:val="0"/>
                                          <w:divBdr>
                                            <w:top w:val="none" w:sz="0" w:space="0" w:color="auto"/>
                                            <w:left w:val="none" w:sz="0" w:space="0" w:color="auto"/>
                                            <w:bottom w:val="none" w:sz="0" w:space="0" w:color="auto"/>
                                            <w:right w:val="none" w:sz="0" w:space="0" w:color="auto"/>
                                          </w:divBdr>
                                          <w:divsChild>
                                            <w:div w:id="219630555">
                                              <w:marLeft w:val="0"/>
                                              <w:marRight w:val="0"/>
                                              <w:marTop w:val="0"/>
                                              <w:marBottom w:val="0"/>
                                              <w:divBdr>
                                                <w:top w:val="none" w:sz="0" w:space="0" w:color="auto"/>
                                                <w:left w:val="none" w:sz="0" w:space="0" w:color="auto"/>
                                                <w:bottom w:val="none" w:sz="0" w:space="0" w:color="auto"/>
                                                <w:right w:val="none" w:sz="0" w:space="0" w:color="auto"/>
                                              </w:divBdr>
                                              <w:divsChild>
                                                <w:div w:id="1676574512">
                                                  <w:marLeft w:val="0"/>
                                                  <w:marRight w:val="0"/>
                                                  <w:marTop w:val="0"/>
                                                  <w:marBottom w:val="0"/>
                                                  <w:divBdr>
                                                    <w:top w:val="none" w:sz="0" w:space="0" w:color="auto"/>
                                                    <w:left w:val="none" w:sz="0" w:space="0" w:color="auto"/>
                                                    <w:bottom w:val="none" w:sz="0" w:space="0" w:color="auto"/>
                                                    <w:right w:val="none" w:sz="0" w:space="0" w:color="auto"/>
                                                  </w:divBdr>
                                                  <w:divsChild>
                                                    <w:div w:id="1887057786">
                                                      <w:marLeft w:val="0"/>
                                                      <w:marRight w:val="0"/>
                                                      <w:marTop w:val="0"/>
                                                      <w:marBottom w:val="0"/>
                                                      <w:divBdr>
                                                        <w:top w:val="none" w:sz="0" w:space="0" w:color="auto"/>
                                                        <w:left w:val="none" w:sz="0" w:space="0" w:color="auto"/>
                                                        <w:bottom w:val="none" w:sz="0" w:space="0" w:color="auto"/>
                                                        <w:right w:val="none" w:sz="0" w:space="0" w:color="auto"/>
                                                      </w:divBdr>
                                                      <w:divsChild>
                                                        <w:div w:id="1178231321">
                                                          <w:marLeft w:val="0"/>
                                                          <w:marRight w:val="0"/>
                                                          <w:marTop w:val="0"/>
                                                          <w:marBottom w:val="0"/>
                                                          <w:divBdr>
                                                            <w:top w:val="none" w:sz="0" w:space="0" w:color="auto"/>
                                                            <w:left w:val="none" w:sz="0" w:space="0" w:color="auto"/>
                                                            <w:bottom w:val="none" w:sz="0" w:space="0" w:color="auto"/>
                                                            <w:right w:val="none" w:sz="0" w:space="0" w:color="auto"/>
                                                          </w:divBdr>
                                                          <w:divsChild>
                                                            <w:div w:id="17323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9595478">
      <w:bodyDiv w:val="1"/>
      <w:marLeft w:val="0"/>
      <w:marRight w:val="0"/>
      <w:marTop w:val="0"/>
      <w:marBottom w:val="0"/>
      <w:divBdr>
        <w:top w:val="none" w:sz="0" w:space="0" w:color="auto"/>
        <w:left w:val="none" w:sz="0" w:space="0" w:color="auto"/>
        <w:bottom w:val="none" w:sz="0" w:space="0" w:color="auto"/>
        <w:right w:val="none" w:sz="0" w:space="0" w:color="auto"/>
      </w:divBdr>
    </w:div>
    <w:div w:id="797525399">
      <w:bodyDiv w:val="1"/>
      <w:marLeft w:val="0"/>
      <w:marRight w:val="0"/>
      <w:marTop w:val="0"/>
      <w:marBottom w:val="0"/>
      <w:divBdr>
        <w:top w:val="none" w:sz="0" w:space="0" w:color="auto"/>
        <w:left w:val="none" w:sz="0" w:space="0" w:color="auto"/>
        <w:bottom w:val="none" w:sz="0" w:space="0" w:color="auto"/>
        <w:right w:val="none" w:sz="0" w:space="0" w:color="auto"/>
      </w:divBdr>
    </w:div>
    <w:div w:id="910043754">
      <w:bodyDiv w:val="1"/>
      <w:marLeft w:val="0"/>
      <w:marRight w:val="0"/>
      <w:marTop w:val="0"/>
      <w:marBottom w:val="0"/>
      <w:divBdr>
        <w:top w:val="none" w:sz="0" w:space="0" w:color="auto"/>
        <w:left w:val="none" w:sz="0" w:space="0" w:color="auto"/>
        <w:bottom w:val="none" w:sz="0" w:space="0" w:color="auto"/>
        <w:right w:val="none" w:sz="0" w:space="0" w:color="auto"/>
      </w:divBdr>
    </w:div>
    <w:div w:id="923611822">
      <w:bodyDiv w:val="1"/>
      <w:marLeft w:val="0"/>
      <w:marRight w:val="0"/>
      <w:marTop w:val="0"/>
      <w:marBottom w:val="0"/>
      <w:divBdr>
        <w:top w:val="none" w:sz="0" w:space="0" w:color="auto"/>
        <w:left w:val="none" w:sz="0" w:space="0" w:color="auto"/>
        <w:bottom w:val="none" w:sz="0" w:space="0" w:color="auto"/>
        <w:right w:val="none" w:sz="0" w:space="0" w:color="auto"/>
      </w:divBdr>
    </w:div>
    <w:div w:id="929002861">
      <w:bodyDiv w:val="1"/>
      <w:marLeft w:val="0"/>
      <w:marRight w:val="0"/>
      <w:marTop w:val="0"/>
      <w:marBottom w:val="0"/>
      <w:divBdr>
        <w:top w:val="none" w:sz="0" w:space="0" w:color="auto"/>
        <w:left w:val="none" w:sz="0" w:space="0" w:color="auto"/>
        <w:bottom w:val="none" w:sz="0" w:space="0" w:color="auto"/>
        <w:right w:val="none" w:sz="0" w:space="0" w:color="auto"/>
      </w:divBdr>
    </w:div>
    <w:div w:id="929241362">
      <w:bodyDiv w:val="1"/>
      <w:marLeft w:val="0"/>
      <w:marRight w:val="0"/>
      <w:marTop w:val="0"/>
      <w:marBottom w:val="0"/>
      <w:divBdr>
        <w:top w:val="none" w:sz="0" w:space="0" w:color="auto"/>
        <w:left w:val="none" w:sz="0" w:space="0" w:color="auto"/>
        <w:bottom w:val="none" w:sz="0" w:space="0" w:color="auto"/>
        <w:right w:val="none" w:sz="0" w:space="0" w:color="auto"/>
      </w:divBdr>
    </w:div>
    <w:div w:id="934247485">
      <w:bodyDiv w:val="1"/>
      <w:marLeft w:val="0"/>
      <w:marRight w:val="0"/>
      <w:marTop w:val="0"/>
      <w:marBottom w:val="0"/>
      <w:divBdr>
        <w:top w:val="none" w:sz="0" w:space="0" w:color="auto"/>
        <w:left w:val="none" w:sz="0" w:space="0" w:color="auto"/>
        <w:bottom w:val="none" w:sz="0" w:space="0" w:color="auto"/>
        <w:right w:val="none" w:sz="0" w:space="0" w:color="auto"/>
      </w:divBdr>
    </w:div>
    <w:div w:id="948463549">
      <w:bodyDiv w:val="1"/>
      <w:marLeft w:val="0"/>
      <w:marRight w:val="0"/>
      <w:marTop w:val="0"/>
      <w:marBottom w:val="0"/>
      <w:divBdr>
        <w:top w:val="none" w:sz="0" w:space="0" w:color="auto"/>
        <w:left w:val="none" w:sz="0" w:space="0" w:color="auto"/>
        <w:bottom w:val="none" w:sz="0" w:space="0" w:color="auto"/>
        <w:right w:val="none" w:sz="0" w:space="0" w:color="auto"/>
      </w:divBdr>
    </w:div>
    <w:div w:id="964585733">
      <w:bodyDiv w:val="1"/>
      <w:marLeft w:val="0"/>
      <w:marRight w:val="0"/>
      <w:marTop w:val="0"/>
      <w:marBottom w:val="0"/>
      <w:divBdr>
        <w:top w:val="none" w:sz="0" w:space="0" w:color="auto"/>
        <w:left w:val="none" w:sz="0" w:space="0" w:color="auto"/>
        <w:bottom w:val="none" w:sz="0" w:space="0" w:color="auto"/>
        <w:right w:val="none" w:sz="0" w:space="0" w:color="auto"/>
      </w:divBdr>
    </w:div>
    <w:div w:id="1001395554">
      <w:bodyDiv w:val="1"/>
      <w:marLeft w:val="0"/>
      <w:marRight w:val="0"/>
      <w:marTop w:val="0"/>
      <w:marBottom w:val="0"/>
      <w:divBdr>
        <w:top w:val="none" w:sz="0" w:space="0" w:color="auto"/>
        <w:left w:val="none" w:sz="0" w:space="0" w:color="auto"/>
        <w:bottom w:val="none" w:sz="0" w:space="0" w:color="auto"/>
        <w:right w:val="none" w:sz="0" w:space="0" w:color="auto"/>
      </w:divBdr>
    </w:div>
    <w:div w:id="1024940405">
      <w:bodyDiv w:val="1"/>
      <w:marLeft w:val="0"/>
      <w:marRight w:val="0"/>
      <w:marTop w:val="0"/>
      <w:marBottom w:val="0"/>
      <w:divBdr>
        <w:top w:val="none" w:sz="0" w:space="0" w:color="auto"/>
        <w:left w:val="none" w:sz="0" w:space="0" w:color="auto"/>
        <w:bottom w:val="none" w:sz="0" w:space="0" w:color="auto"/>
        <w:right w:val="none" w:sz="0" w:space="0" w:color="auto"/>
      </w:divBdr>
    </w:div>
    <w:div w:id="1041511818">
      <w:bodyDiv w:val="1"/>
      <w:marLeft w:val="0"/>
      <w:marRight w:val="0"/>
      <w:marTop w:val="0"/>
      <w:marBottom w:val="0"/>
      <w:divBdr>
        <w:top w:val="none" w:sz="0" w:space="0" w:color="auto"/>
        <w:left w:val="none" w:sz="0" w:space="0" w:color="auto"/>
        <w:bottom w:val="none" w:sz="0" w:space="0" w:color="auto"/>
        <w:right w:val="none" w:sz="0" w:space="0" w:color="auto"/>
      </w:divBdr>
    </w:div>
    <w:div w:id="1063523308">
      <w:bodyDiv w:val="1"/>
      <w:marLeft w:val="0"/>
      <w:marRight w:val="0"/>
      <w:marTop w:val="0"/>
      <w:marBottom w:val="0"/>
      <w:divBdr>
        <w:top w:val="none" w:sz="0" w:space="0" w:color="auto"/>
        <w:left w:val="none" w:sz="0" w:space="0" w:color="auto"/>
        <w:bottom w:val="none" w:sz="0" w:space="0" w:color="auto"/>
        <w:right w:val="none" w:sz="0" w:space="0" w:color="auto"/>
      </w:divBdr>
    </w:div>
    <w:div w:id="1084912988">
      <w:bodyDiv w:val="1"/>
      <w:marLeft w:val="0"/>
      <w:marRight w:val="0"/>
      <w:marTop w:val="0"/>
      <w:marBottom w:val="0"/>
      <w:divBdr>
        <w:top w:val="none" w:sz="0" w:space="0" w:color="auto"/>
        <w:left w:val="none" w:sz="0" w:space="0" w:color="auto"/>
        <w:bottom w:val="none" w:sz="0" w:space="0" w:color="auto"/>
        <w:right w:val="none" w:sz="0" w:space="0" w:color="auto"/>
      </w:divBdr>
    </w:div>
    <w:div w:id="1094473253">
      <w:bodyDiv w:val="1"/>
      <w:marLeft w:val="0"/>
      <w:marRight w:val="0"/>
      <w:marTop w:val="0"/>
      <w:marBottom w:val="0"/>
      <w:divBdr>
        <w:top w:val="none" w:sz="0" w:space="0" w:color="auto"/>
        <w:left w:val="none" w:sz="0" w:space="0" w:color="auto"/>
        <w:bottom w:val="none" w:sz="0" w:space="0" w:color="auto"/>
        <w:right w:val="none" w:sz="0" w:space="0" w:color="auto"/>
      </w:divBdr>
    </w:div>
    <w:div w:id="1123690269">
      <w:bodyDiv w:val="1"/>
      <w:marLeft w:val="0"/>
      <w:marRight w:val="0"/>
      <w:marTop w:val="0"/>
      <w:marBottom w:val="0"/>
      <w:divBdr>
        <w:top w:val="none" w:sz="0" w:space="0" w:color="auto"/>
        <w:left w:val="none" w:sz="0" w:space="0" w:color="auto"/>
        <w:bottom w:val="none" w:sz="0" w:space="0" w:color="auto"/>
        <w:right w:val="none" w:sz="0" w:space="0" w:color="auto"/>
      </w:divBdr>
    </w:div>
    <w:div w:id="1146971161">
      <w:bodyDiv w:val="1"/>
      <w:marLeft w:val="0"/>
      <w:marRight w:val="0"/>
      <w:marTop w:val="0"/>
      <w:marBottom w:val="0"/>
      <w:divBdr>
        <w:top w:val="none" w:sz="0" w:space="0" w:color="auto"/>
        <w:left w:val="none" w:sz="0" w:space="0" w:color="auto"/>
        <w:bottom w:val="none" w:sz="0" w:space="0" w:color="auto"/>
        <w:right w:val="none" w:sz="0" w:space="0" w:color="auto"/>
      </w:divBdr>
    </w:div>
    <w:div w:id="1189218058">
      <w:bodyDiv w:val="1"/>
      <w:marLeft w:val="0"/>
      <w:marRight w:val="0"/>
      <w:marTop w:val="0"/>
      <w:marBottom w:val="0"/>
      <w:divBdr>
        <w:top w:val="none" w:sz="0" w:space="0" w:color="auto"/>
        <w:left w:val="none" w:sz="0" w:space="0" w:color="auto"/>
        <w:bottom w:val="none" w:sz="0" w:space="0" w:color="auto"/>
        <w:right w:val="none" w:sz="0" w:space="0" w:color="auto"/>
      </w:divBdr>
    </w:div>
    <w:div w:id="1199465502">
      <w:bodyDiv w:val="1"/>
      <w:marLeft w:val="0"/>
      <w:marRight w:val="0"/>
      <w:marTop w:val="0"/>
      <w:marBottom w:val="0"/>
      <w:divBdr>
        <w:top w:val="none" w:sz="0" w:space="0" w:color="auto"/>
        <w:left w:val="none" w:sz="0" w:space="0" w:color="auto"/>
        <w:bottom w:val="none" w:sz="0" w:space="0" w:color="auto"/>
        <w:right w:val="none" w:sz="0" w:space="0" w:color="auto"/>
      </w:divBdr>
    </w:div>
    <w:div w:id="1207377231">
      <w:bodyDiv w:val="1"/>
      <w:marLeft w:val="0"/>
      <w:marRight w:val="0"/>
      <w:marTop w:val="0"/>
      <w:marBottom w:val="0"/>
      <w:divBdr>
        <w:top w:val="none" w:sz="0" w:space="0" w:color="auto"/>
        <w:left w:val="none" w:sz="0" w:space="0" w:color="auto"/>
        <w:bottom w:val="none" w:sz="0" w:space="0" w:color="auto"/>
        <w:right w:val="none" w:sz="0" w:space="0" w:color="auto"/>
      </w:divBdr>
    </w:div>
    <w:div w:id="1250575042">
      <w:bodyDiv w:val="1"/>
      <w:marLeft w:val="0"/>
      <w:marRight w:val="0"/>
      <w:marTop w:val="0"/>
      <w:marBottom w:val="0"/>
      <w:divBdr>
        <w:top w:val="none" w:sz="0" w:space="0" w:color="auto"/>
        <w:left w:val="none" w:sz="0" w:space="0" w:color="auto"/>
        <w:bottom w:val="none" w:sz="0" w:space="0" w:color="auto"/>
        <w:right w:val="none" w:sz="0" w:space="0" w:color="auto"/>
      </w:divBdr>
    </w:div>
    <w:div w:id="1300065287">
      <w:bodyDiv w:val="1"/>
      <w:marLeft w:val="0"/>
      <w:marRight w:val="0"/>
      <w:marTop w:val="0"/>
      <w:marBottom w:val="0"/>
      <w:divBdr>
        <w:top w:val="none" w:sz="0" w:space="0" w:color="auto"/>
        <w:left w:val="none" w:sz="0" w:space="0" w:color="auto"/>
        <w:bottom w:val="none" w:sz="0" w:space="0" w:color="auto"/>
        <w:right w:val="none" w:sz="0" w:space="0" w:color="auto"/>
      </w:divBdr>
    </w:div>
    <w:div w:id="1311446273">
      <w:bodyDiv w:val="1"/>
      <w:marLeft w:val="0"/>
      <w:marRight w:val="0"/>
      <w:marTop w:val="0"/>
      <w:marBottom w:val="0"/>
      <w:divBdr>
        <w:top w:val="none" w:sz="0" w:space="0" w:color="auto"/>
        <w:left w:val="none" w:sz="0" w:space="0" w:color="auto"/>
        <w:bottom w:val="none" w:sz="0" w:space="0" w:color="auto"/>
        <w:right w:val="none" w:sz="0" w:space="0" w:color="auto"/>
      </w:divBdr>
    </w:div>
    <w:div w:id="1348167607">
      <w:bodyDiv w:val="1"/>
      <w:marLeft w:val="0"/>
      <w:marRight w:val="0"/>
      <w:marTop w:val="0"/>
      <w:marBottom w:val="0"/>
      <w:divBdr>
        <w:top w:val="none" w:sz="0" w:space="0" w:color="auto"/>
        <w:left w:val="none" w:sz="0" w:space="0" w:color="auto"/>
        <w:bottom w:val="none" w:sz="0" w:space="0" w:color="auto"/>
        <w:right w:val="none" w:sz="0" w:space="0" w:color="auto"/>
      </w:divBdr>
    </w:div>
    <w:div w:id="1383746989">
      <w:bodyDiv w:val="1"/>
      <w:marLeft w:val="0"/>
      <w:marRight w:val="0"/>
      <w:marTop w:val="0"/>
      <w:marBottom w:val="0"/>
      <w:divBdr>
        <w:top w:val="none" w:sz="0" w:space="0" w:color="auto"/>
        <w:left w:val="none" w:sz="0" w:space="0" w:color="auto"/>
        <w:bottom w:val="none" w:sz="0" w:space="0" w:color="auto"/>
        <w:right w:val="none" w:sz="0" w:space="0" w:color="auto"/>
      </w:divBdr>
    </w:div>
    <w:div w:id="1393655443">
      <w:bodyDiv w:val="1"/>
      <w:marLeft w:val="0"/>
      <w:marRight w:val="0"/>
      <w:marTop w:val="0"/>
      <w:marBottom w:val="0"/>
      <w:divBdr>
        <w:top w:val="none" w:sz="0" w:space="0" w:color="auto"/>
        <w:left w:val="none" w:sz="0" w:space="0" w:color="auto"/>
        <w:bottom w:val="none" w:sz="0" w:space="0" w:color="auto"/>
        <w:right w:val="none" w:sz="0" w:space="0" w:color="auto"/>
      </w:divBdr>
    </w:div>
    <w:div w:id="1406802513">
      <w:bodyDiv w:val="1"/>
      <w:marLeft w:val="0"/>
      <w:marRight w:val="0"/>
      <w:marTop w:val="0"/>
      <w:marBottom w:val="0"/>
      <w:divBdr>
        <w:top w:val="none" w:sz="0" w:space="0" w:color="auto"/>
        <w:left w:val="none" w:sz="0" w:space="0" w:color="auto"/>
        <w:bottom w:val="none" w:sz="0" w:space="0" w:color="auto"/>
        <w:right w:val="none" w:sz="0" w:space="0" w:color="auto"/>
      </w:divBdr>
    </w:div>
    <w:div w:id="1423455485">
      <w:bodyDiv w:val="1"/>
      <w:marLeft w:val="0"/>
      <w:marRight w:val="0"/>
      <w:marTop w:val="0"/>
      <w:marBottom w:val="0"/>
      <w:divBdr>
        <w:top w:val="none" w:sz="0" w:space="0" w:color="auto"/>
        <w:left w:val="none" w:sz="0" w:space="0" w:color="auto"/>
        <w:bottom w:val="none" w:sz="0" w:space="0" w:color="auto"/>
        <w:right w:val="none" w:sz="0" w:space="0" w:color="auto"/>
      </w:divBdr>
    </w:div>
    <w:div w:id="1463883045">
      <w:bodyDiv w:val="1"/>
      <w:marLeft w:val="0"/>
      <w:marRight w:val="0"/>
      <w:marTop w:val="0"/>
      <w:marBottom w:val="0"/>
      <w:divBdr>
        <w:top w:val="none" w:sz="0" w:space="0" w:color="auto"/>
        <w:left w:val="none" w:sz="0" w:space="0" w:color="auto"/>
        <w:bottom w:val="none" w:sz="0" w:space="0" w:color="auto"/>
        <w:right w:val="none" w:sz="0" w:space="0" w:color="auto"/>
      </w:divBdr>
    </w:div>
    <w:div w:id="1482843433">
      <w:bodyDiv w:val="1"/>
      <w:marLeft w:val="0"/>
      <w:marRight w:val="0"/>
      <w:marTop w:val="0"/>
      <w:marBottom w:val="0"/>
      <w:divBdr>
        <w:top w:val="none" w:sz="0" w:space="0" w:color="auto"/>
        <w:left w:val="none" w:sz="0" w:space="0" w:color="auto"/>
        <w:bottom w:val="none" w:sz="0" w:space="0" w:color="auto"/>
        <w:right w:val="none" w:sz="0" w:space="0" w:color="auto"/>
      </w:divBdr>
    </w:div>
    <w:div w:id="1551653371">
      <w:bodyDiv w:val="1"/>
      <w:marLeft w:val="0"/>
      <w:marRight w:val="0"/>
      <w:marTop w:val="0"/>
      <w:marBottom w:val="0"/>
      <w:divBdr>
        <w:top w:val="none" w:sz="0" w:space="0" w:color="auto"/>
        <w:left w:val="none" w:sz="0" w:space="0" w:color="auto"/>
        <w:bottom w:val="none" w:sz="0" w:space="0" w:color="auto"/>
        <w:right w:val="none" w:sz="0" w:space="0" w:color="auto"/>
      </w:divBdr>
    </w:div>
    <w:div w:id="1592004247">
      <w:bodyDiv w:val="1"/>
      <w:marLeft w:val="0"/>
      <w:marRight w:val="0"/>
      <w:marTop w:val="0"/>
      <w:marBottom w:val="0"/>
      <w:divBdr>
        <w:top w:val="none" w:sz="0" w:space="0" w:color="auto"/>
        <w:left w:val="none" w:sz="0" w:space="0" w:color="auto"/>
        <w:bottom w:val="none" w:sz="0" w:space="0" w:color="auto"/>
        <w:right w:val="none" w:sz="0" w:space="0" w:color="auto"/>
      </w:divBdr>
    </w:div>
    <w:div w:id="1614357259">
      <w:bodyDiv w:val="1"/>
      <w:marLeft w:val="0"/>
      <w:marRight w:val="0"/>
      <w:marTop w:val="0"/>
      <w:marBottom w:val="0"/>
      <w:divBdr>
        <w:top w:val="none" w:sz="0" w:space="0" w:color="auto"/>
        <w:left w:val="none" w:sz="0" w:space="0" w:color="auto"/>
        <w:bottom w:val="none" w:sz="0" w:space="0" w:color="auto"/>
        <w:right w:val="none" w:sz="0" w:space="0" w:color="auto"/>
      </w:divBdr>
    </w:div>
    <w:div w:id="1627006202">
      <w:bodyDiv w:val="1"/>
      <w:marLeft w:val="0"/>
      <w:marRight w:val="0"/>
      <w:marTop w:val="0"/>
      <w:marBottom w:val="0"/>
      <w:divBdr>
        <w:top w:val="none" w:sz="0" w:space="0" w:color="auto"/>
        <w:left w:val="none" w:sz="0" w:space="0" w:color="auto"/>
        <w:bottom w:val="none" w:sz="0" w:space="0" w:color="auto"/>
        <w:right w:val="none" w:sz="0" w:space="0" w:color="auto"/>
      </w:divBdr>
    </w:div>
    <w:div w:id="1635867683">
      <w:bodyDiv w:val="1"/>
      <w:marLeft w:val="0"/>
      <w:marRight w:val="0"/>
      <w:marTop w:val="0"/>
      <w:marBottom w:val="0"/>
      <w:divBdr>
        <w:top w:val="none" w:sz="0" w:space="0" w:color="auto"/>
        <w:left w:val="none" w:sz="0" w:space="0" w:color="auto"/>
        <w:bottom w:val="none" w:sz="0" w:space="0" w:color="auto"/>
        <w:right w:val="none" w:sz="0" w:space="0" w:color="auto"/>
      </w:divBdr>
    </w:div>
    <w:div w:id="1656564013">
      <w:bodyDiv w:val="1"/>
      <w:marLeft w:val="0"/>
      <w:marRight w:val="0"/>
      <w:marTop w:val="0"/>
      <w:marBottom w:val="0"/>
      <w:divBdr>
        <w:top w:val="none" w:sz="0" w:space="0" w:color="auto"/>
        <w:left w:val="none" w:sz="0" w:space="0" w:color="auto"/>
        <w:bottom w:val="none" w:sz="0" w:space="0" w:color="auto"/>
        <w:right w:val="none" w:sz="0" w:space="0" w:color="auto"/>
      </w:divBdr>
      <w:divsChild>
        <w:div w:id="1849711455">
          <w:marLeft w:val="547"/>
          <w:marRight w:val="0"/>
          <w:marTop w:val="200"/>
          <w:marBottom w:val="0"/>
          <w:divBdr>
            <w:top w:val="none" w:sz="0" w:space="0" w:color="auto"/>
            <w:left w:val="none" w:sz="0" w:space="0" w:color="auto"/>
            <w:bottom w:val="none" w:sz="0" w:space="0" w:color="auto"/>
            <w:right w:val="none" w:sz="0" w:space="0" w:color="auto"/>
          </w:divBdr>
        </w:div>
      </w:divsChild>
    </w:div>
    <w:div w:id="1672176836">
      <w:bodyDiv w:val="1"/>
      <w:marLeft w:val="0"/>
      <w:marRight w:val="0"/>
      <w:marTop w:val="0"/>
      <w:marBottom w:val="0"/>
      <w:divBdr>
        <w:top w:val="none" w:sz="0" w:space="0" w:color="auto"/>
        <w:left w:val="none" w:sz="0" w:space="0" w:color="auto"/>
        <w:bottom w:val="none" w:sz="0" w:space="0" w:color="auto"/>
        <w:right w:val="none" w:sz="0" w:space="0" w:color="auto"/>
      </w:divBdr>
    </w:div>
    <w:div w:id="1687172776">
      <w:bodyDiv w:val="1"/>
      <w:marLeft w:val="0"/>
      <w:marRight w:val="0"/>
      <w:marTop w:val="0"/>
      <w:marBottom w:val="0"/>
      <w:divBdr>
        <w:top w:val="none" w:sz="0" w:space="0" w:color="auto"/>
        <w:left w:val="none" w:sz="0" w:space="0" w:color="auto"/>
        <w:bottom w:val="none" w:sz="0" w:space="0" w:color="auto"/>
        <w:right w:val="none" w:sz="0" w:space="0" w:color="auto"/>
      </w:divBdr>
    </w:div>
    <w:div w:id="1735468368">
      <w:bodyDiv w:val="1"/>
      <w:marLeft w:val="0"/>
      <w:marRight w:val="0"/>
      <w:marTop w:val="0"/>
      <w:marBottom w:val="0"/>
      <w:divBdr>
        <w:top w:val="none" w:sz="0" w:space="0" w:color="auto"/>
        <w:left w:val="none" w:sz="0" w:space="0" w:color="auto"/>
        <w:bottom w:val="none" w:sz="0" w:space="0" w:color="auto"/>
        <w:right w:val="none" w:sz="0" w:space="0" w:color="auto"/>
      </w:divBdr>
    </w:div>
    <w:div w:id="1738286952">
      <w:bodyDiv w:val="1"/>
      <w:marLeft w:val="0"/>
      <w:marRight w:val="0"/>
      <w:marTop w:val="0"/>
      <w:marBottom w:val="0"/>
      <w:divBdr>
        <w:top w:val="none" w:sz="0" w:space="0" w:color="auto"/>
        <w:left w:val="none" w:sz="0" w:space="0" w:color="auto"/>
        <w:bottom w:val="none" w:sz="0" w:space="0" w:color="auto"/>
        <w:right w:val="none" w:sz="0" w:space="0" w:color="auto"/>
      </w:divBdr>
    </w:div>
    <w:div w:id="1781603114">
      <w:bodyDiv w:val="1"/>
      <w:marLeft w:val="0"/>
      <w:marRight w:val="0"/>
      <w:marTop w:val="0"/>
      <w:marBottom w:val="0"/>
      <w:divBdr>
        <w:top w:val="none" w:sz="0" w:space="0" w:color="auto"/>
        <w:left w:val="none" w:sz="0" w:space="0" w:color="auto"/>
        <w:bottom w:val="none" w:sz="0" w:space="0" w:color="auto"/>
        <w:right w:val="none" w:sz="0" w:space="0" w:color="auto"/>
      </w:divBdr>
      <w:divsChild>
        <w:div w:id="2127117219">
          <w:marLeft w:val="0"/>
          <w:marRight w:val="0"/>
          <w:marTop w:val="0"/>
          <w:marBottom w:val="0"/>
          <w:divBdr>
            <w:top w:val="none" w:sz="0" w:space="0" w:color="auto"/>
            <w:left w:val="none" w:sz="0" w:space="0" w:color="auto"/>
            <w:bottom w:val="none" w:sz="0" w:space="0" w:color="auto"/>
            <w:right w:val="none" w:sz="0" w:space="0" w:color="auto"/>
          </w:divBdr>
          <w:divsChild>
            <w:div w:id="8194263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97134857">
      <w:bodyDiv w:val="1"/>
      <w:marLeft w:val="0"/>
      <w:marRight w:val="0"/>
      <w:marTop w:val="0"/>
      <w:marBottom w:val="0"/>
      <w:divBdr>
        <w:top w:val="none" w:sz="0" w:space="0" w:color="auto"/>
        <w:left w:val="none" w:sz="0" w:space="0" w:color="auto"/>
        <w:bottom w:val="none" w:sz="0" w:space="0" w:color="auto"/>
        <w:right w:val="none" w:sz="0" w:space="0" w:color="auto"/>
      </w:divBdr>
    </w:div>
    <w:div w:id="1800300345">
      <w:bodyDiv w:val="1"/>
      <w:marLeft w:val="0"/>
      <w:marRight w:val="0"/>
      <w:marTop w:val="0"/>
      <w:marBottom w:val="0"/>
      <w:divBdr>
        <w:top w:val="none" w:sz="0" w:space="0" w:color="auto"/>
        <w:left w:val="none" w:sz="0" w:space="0" w:color="auto"/>
        <w:bottom w:val="none" w:sz="0" w:space="0" w:color="auto"/>
        <w:right w:val="none" w:sz="0" w:space="0" w:color="auto"/>
      </w:divBdr>
    </w:div>
    <w:div w:id="1809320910">
      <w:bodyDiv w:val="1"/>
      <w:marLeft w:val="0"/>
      <w:marRight w:val="0"/>
      <w:marTop w:val="0"/>
      <w:marBottom w:val="0"/>
      <w:divBdr>
        <w:top w:val="none" w:sz="0" w:space="0" w:color="auto"/>
        <w:left w:val="none" w:sz="0" w:space="0" w:color="auto"/>
        <w:bottom w:val="none" w:sz="0" w:space="0" w:color="auto"/>
        <w:right w:val="none" w:sz="0" w:space="0" w:color="auto"/>
      </w:divBdr>
    </w:div>
    <w:div w:id="1820728389">
      <w:bodyDiv w:val="1"/>
      <w:marLeft w:val="0"/>
      <w:marRight w:val="0"/>
      <w:marTop w:val="0"/>
      <w:marBottom w:val="0"/>
      <w:divBdr>
        <w:top w:val="none" w:sz="0" w:space="0" w:color="auto"/>
        <w:left w:val="none" w:sz="0" w:space="0" w:color="auto"/>
        <w:bottom w:val="none" w:sz="0" w:space="0" w:color="auto"/>
        <w:right w:val="none" w:sz="0" w:space="0" w:color="auto"/>
      </w:divBdr>
    </w:div>
    <w:div w:id="1831167675">
      <w:bodyDiv w:val="1"/>
      <w:marLeft w:val="0"/>
      <w:marRight w:val="0"/>
      <w:marTop w:val="0"/>
      <w:marBottom w:val="0"/>
      <w:divBdr>
        <w:top w:val="none" w:sz="0" w:space="0" w:color="auto"/>
        <w:left w:val="none" w:sz="0" w:space="0" w:color="auto"/>
        <w:bottom w:val="none" w:sz="0" w:space="0" w:color="auto"/>
        <w:right w:val="none" w:sz="0" w:space="0" w:color="auto"/>
      </w:divBdr>
    </w:div>
    <w:div w:id="1868131533">
      <w:bodyDiv w:val="1"/>
      <w:marLeft w:val="0"/>
      <w:marRight w:val="0"/>
      <w:marTop w:val="0"/>
      <w:marBottom w:val="0"/>
      <w:divBdr>
        <w:top w:val="none" w:sz="0" w:space="0" w:color="auto"/>
        <w:left w:val="none" w:sz="0" w:space="0" w:color="auto"/>
        <w:bottom w:val="none" w:sz="0" w:space="0" w:color="auto"/>
        <w:right w:val="none" w:sz="0" w:space="0" w:color="auto"/>
      </w:divBdr>
    </w:div>
    <w:div w:id="1879509131">
      <w:bodyDiv w:val="1"/>
      <w:marLeft w:val="0"/>
      <w:marRight w:val="0"/>
      <w:marTop w:val="0"/>
      <w:marBottom w:val="0"/>
      <w:divBdr>
        <w:top w:val="none" w:sz="0" w:space="0" w:color="auto"/>
        <w:left w:val="none" w:sz="0" w:space="0" w:color="auto"/>
        <w:bottom w:val="none" w:sz="0" w:space="0" w:color="auto"/>
        <w:right w:val="none" w:sz="0" w:space="0" w:color="auto"/>
      </w:divBdr>
    </w:div>
    <w:div w:id="1884251134">
      <w:bodyDiv w:val="1"/>
      <w:marLeft w:val="0"/>
      <w:marRight w:val="0"/>
      <w:marTop w:val="0"/>
      <w:marBottom w:val="0"/>
      <w:divBdr>
        <w:top w:val="none" w:sz="0" w:space="0" w:color="auto"/>
        <w:left w:val="none" w:sz="0" w:space="0" w:color="auto"/>
        <w:bottom w:val="none" w:sz="0" w:space="0" w:color="auto"/>
        <w:right w:val="none" w:sz="0" w:space="0" w:color="auto"/>
      </w:divBdr>
    </w:div>
    <w:div w:id="1886024601">
      <w:bodyDiv w:val="1"/>
      <w:marLeft w:val="0"/>
      <w:marRight w:val="0"/>
      <w:marTop w:val="0"/>
      <w:marBottom w:val="0"/>
      <w:divBdr>
        <w:top w:val="none" w:sz="0" w:space="0" w:color="auto"/>
        <w:left w:val="none" w:sz="0" w:space="0" w:color="auto"/>
        <w:bottom w:val="none" w:sz="0" w:space="0" w:color="auto"/>
        <w:right w:val="none" w:sz="0" w:space="0" w:color="auto"/>
      </w:divBdr>
    </w:div>
    <w:div w:id="1888373771">
      <w:bodyDiv w:val="1"/>
      <w:marLeft w:val="0"/>
      <w:marRight w:val="0"/>
      <w:marTop w:val="0"/>
      <w:marBottom w:val="0"/>
      <w:divBdr>
        <w:top w:val="none" w:sz="0" w:space="0" w:color="auto"/>
        <w:left w:val="none" w:sz="0" w:space="0" w:color="auto"/>
        <w:bottom w:val="none" w:sz="0" w:space="0" w:color="auto"/>
        <w:right w:val="none" w:sz="0" w:space="0" w:color="auto"/>
      </w:divBdr>
    </w:div>
    <w:div w:id="1925914729">
      <w:bodyDiv w:val="1"/>
      <w:marLeft w:val="0"/>
      <w:marRight w:val="0"/>
      <w:marTop w:val="0"/>
      <w:marBottom w:val="0"/>
      <w:divBdr>
        <w:top w:val="none" w:sz="0" w:space="0" w:color="auto"/>
        <w:left w:val="none" w:sz="0" w:space="0" w:color="auto"/>
        <w:bottom w:val="none" w:sz="0" w:space="0" w:color="auto"/>
        <w:right w:val="none" w:sz="0" w:space="0" w:color="auto"/>
      </w:divBdr>
    </w:div>
    <w:div w:id="1940795471">
      <w:bodyDiv w:val="1"/>
      <w:marLeft w:val="0"/>
      <w:marRight w:val="0"/>
      <w:marTop w:val="0"/>
      <w:marBottom w:val="0"/>
      <w:divBdr>
        <w:top w:val="none" w:sz="0" w:space="0" w:color="auto"/>
        <w:left w:val="none" w:sz="0" w:space="0" w:color="auto"/>
        <w:bottom w:val="none" w:sz="0" w:space="0" w:color="auto"/>
        <w:right w:val="none" w:sz="0" w:space="0" w:color="auto"/>
      </w:divBdr>
    </w:div>
    <w:div w:id="1979141917">
      <w:bodyDiv w:val="1"/>
      <w:marLeft w:val="0"/>
      <w:marRight w:val="0"/>
      <w:marTop w:val="0"/>
      <w:marBottom w:val="0"/>
      <w:divBdr>
        <w:top w:val="none" w:sz="0" w:space="0" w:color="auto"/>
        <w:left w:val="none" w:sz="0" w:space="0" w:color="auto"/>
        <w:bottom w:val="none" w:sz="0" w:space="0" w:color="auto"/>
        <w:right w:val="none" w:sz="0" w:space="0" w:color="auto"/>
      </w:divBdr>
    </w:div>
    <w:div w:id="2017146499">
      <w:bodyDiv w:val="1"/>
      <w:marLeft w:val="0"/>
      <w:marRight w:val="0"/>
      <w:marTop w:val="0"/>
      <w:marBottom w:val="0"/>
      <w:divBdr>
        <w:top w:val="none" w:sz="0" w:space="0" w:color="auto"/>
        <w:left w:val="none" w:sz="0" w:space="0" w:color="auto"/>
        <w:bottom w:val="none" w:sz="0" w:space="0" w:color="auto"/>
        <w:right w:val="none" w:sz="0" w:space="0" w:color="auto"/>
      </w:divBdr>
    </w:div>
    <w:div w:id="2044094948">
      <w:bodyDiv w:val="1"/>
      <w:marLeft w:val="0"/>
      <w:marRight w:val="0"/>
      <w:marTop w:val="0"/>
      <w:marBottom w:val="0"/>
      <w:divBdr>
        <w:top w:val="none" w:sz="0" w:space="0" w:color="auto"/>
        <w:left w:val="none" w:sz="0" w:space="0" w:color="auto"/>
        <w:bottom w:val="none" w:sz="0" w:space="0" w:color="auto"/>
        <w:right w:val="none" w:sz="0" w:space="0" w:color="auto"/>
      </w:divBdr>
    </w:div>
    <w:div w:id="2048793809">
      <w:bodyDiv w:val="1"/>
      <w:marLeft w:val="0"/>
      <w:marRight w:val="0"/>
      <w:marTop w:val="0"/>
      <w:marBottom w:val="0"/>
      <w:divBdr>
        <w:top w:val="none" w:sz="0" w:space="0" w:color="auto"/>
        <w:left w:val="none" w:sz="0" w:space="0" w:color="auto"/>
        <w:bottom w:val="none" w:sz="0" w:space="0" w:color="auto"/>
        <w:right w:val="none" w:sz="0" w:space="0" w:color="auto"/>
      </w:divBdr>
    </w:div>
    <w:div w:id="2058507792">
      <w:bodyDiv w:val="1"/>
      <w:marLeft w:val="0"/>
      <w:marRight w:val="0"/>
      <w:marTop w:val="0"/>
      <w:marBottom w:val="0"/>
      <w:divBdr>
        <w:top w:val="none" w:sz="0" w:space="0" w:color="auto"/>
        <w:left w:val="none" w:sz="0" w:space="0" w:color="auto"/>
        <w:bottom w:val="none" w:sz="0" w:space="0" w:color="auto"/>
        <w:right w:val="none" w:sz="0" w:space="0" w:color="auto"/>
      </w:divBdr>
    </w:div>
    <w:div w:id="2081126765">
      <w:bodyDiv w:val="1"/>
      <w:marLeft w:val="0"/>
      <w:marRight w:val="0"/>
      <w:marTop w:val="0"/>
      <w:marBottom w:val="0"/>
      <w:divBdr>
        <w:top w:val="none" w:sz="0" w:space="0" w:color="auto"/>
        <w:left w:val="none" w:sz="0" w:space="0" w:color="auto"/>
        <w:bottom w:val="none" w:sz="0" w:space="0" w:color="auto"/>
        <w:right w:val="none" w:sz="0" w:space="0" w:color="auto"/>
      </w:divBdr>
      <w:divsChild>
        <w:div w:id="1913156019">
          <w:marLeft w:val="547"/>
          <w:marRight w:val="0"/>
          <w:marTop w:val="200"/>
          <w:marBottom w:val="0"/>
          <w:divBdr>
            <w:top w:val="none" w:sz="0" w:space="0" w:color="auto"/>
            <w:left w:val="none" w:sz="0" w:space="0" w:color="auto"/>
            <w:bottom w:val="none" w:sz="0" w:space="0" w:color="auto"/>
            <w:right w:val="none" w:sz="0" w:space="0" w:color="auto"/>
          </w:divBdr>
        </w:div>
      </w:divsChild>
    </w:div>
    <w:div w:id="2086687814">
      <w:bodyDiv w:val="1"/>
      <w:marLeft w:val="0"/>
      <w:marRight w:val="0"/>
      <w:marTop w:val="0"/>
      <w:marBottom w:val="0"/>
      <w:divBdr>
        <w:top w:val="none" w:sz="0" w:space="0" w:color="auto"/>
        <w:left w:val="none" w:sz="0" w:space="0" w:color="auto"/>
        <w:bottom w:val="none" w:sz="0" w:space="0" w:color="auto"/>
        <w:right w:val="none" w:sz="0" w:space="0" w:color="auto"/>
      </w:divBdr>
    </w:div>
    <w:div w:id="2100129105">
      <w:bodyDiv w:val="1"/>
      <w:marLeft w:val="0"/>
      <w:marRight w:val="0"/>
      <w:marTop w:val="0"/>
      <w:marBottom w:val="0"/>
      <w:divBdr>
        <w:top w:val="none" w:sz="0" w:space="0" w:color="auto"/>
        <w:left w:val="none" w:sz="0" w:space="0" w:color="auto"/>
        <w:bottom w:val="none" w:sz="0" w:space="0" w:color="auto"/>
        <w:right w:val="none" w:sz="0" w:space="0" w:color="auto"/>
      </w:divBdr>
    </w:div>
    <w:div w:id="2101489789">
      <w:bodyDiv w:val="1"/>
      <w:marLeft w:val="0"/>
      <w:marRight w:val="0"/>
      <w:marTop w:val="0"/>
      <w:marBottom w:val="0"/>
      <w:divBdr>
        <w:top w:val="none" w:sz="0" w:space="0" w:color="auto"/>
        <w:left w:val="none" w:sz="0" w:space="0" w:color="auto"/>
        <w:bottom w:val="none" w:sz="0" w:space="0" w:color="auto"/>
        <w:right w:val="none" w:sz="0" w:space="0" w:color="auto"/>
      </w:divBdr>
    </w:div>
    <w:div w:id="2127888873">
      <w:bodyDiv w:val="1"/>
      <w:marLeft w:val="0"/>
      <w:marRight w:val="0"/>
      <w:marTop w:val="0"/>
      <w:marBottom w:val="0"/>
      <w:divBdr>
        <w:top w:val="none" w:sz="0" w:space="0" w:color="auto"/>
        <w:left w:val="none" w:sz="0" w:space="0" w:color="auto"/>
        <w:bottom w:val="none" w:sz="0" w:space="0" w:color="auto"/>
        <w:right w:val="none" w:sz="0" w:space="0" w:color="auto"/>
      </w:divBdr>
    </w:div>
    <w:div w:id="214230816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tjv.pristupinfo.hr/"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44546A"/>
      </a:dk2>
      <a:lt2>
        <a:srgbClr val="E7E6E6"/>
      </a:lt2>
      <a:accent1>
        <a:srgbClr val="4472C4"/>
      </a:accent1>
      <a:accent2>
        <a:srgbClr val="C70001"/>
      </a:accent2>
      <a:accent3>
        <a:srgbClr val="53813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42AF3F059E274FBAF135DA25AE8CF3" ma:contentTypeVersion="3" ma:contentTypeDescription="Stvaranje novog dokumenta." ma:contentTypeScope="" ma:versionID="97eaf56c2dea17ae3b65c2ec5098894d">
  <xsd:schema xmlns:xsd="http://www.w3.org/2001/XMLSchema" xmlns:xs="http://www.w3.org/2001/XMLSchema" xmlns:p="http://schemas.microsoft.com/office/2006/metadata/properties" xmlns:ns2="431a78fd-7372-4e9a-aee6-911f45ac4b8b" targetNamespace="http://schemas.microsoft.com/office/2006/metadata/properties" ma:root="true" ma:fieldsID="26bac7ca8a149d1262df02e53af4bcbd" ns2:_="">
    <xsd:import namespace="431a78fd-7372-4e9a-aee6-911f45ac4b8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a78fd-7372-4e9a-aee6-911f45ac4b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EA902-87F0-4887-9BEB-95900D4F3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1a78fd-7372-4e9a-aee6-911f45ac4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F964E7-1B4E-4C55-9792-026BFE50BF1D}">
  <ds:schemaRefs>
    <ds:schemaRef ds:uri="http://schemas.microsoft.com/sharepoint/v3/contenttype/forms"/>
  </ds:schemaRefs>
</ds:datastoreItem>
</file>

<file path=customXml/itemProps3.xml><?xml version="1.0" encoding="utf-8"?>
<ds:datastoreItem xmlns:ds="http://schemas.openxmlformats.org/officeDocument/2006/customXml" ds:itemID="{1449DB16-6961-4E70-AA0F-28D7B8C396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A962C4-450A-4A97-86F4-EFF207043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12971</Words>
  <Characters>73941</Characters>
  <Application>Microsoft Office Word</Application>
  <DocSecurity>0</DocSecurity>
  <Lines>616</Lines>
  <Paragraphs>173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86739</CharactersWithSpaces>
  <SharedDoc>false</SharedDoc>
  <HLinks>
    <vt:vector size="582" baseType="variant">
      <vt:variant>
        <vt:i4>2687004</vt:i4>
      </vt:variant>
      <vt:variant>
        <vt:i4>468</vt:i4>
      </vt:variant>
      <vt:variant>
        <vt:i4>0</vt:i4>
      </vt:variant>
      <vt:variant>
        <vt:i4>5</vt:i4>
      </vt:variant>
      <vt:variant>
        <vt:lpwstr>http://www.iusinfo.hr/LegisRegistry/Content.aspx?SOPI=USRH2012B2753AI&amp;Doc=USTSUD_HR</vt:lpwstr>
      </vt:variant>
      <vt:variant>
        <vt:lpwstr/>
      </vt:variant>
      <vt:variant>
        <vt:i4>7340151</vt:i4>
      </vt:variant>
      <vt:variant>
        <vt:i4>465</vt:i4>
      </vt:variant>
      <vt:variant>
        <vt:i4>0</vt:i4>
      </vt:variant>
      <vt:variant>
        <vt:i4>5</vt:i4>
      </vt:variant>
      <vt:variant>
        <vt:lpwstr>http://www.pristupinfo.hr/</vt:lpwstr>
      </vt:variant>
      <vt:variant>
        <vt:lpwstr/>
      </vt:variant>
      <vt:variant>
        <vt:i4>4128806</vt:i4>
      </vt:variant>
      <vt:variant>
        <vt:i4>462</vt:i4>
      </vt:variant>
      <vt:variant>
        <vt:i4>0</vt:i4>
      </vt:variant>
      <vt:variant>
        <vt:i4>5</vt:i4>
      </vt:variant>
      <vt:variant>
        <vt:lpwstr>http://data.rijeka.hr/</vt:lpwstr>
      </vt:variant>
      <vt:variant>
        <vt:lpwstr/>
      </vt:variant>
      <vt:variant>
        <vt:i4>2293805</vt:i4>
      </vt:variant>
      <vt:variant>
        <vt:i4>459</vt:i4>
      </vt:variant>
      <vt:variant>
        <vt:i4>0</vt:i4>
      </vt:variant>
      <vt:variant>
        <vt:i4>5</vt:i4>
      </vt:variant>
      <vt:variant>
        <vt:lpwstr>http://data.zagreb.hr/</vt:lpwstr>
      </vt:variant>
      <vt:variant>
        <vt:lpwstr/>
      </vt:variant>
      <vt:variant>
        <vt:i4>4653133</vt:i4>
      </vt:variant>
      <vt:variant>
        <vt:i4>456</vt:i4>
      </vt:variant>
      <vt:variant>
        <vt:i4>0</vt:i4>
      </vt:variant>
      <vt:variant>
        <vt:i4>5</vt:i4>
      </vt:variant>
      <vt:variant>
        <vt:lpwstr>https://data.gov.hr/</vt:lpwstr>
      </vt:variant>
      <vt:variant>
        <vt:lpwstr/>
      </vt:variant>
      <vt:variant>
        <vt:i4>7995440</vt:i4>
      </vt:variant>
      <vt:variant>
        <vt:i4>453</vt:i4>
      </vt:variant>
      <vt:variant>
        <vt:i4>0</vt:i4>
      </vt:variant>
      <vt:variant>
        <vt:i4>5</vt:i4>
      </vt:variant>
      <vt:variant>
        <vt:lpwstr>https://www.europeandataportal.eu/en/dashboard</vt:lpwstr>
      </vt:variant>
      <vt:variant>
        <vt:lpwstr/>
      </vt:variant>
      <vt:variant>
        <vt:i4>3276849</vt:i4>
      </vt:variant>
      <vt:variant>
        <vt:i4>450</vt:i4>
      </vt:variant>
      <vt:variant>
        <vt:i4>0</vt:i4>
      </vt:variant>
      <vt:variant>
        <vt:i4>5</vt:i4>
      </vt:variant>
      <vt:variant>
        <vt:lpwstr>http://imamopravoznati.org/</vt:lpwstr>
      </vt:variant>
      <vt:variant>
        <vt:lpwstr/>
      </vt:variant>
      <vt:variant>
        <vt:i4>4653147</vt:i4>
      </vt:variant>
      <vt:variant>
        <vt:i4>447</vt:i4>
      </vt:variant>
      <vt:variant>
        <vt:i4>0</vt:i4>
      </vt:variant>
      <vt:variant>
        <vt:i4>5</vt:i4>
      </vt:variant>
      <vt:variant>
        <vt:lpwstr>http://tom.pristupinfo.hr/pregledfilter1.php</vt:lpwstr>
      </vt:variant>
      <vt:variant>
        <vt:lpwstr/>
      </vt:variant>
      <vt:variant>
        <vt:i4>7340151</vt:i4>
      </vt:variant>
      <vt:variant>
        <vt:i4>444</vt:i4>
      </vt:variant>
      <vt:variant>
        <vt:i4>0</vt:i4>
      </vt:variant>
      <vt:variant>
        <vt:i4>5</vt:i4>
      </vt:variant>
      <vt:variant>
        <vt:lpwstr>http://www.pristupinfo.hr/</vt:lpwstr>
      </vt:variant>
      <vt:variant>
        <vt:lpwstr/>
      </vt:variant>
      <vt:variant>
        <vt:i4>7340151</vt:i4>
      </vt:variant>
      <vt:variant>
        <vt:i4>441</vt:i4>
      </vt:variant>
      <vt:variant>
        <vt:i4>0</vt:i4>
      </vt:variant>
      <vt:variant>
        <vt:i4>5</vt:i4>
      </vt:variant>
      <vt:variant>
        <vt:lpwstr>http://www.pristupinfo.hr/</vt:lpwstr>
      </vt:variant>
      <vt:variant>
        <vt:lpwstr/>
      </vt:variant>
      <vt:variant>
        <vt:i4>7340151</vt:i4>
      </vt:variant>
      <vt:variant>
        <vt:i4>438</vt:i4>
      </vt:variant>
      <vt:variant>
        <vt:i4>0</vt:i4>
      </vt:variant>
      <vt:variant>
        <vt:i4>5</vt:i4>
      </vt:variant>
      <vt:variant>
        <vt:lpwstr>http://www.pristupinfo.hr/</vt:lpwstr>
      </vt:variant>
      <vt:variant>
        <vt:lpwstr/>
      </vt:variant>
      <vt:variant>
        <vt:i4>4194311</vt:i4>
      </vt:variant>
      <vt:variant>
        <vt:i4>435</vt:i4>
      </vt:variant>
      <vt:variant>
        <vt:i4>0</vt:i4>
      </vt:variant>
      <vt:variant>
        <vt:i4>5</vt:i4>
      </vt:variant>
      <vt:variant>
        <vt:lpwstr>http://www.pristupinfo.hr/promo/</vt:lpwstr>
      </vt:variant>
      <vt:variant>
        <vt:lpwstr/>
      </vt:variant>
      <vt:variant>
        <vt:i4>6553639</vt:i4>
      </vt:variant>
      <vt:variant>
        <vt:i4>432</vt:i4>
      </vt:variant>
      <vt:variant>
        <vt:i4>0</vt:i4>
      </vt:variant>
      <vt:variant>
        <vt:i4>5</vt:i4>
      </vt:variant>
      <vt:variant>
        <vt:lpwstr>https://sudreg.pravosudje.hr/registar/</vt:lpwstr>
      </vt:variant>
      <vt:variant>
        <vt:lpwstr/>
      </vt:variant>
      <vt:variant>
        <vt:i4>2621451</vt:i4>
      </vt:variant>
      <vt:variant>
        <vt:i4>429</vt:i4>
      </vt:variant>
      <vt:variant>
        <vt:i4>0</vt:i4>
      </vt:variant>
      <vt:variant>
        <vt:i4>5</vt:i4>
      </vt:variant>
      <vt:variant>
        <vt:lpwstr>http://arhinet.arhiv.hr/_Pages/DigitalniArhiv.aspx</vt:lpwstr>
      </vt:variant>
      <vt:variant>
        <vt:lpwstr/>
      </vt:variant>
      <vt:variant>
        <vt:i4>1638486</vt:i4>
      </vt:variant>
      <vt:variant>
        <vt:i4>426</vt:i4>
      </vt:variant>
      <vt:variant>
        <vt:i4>0</vt:i4>
      </vt:variant>
      <vt:variant>
        <vt:i4>5</vt:i4>
      </vt:variant>
      <vt:variant>
        <vt:lpwstr>http://www.europeana.eu/portal/hr</vt:lpwstr>
      </vt:variant>
      <vt:variant>
        <vt:lpwstr/>
      </vt:variant>
      <vt:variant>
        <vt:i4>4391005</vt:i4>
      </vt:variant>
      <vt:variant>
        <vt:i4>423</vt:i4>
      </vt:variant>
      <vt:variant>
        <vt:i4>0</vt:i4>
      </vt:variant>
      <vt:variant>
        <vt:i4>5</vt:i4>
      </vt:variant>
      <vt:variant>
        <vt:lpwstr>http://www.min-kulture.hr/userdocsimages/Programi 2017/Odobreni programi digitalizacija 2017.pdf</vt:lpwstr>
      </vt:variant>
      <vt:variant>
        <vt:lpwstr/>
      </vt:variant>
      <vt:variant>
        <vt:i4>5046278</vt:i4>
      </vt:variant>
      <vt:variant>
        <vt:i4>420</vt:i4>
      </vt:variant>
      <vt:variant>
        <vt:i4>0</vt:i4>
      </vt:variant>
      <vt:variant>
        <vt:i4>5</vt:i4>
      </vt:variant>
      <vt:variant>
        <vt:lpwstr>http://www.min-kulture.hr/userdocsimages/Odobreni programi 2016/Odobreni programi digitalizacija - stanje 31.12.2016..pdf</vt:lpwstr>
      </vt:variant>
      <vt:variant>
        <vt:lpwstr/>
      </vt:variant>
      <vt:variant>
        <vt:i4>1638486</vt:i4>
      </vt:variant>
      <vt:variant>
        <vt:i4>417</vt:i4>
      </vt:variant>
      <vt:variant>
        <vt:i4>0</vt:i4>
      </vt:variant>
      <vt:variant>
        <vt:i4>5</vt:i4>
      </vt:variant>
      <vt:variant>
        <vt:lpwstr>http://www.europeana.eu/portal/hr</vt:lpwstr>
      </vt:variant>
      <vt:variant>
        <vt:lpwstr/>
      </vt:variant>
      <vt:variant>
        <vt:i4>3866634</vt:i4>
      </vt:variant>
      <vt:variant>
        <vt:i4>414</vt:i4>
      </vt:variant>
      <vt:variant>
        <vt:i4>0</vt:i4>
      </vt:variant>
      <vt:variant>
        <vt:i4>5</vt:i4>
      </vt:variant>
      <vt:variant>
        <vt:lpwstr>http://hrvzz.hr/otvoreni_proracun/</vt:lpwstr>
      </vt:variant>
      <vt:variant>
        <vt:lpwstr/>
      </vt:variant>
      <vt:variant>
        <vt:i4>4128806</vt:i4>
      </vt:variant>
      <vt:variant>
        <vt:i4>411</vt:i4>
      </vt:variant>
      <vt:variant>
        <vt:i4>0</vt:i4>
      </vt:variant>
      <vt:variant>
        <vt:i4>5</vt:i4>
      </vt:variant>
      <vt:variant>
        <vt:lpwstr>http://data.rijeka.hr/</vt:lpwstr>
      </vt:variant>
      <vt:variant>
        <vt:lpwstr/>
      </vt:variant>
      <vt:variant>
        <vt:i4>2293805</vt:i4>
      </vt:variant>
      <vt:variant>
        <vt:i4>408</vt:i4>
      </vt:variant>
      <vt:variant>
        <vt:i4>0</vt:i4>
      </vt:variant>
      <vt:variant>
        <vt:i4>5</vt:i4>
      </vt:variant>
      <vt:variant>
        <vt:lpwstr>http://data.zagreb.hr/</vt:lpwstr>
      </vt:variant>
      <vt:variant>
        <vt:lpwstr/>
      </vt:variant>
      <vt:variant>
        <vt:i4>4653133</vt:i4>
      </vt:variant>
      <vt:variant>
        <vt:i4>405</vt:i4>
      </vt:variant>
      <vt:variant>
        <vt:i4>0</vt:i4>
      </vt:variant>
      <vt:variant>
        <vt:i4>5</vt:i4>
      </vt:variant>
      <vt:variant>
        <vt:lpwstr>https://data.gov.hr/</vt:lpwstr>
      </vt:variant>
      <vt:variant>
        <vt:lpwstr/>
      </vt:variant>
      <vt:variant>
        <vt:i4>7995440</vt:i4>
      </vt:variant>
      <vt:variant>
        <vt:i4>402</vt:i4>
      </vt:variant>
      <vt:variant>
        <vt:i4>0</vt:i4>
      </vt:variant>
      <vt:variant>
        <vt:i4>5</vt:i4>
      </vt:variant>
      <vt:variant>
        <vt:lpwstr>https://www.europeandataportal.eu/en/dashboard</vt:lpwstr>
      </vt:variant>
      <vt:variant>
        <vt:lpwstr/>
      </vt:variant>
      <vt:variant>
        <vt:i4>6553710</vt:i4>
      </vt:variant>
      <vt:variant>
        <vt:i4>399</vt:i4>
      </vt:variant>
      <vt:variant>
        <vt:i4>0</vt:i4>
      </vt:variant>
      <vt:variant>
        <vt:i4>5</vt:i4>
      </vt:variant>
      <vt:variant>
        <vt:lpwstr>https://www.europeandataportal.eu/</vt:lpwstr>
      </vt:variant>
      <vt:variant>
        <vt:lpwstr/>
      </vt:variant>
      <vt:variant>
        <vt:i4>4653133</vt:i4>
      </vt:variant>
      <vt:variant>
        <vt:i4>396</vt:i4>
      </vt:variant>
      <vt:variant>
        <vt:i4>0</vt:i4>
      </vt:variant>
      <vt:variant>
        <vt:i4>5</vt:i4>
      </vt:variant>
      <vt:variant>
        <vt:lpwstr>https://data.gov.hr/</vt:lpwstr>
      </vt:variant>
      <vt:variant>
        <vt:lpwstr/>
      </vt:variant>
      <vt:variant>
        <vt:i4>7929911</vt:i4>
      </vt:variant>
      <vt:variant>
        <vt:i4>393</vt:i4>
      </vt:variant>
      <vt:variant>
        <vt:i4>0</vt:i4>
      </vt:variant>
      <vt:variant>
        <vt:i4>5</vt:i4>
      </vt:variant>
      <vt:variant>
        <vt:lpwstr>http://www.vojko-obersnel.com/hr/proracunaj-me/2017</vt:lpwstr>
      </vt:variant>
      <vt:variant>
        <vt:lpwstr/>
      </vt:variant>
      <vt:variant>
        <vt:i4>524378</vt:i4>
      </vt:variant>
      <vt:variant>
        <vt:i4>390</vt:i4>
      </vt:variant>
      <vt:variant>
        <vt:i4>0</vt:i4>
      </vt:variant>
      <vt:variant>
        <vt:i4>5</vt:i4>
      </vt:variant>
      <vt:variant>
        <vt:lpwstr>https://esavjetovanja.gov.hr/</vt:lpwstr>
      </vt:variant>
      <vt:variant>
        <vt:lpwstr/>
      </vt:variant>
      <vt:variant>
        <vt:i4>3211367</vt:i4>
      </vt:variant>
      <vt:variant>
        <vt:i4>387</vt:i4>
      </vt:variant>
      <vt:variant>
        <vt:i4>0</vt:i4>
      </vt:variant>
      <vt:variant>
        <vt:i4>5</vt:i4>
      </vt:variant>
      <vt:variant>
        <vt:lpwstr>http://aarhus.zelena-istra.hr/node/193</vt:lpwstr>
      </vt:variant>
      <vt:variant>
        <vt:lpwstr/>
      </vt:variant>
      <vt:variant>
        <vt:i4>524290</vt:i4>
      </vt:variant>
      <vt:variant>
        <vt:i4>384</vt:i4>
      </vt:variant>
      <vt:variant>
        <vt:i4>0</vt:i4>
      </vt:variant>
      <vt:variant>
        <vt:i4>5</vt:i4>
      </vt:variant>
      <vt:variant>
        <vt:lpwstr>http://www.mzoip.hr/doc/iv_nacionalno_izvjesce_o_provedbi_aarhuske_konvencije.pdf</vt:lpwstr>
      </vt:variant>
      <vt:variant>
        <vt:lpwstr/>
      </vt:variant>
      <vt:variant>
        <vt:i4>4653147</vt:i4>
      </vt:variant>
      <vt:variant>
        <vt:i4>381</vt:i4>
      </vt:variant>
      <vt:variant>
        <vt:i4>0</vt:i4>
      </vt:variant>
      <vt:variant>
        <vt:i4>5</vt:i4>
      </vt:variant>
      <vt:variant>
        <vt:lpwstr>http://tom.pristupinfo.hr/pregledfilter1.php</vt:lpwstr>
      </vt:variant>
      <vt:variant>
        <vt:lpwstr/>
      </vt:variant>
      <vt:variant>
        <vt:i4>7340151</vt:i4>
      </vt:variant>
      <vt:variant>
        <vt:i4>378</vt:i4>
      </vt:variant>
      <vt:variant>
        <vt:i4>0</vt:i4>
      </vt:variant>
      <vt:variant>
        <vt:i4>5</vt:i4>
      </vt:variant>
      <vt:variant>
        <vt:lpwstr>http://www.pristupinfo.hr/</vt:lpwstr>
      </vt:variant>
      <vt:variant>
        <vt:lpwstr/>
      </vt:variant>
      <vt:variant>
        <vt:i4>1769472</vt:i4>
      </vt:variant>
      <vt:variant>
        <vt:i4>375</vt:i4>
      </vt:variant>
      <vt:variant>
        <vt:i4>0</vt:i4>
      </vt:variant>
      <vt:variant>
        <vt:i4>5</vt:i4>
      </vt:variant>
      <vt:variant>
        <vt:lpwstr>http://eur-lex.europa.eu/legal-content/HR/TXT/HTML/?uri=CELEX:32016L2102&amp;from=EN</vt:lpwstr>
      </vt:variant>
      <vt:variant>
        <vt:lpwstr/>
      </vt:variant>
      <vt:variant>
        <vt:i4>7340151</vt:i4>
      </vt:variant>
      <vt:variant>
        <vt:i4>372</vt:i4>
      </vt:variant>
      <vt:variant>
        <vt:i4>0</vt:i4>
      </vt:variant>
      <vt:variant>
        <vt:i4>5</vt:i4>
      </vt:variant>
      <vt:variant>
        <vt:lpwstr>http://www.pristupinfo.hr/</vt:lpwstr>
      </vt:variant>
      <vt:variant>
        <vt:lpwstr/>
      </vt:variant>
      <vt:variant>
        <vt:i4>7929973</vt:i4>
      </vt:variant>
      <vt:variant>
        <vt:i4>369</vt:i4>
      </vt:variant>
      <vt:variant>
        <vt:i4>0</vt:i4>
      </vt:variant>
      <vt:variant>
        <vt:i4>5</vt:i4>
      </vt:variant>
      <vt:variant>
        <vt:lpwstr>http://www.digured.hr/</vt:lpwstr>
      </vt:variant>
      <vt:variant>
        <vt:lpwstr/>
      </vt:variant>
      <vt:variant>
        <vt:i4>4259951</vt:i4>
      </vt:variant>
      <vt:variant>
        <vt:i4>366</vt:i4>
      </vt:variant>
      <vt:variant>
        <vt:i4>0</vt:i4>
      </vt:variant>
      <vt:variant>
        <vt:i4>5</vt:i4>
      </vt:variant>
      <vt:variant>
        <vt:lpwstr>http://www.ijf.hr/transparentnost/?params_1=transparentnost</vt:lpwstr>
      </vt:variant>
      <vt:variant>
        <vt:lpwstr/>
      </vt:variant>
      <vt:variant>
        <vt:i4>7733306</vt:i4>
      </vt:variant>
      <vt:variant>
        <vt:i4>363</vt:i4>
      </vt:variant>
      <vt:variant>
        <vt:i4>0</vt:i4>
      </vt:variant>
      <vt:variant>
        <vt:i4>5</vt:i4>
      </vt:variant>
      <vt:variant>
        <vt:lpwstr>https://udruge.gov.hr/UserDocsImages/dokumenti/Akcijski plan-POV-8-7-2014-final.pdf</vt:lpwstr>
      </vt:variant>
      <vt:variant>
        <vt:lpwstr/>
      </vt:variant>
      <vt:variant>
        <vt:i4>7471155</vt:i4>
      </vt:variant>
      <vt:variant>
        <vt:i4>360</vt:i4>
      </vt:variant>
      <vt:variant>
        <vt:i4>0</vt:i4>
      </vt:variant>
      <vt:variant>
        <vt:i4>5</vt:i4>
      </vt:variant>
      <vt:variant>
        <vt:lpwstr>http://www.tjv.pristupinfo.hr/</vt:lpwstr>
      </vt:variant>
      <vt:variant>
        <vt:lpwstr/>
      </vt:variant>
      <vt:variant>
        <vt:i4>3866751</vt:i4>
      </vt:variant>
      <vt:variant>
        <vt:i4>357</vt:i4>
      </vt:variant>
      <vt:variant>
        <vt:i4>0</vt:i4>
      </vt:variant>
      <vt:variant>
        <vt:i4>5</vt:i4>
      </vt:variant>
      <vt:variant>
        <vt:lpwstr>http://izvjesca.pristupinfo.hr/</vt:lpwstr>
      </vt:variant>
      <vt:variant>
        <vt:lpwstr/>
      </vt:variant>
      <vt:variant>
        <vt:i4>7340151</vt:i4>
      </vt:variant>
      <vt:variant>
        <vt:i4>354</vt:i4>
      </vt:variant>
      <vt:variant>
        <vt:i4>0</vt:i4>
      </vt:variant>
      <vt:variant>
        <vt:i4>5</vt:i4>
      </vt:variant>
      <vt:variant>
        <vt:lpwstr>http://www.pristupinfo.hr/</vt:lpwstr>
      </vt:variant>
      <vt:variant>
        <vt:lpwstr/>
      </vt:variant>
      <vt:variant>
        <vt:i4>1376315</vt:i4>
      </vt:variant>
      <vt:variant>
        <vt:i4>344</vt:i4>
      </vt:variant>
      <vt:variant>
        <vt:i4>0</vt:i4>
      </vt:variant>
      <vt:variant>
        <vt:i4>5</vt:i4>
      </vt:variant>
      <vt:variant>
        <vt:lpwstr/>
      </vt:variant>
      <vt:variant>
        <vt:lpwstr>_Toc480268907</vt:lpwstr>
      </vt:variant>
      <vt:variant>
        <vt:i4>1376315</vt:i4>
      </vt:variant>
      <vt:variant>
        <vt:i4>338</vt:i4>
      </vt:variant>
      <vt:variant>
        <vt:i4>0</vt:i4>
      </vt:variant>
      <vt:variant>
        <vt:i4>5</vt:i4>
      </vt:variant>
      <vt:variant>
        <vt:lpwstr/>
      </vt:variant>
      <vt:variant>
        <vt:lpwstr>_Toc480268906</vt:lpwstr>
      </vt:variant>
      <vt:variant>
        <vt:i4>1376315</vt:i4>
      </vt:variant>
      <vt:variant>
        <vt:i4>332</vt:i4>
      </vt:variant>
      <vt:variant>
        <vt:i4>0</vt:i4>
      </vt:variant>
      <vt:variant>
        <vt:i4>5</vt:i4>
      </vt:variant>
      <vt:variant>
        <vt:lpwstr/>
      </vt:variant>
      <vt:variant>
        <vt:lpwstr>_Toc480268905</vt:lpwstr>
      </vt:variant>
      <vt:variant>
        <vt:i4>1376315</vt:i4>
      </vt:variant>
      <vt:variant>
        <vt:i4>326</vt:i4>
      </vt:variant>
      <vt:variant>
        <vt:i4>0</vt:i4>
      </vt:variant>
      <vt:variant>
        <vt:i4>5</vt:i4>
      </vt:variant>
      <vt:variant>
        <vt:lpwstr/>
      </vt:variant>
      <vt:variant>
        <vt:lpwstr>_Toc480268904</vt:lpwstr>
      </vt:variant>
      <vt:variant>
        <vt:i4>1376315</vt:i4>
      </vt:variant>
      <vt:variant>
        <vt:i4>320</vt:i4>
      </vt:variant>
      <vt:variant>
        <vt:i4>0</vt:i4>
      </vt:variant>
      <vt:variant>
        <vt:i4>5</vt:i4>
      </vt:variant>
      <vt:variant>
        <vt:lpwstr/>
      </vt:variant>
      <vt:variant>
        <vt:lpwstr>_Toc480268903</vt:lpwstr>
      </vt:variant>
      <vt:variant>
        <vt:i4>1376315</vt:i4>
      </vt:variant>
      <vt:variant>
        <vt:i4>314</vt:i4>
      </vt:variant>
      <vt:variant>
        <vt:i4>0</vt:i4>
      </vt:variant>
      <vt:variant>
        <vt:i4>5</vt:i4>
      </vt:variant>
      <vt:variant>
        <vt:lpwstr/>
      </vt:variant>
      <vt:variant>
        <vt:lpwstr>_Toc480268902</vt:lpwstr>
      </vt:variant>
      <vt:variant>
        <vt:i4>1376315</vt:i4>
      </vt:variant>
      <vt:variant>
        <vt:i4>308</vt:i4>
      </vt:variant>
      <vt:variant>
        <vt:i4>0</vt:i4>
      </vt:variant>
      <vt:variant>
        <vt:i4>5</vt:i4>
      </vt:variant>
      <vt:variant>
        <vt:lpwstr/>
      </vt:variant>
      <vt:variant>
        <vt:lpwstr>_Toc480268901</vt:lpwstr>
      </vt:variant>
      <vt:variant>
        <vt:i4>1376315</vt:i4>
      </vt:variant>
      <vt:variant>
        <vt:i4>302</vt:i4>
      </vt:variant>
      <vt:variant>
        <vt:i4>0</vt:i4>
      </vt:variant>
      <vt:variant>
        <vt:i4>5</vt:i4>
      </vt:variant>
      <vt:variant>
        <vt:lpwstr/>
      </vt:variant>
      <vt:variant>
        <vt:lpwstr>_Toc480268900</vt:lpwstr>
      </vt:variant>
      <vt:variant>
        <vt:i4>1835066</vt:i4>
      </vt:variant>
      <vt:variant>
        <vt:i4>296</vt:i4>
      </vt:variant>
      <vt:variant>
        <vt:i4>0</vt:i4>
      </vt:variant>
      <vt:variant>
        <vt:i4>5</vt:i4>
      </vt:variant>
      <vt:variant>
        <vt:lpwstr/>
      </vt:variant>
      <vt:variant>
        <vt:lpwstr>_Toc480268899</vt:lpwstr>
      </vt:variant>
      <vt:variant>
        <vt:i4>1835066</vt:i4>
      </vt:variant>
      <vt:variant>
        <vt:i4>290</vt:i4>
      </vt:variant>
      <vt:variant>
        <vt:i4>0</vt:i4>
      </vt:variant>
      <vt:variant>
        <vt:i4>5</vt:i4>
      </vt:variant>
      <vt:variant>
        <vt:lpwstr/>
      </vt:variant>
      <vt:variant>
        <vt:lpwstr>_Toc480268898</vt:lpwstr>
      </vt:variant>
      <vt:variant>
        <vt:i4>1835066</vt:i4>
      </vt:variant>
      <vt:variant>
        <vt:i4>284</vt:i4>
      </vt:variant>
      <vt:variant>
        <vt:i4>0</vt:i4>
      </vt:variant>
      <vt:variant>
        <vt:i4>5</vt:i4>
      </vt:variant>
      <vt:variant>
        <vt:lpwstr/>
      </vt:variant>
      <vt:variant>
        <vt:lpwstr>_Toc480268897</vt:lpwstr>
      </vt:variant>
      <vt:variant>
        <vt:i4>1835066</vt:i4>
      </vt:variant>
      <vt:variant>
        <vt:i4>278</vt:i4>
      </vt:variant>
      <vt:variant>
        <vt:i4>0</vt:i4>
      </vt:variant>
      <vt:variant>
        <vt:i4>5</vt:i4>
      </vt:variant>
      <vt:variant>
        <vt:lpwstr/>
      </vt:variant>
      <vt:variant>
        <vt:lpwstr>_Toc480268896</vt:lpwstr>
      </vt:variant>
      <vt:variant>
        <vt:i4>1835066</vt:i4>
      </vt:variant>
      <vt:variant>
        <vt:i4>272</vt:i4>
      </vt:variant>
      <vt:variant>
        <vt:i4>0</vt:i4>
      </vt:variant>
      <vt:variant>
        <vt:i4>5</vt:i4>
      </vt:variant>
      <vt:variant>
        <vt:lpwstr/>
      </vt:variant>
      <vt:variant>
        <vt:lpwstr>_Toc480268895</vt:lpwstr>
      </vt:variant>
      <vt:variant>
        <vt:i4>1835066</vt:i4>
      </vt:variant>
      <vt:variant>
        <vt:i4>266</vt:i4>
      </vt:variant>
      <vt:variant>
        <vt:i4>0</vt:i4>
      </vt:variant>
      <vt:variant>
        <vt:i4>5</vt:i4>
      </vt:variant>
      <vt:variant>
        <vt:lpwstr/>
      </vt:variant>
      <vt:variant>
        <vt:lpwstr>_Toc480268894</vt:lpwstr>
      </vt:variant>
      <vt:variant>
        <vt:i4>1835066</vt:i4>
      </vt:variant>
      <vt:variant>
        <vt:i4>260</vt:i4>
      </vt:variant>
      <vt:variant>
        <vt:i4>0</vt:i4>
      </vt:variant>
      <vt:variant>
        <vt:i4>5</vt:i4>
      </vt:variant>
      <vt:variant>
        <vt:lpwstr/>
      </vt:variant>
      <vt:variant>
        <vt:lpwstr>_Toc480268893</vt:lpwstr>
      </vt:variant>
      <vt:variant>
        <vt:i4>1835066</vt:i4>
      </vt:variant>
      <vt:variant>
        <vt:i4>254</vt:i4>
      </vt:variant>
      <vt:variant>
        <vt:i4>0</vt:i4>
      </vt:variant>
      <vt:variant>
        <vt:i4>5</vt:i4>
      </vt:variant>
      <vt:variant>
        <vt:lpwstr/>
      </vt:variant>
      <vt:variant>
        <vt:lpwstr>_Toc480268892</vt:lpwstr>
      </vt:variant>
      <vt:variant>
        <vt:i4>1835066</vt:i4>
      </vt:variant>
      <vt:variant>
        <vt:i4>248</vt:i4>
      </vt:variant>
      <vt:variant>
        <vt:i4>0</vt:i4>
      </vt:variant>
      <vt:variant>
        <vt:i4>5</vt:i4>
      </vt:variant>
      <vt:variant>
        <vt:lpwstr/>
      </vt:variant>
      <vt:variant>
        <vt:lpwstr>_Toc480268891</vt:lpwstr>
      </vt:variant>
      <vt:variant>
        <vt:i4>1835066</vt:i4>
      </vt:variant>
      <vt:variant>
        <vt:i4>242</vt:i4>
      </vt:variant>
      <vt:variant>
        <vt:i4>0</vt:i4>
      </vt:variant>
      <vt:variant>
        <vt:i4>5</vt:i4>
      </vt:variant>
      <vt:variant>
        <vt:lpwstr/>
      </vt:variant>
      <vt:variant>
        <vt:lpwstr>_Toc480268890</vt:lpwstr>
      </vt:variant>
      <vt:variant>
        <vt:i4>1900602</vt:i4>
      </vt:variant>
      <vt:variant>
        <vt:i4>236</vt:i4>
      </vt:variant>
      <vt:variant>
        <vt:i4>0</vt:i4>
      </vt:variant>
      <vt:variant>
        <vt:i4>5</vt:i4>
      </vt:variant>
      <vt:variant>
        <vt:lpwstr/>
      </vt:variant>
      <vt:variant>
        <vt:lpwstr>_Toc480268889</vt:lpwstr>
      </vt:variant>
      <vt:variant>
        <vt:i4>1900602</vt:i4>
      </vt:variant>
      <vt:variant>
        <vt:i4>230</vt:i4>
      </vt:variant>
      <vt:variant>
        <vt:i4>0</vt:i4>
      </vt:variant>
      <vt:variant>
        <vt:i4>5</vt:i4>
      </vt:variant>
      <vt:variant>
        <vt:lpwstr/>
      </vt:variant>
      <vt:variant>
        <vt:lpwstr>_Toc480268888</vt:lpwstr>
      </vt:variant>
      <vt:variant>
        <vt:i4>1900602</vt:i4>
      </vt:variant>
      <vt:variant>
        <vt:i4>224</vt:i4>
      </vt:variant>
      <vt:variant>
        <vt:i4>0</vt:i4>
      </vt:variant>
      <vt:variant>
        <vt:i4>5</vt:i4>
      </vt:variant>
      <vt:variant>
        <vt:lpwstr/>
      </vt:variant>
      <vt:variant>
        <vt:lpwstr>_Toc480268887</vt:lpwstr>
      </vt:variant>
      <vt:variant>
        <vt:i4>1900602</vt:i4>
      </vt:variant>
      <vt:variant>
        <vt:i4>218</vt:i4>
      </vt:variant>
      <vt:variant>
        <vt:i4>0</vt:i4>
      </vt:variant>
      <vt:variant>
        <vt:i4>5</vt:i4>
      </vt:variant>
      <vt:variant>
        <vt:lpwstr/>
      </vt:variant>
      <vt:variant>
        <vt:lpwstr>_Toc480268886</vt:lpwstr>
      </vt:variant>
      <vt:variant>
        <vt:i4>1900602</vt:i4>
      </vt:variant>
      <vt:variant>
        <vt:i4>212</vt:i4>
      </vt:variant>
      <vt:variant>
        <vt:i4>0</vt:i4>
      </vt:variant>
      <vt:variant>
        <vt:i4>5</vt:i4>
      </vt:variant>
      <vt:variant>
        <vt:lpwstr/>
      </vt:variant>
      <vt:variant>
        <vt:lpwstr>_Toc480268885</vt:lpwstr>
      </vt:variant>
      <vt:variant>
        <vt:i4>1900602</vt:i4>
      </vt:variant>
      <vt:variant>
        <vt:i4>206</vt:i4>
      </vt:variant>
      <vt:variant>
        <vt:i4>0</vt:i4>
      </vt:variant>
      <vt:variant>
        <vt:i4>5</vt:i4>
      </vt:variant>
      <vt:variant>
        <vt:lpwstr/>
      </vt:variant>
      <vt:variant>
        <vt:lpwstr>_Toc480268884</vt:lpwstr>
      </vt:variant>
      <vt:variant>
        <vt:i4>1900602</vt:i4>
      </vt:variant>
      <vt:variant>
        <vt:i4>200</vt:i4>
      </vt:variant>
      <vt:variant>
        <vt:i4>0</vt:i4>
      </vt:variant>
      <vt:variant>
        <vt:i4>5</vt:i4>
      </vt:variant>
      <vt:variant>
        <vt:lpwstr/>
      </vt:variant>
      <vt:variant>
        <vt:lpwstr>_Toc480268883</vt:lpwstr>
      </vt:variant>
      <vt:variant>
        <vt:i4>1900602</vt:i4>
      </vt:variant>
      <vt:variant>
        <vt:i4>194</vt:i4>
      </vt:variant>
      <vt:variant>
        <vt:i4>0</vt:i4>
      </vt:variant>
      <vt:variant>
        <vt:i4>5</vt:i4>
      </vt:variant>
      <vt:variant>
        <vt:lpwstr/>
      </vt:variant>
      <vt:variant>
        <vt:lpwstr>_Toc480268882</vt:lpwstr>
      </vt:variant>
      <vt:variant>
        <vt:i4>1900602</vt:i4>
      </vt:variant>
      <vt:variant>
        <vt:i4>188</vt:i4>
      </vt:variant>
      <vt:variant>
        <vt:i4>0</vt:i4>
      </vt:variant>
      <vt:variant>
        <vt:i4>5</vt:i4>
      </vt:variant>
      <vt:variant>
        <vt:lpwstr/>
      </vt:variant>
      <vt:variant>
        <vt:lpwstr>_Toc480268881</vt:lpwstr>
      </vt:variant>
      <vt:variant>
        <vt:i4>1900602</vt:i4>
      </vt:variant>
      <vt:variant>
        <vt:i4>182</vt:i4>
      </vt:variant>
      <vt:variant>
        <vt:i4>0</vt:i4>
      </vt:variant>
      <vt:variant>
        <vt:i4>5</vt:i4>
      </vt:variant>
      <vt:variant>
        <vt:lpwstr/>
      </vt:variant>
      <vt:variant>
        <vt:lpwstr>_Toc480268880</vt:lpwstr>
      </vt:variant>
      <vt:variant>
        <vt:i4>1179706</vt:i4>
      </vt:variant>
      <vt:variant>
        <vt:i4>176</vt:i4>
      </vt:variant>
      <vt:variant>
        <vt:i4>0</vt:i4>
      </vt:variant>
      <vt:variant>
        <vt:i4>5</vt:i4>
      </vt:variant>
      <vt:variant>
        <vt:lpwstr/>
      </vt:variant>
      <vt:variant>
        <vt:lpwstr>_Toc480268879</vt:lpwstr>
      </vt:variant>
      <vt:variant>
        <vt:i4>1179706</vt:i4>
      </vt:variant>
      <vt:variant>
        <vt:i4>170</vt:i4>
      </vt:variant>
      <vt:variant>
        <vt:i4>0</vt:i4>
      </vt:variant>
      <vt:variant>
        <vt:i4>5</vt:i4>
      </vt:variant>
      <vt:variant>
        <vt:lpwstr/>
      </vt:variant>
      <vt:variant>
        <vt:lpwstr>_Toc480268878</vt:lpwstr>
      </vt:variant>
      <vt:variant>
        <vt:i4>1179706</vt:i4>
      </vt:variant>
      <vt:variant>
        <vt:i4>164</vt:i4>
      </vt:variant>
      <vt:variant>
        <vt:i4>0</vt:i4>
      </vt:variant>
      <vt:variant>
        <vt:i4>5</vt:i4>
      </vt:variant>
      <vt:variant>
        <vt:lpwstr/>
      </vt:variant>
      <vt:variant>
        <vt:lpwstr>_Toc480268877</vt:lpwstr>
      </vt:variant>
      <vt:variant>
        <vt:i4>1179706</vt:i4>
      </vt:variant>
      <vt:variant>
        <vt:i4>158</vt:i4>
      </vt:variant>
      <vt:variant>
        <vt:i4>0</vt:i4>
      </vt:variant>
      <vt:variant>
        <vt:i4>5</vt:i4>
      </vt:variant>
      <vt:variant>
        <vt:lpwstr/>
      </vt:variant>
      <vt:variant>
        <vt:lpwstr>_Toc480268876</vt:lpwstr>
      </vt:variant>
      <vt:variant>
        <vt:i4>1179706</vt:i4>
      </vt:variant>
      <vt:variant>
        <vt:i4>152</vt:i4>
      </vt:variant>
      <vt:variant>
        <vt:i4>0</vt:i4>
      </vt:variant>
      <vt:variant>
        <vt:i4>5</vt:i4>
      </vt:variant>
      <vt:variant>
        <vt:lpwstr/>
      </vt:variant>
      <vt:variant>
        <vt:lpwstr>_Toc480268875</vt:lpwstr>
      </vt:variant>
      <vt:variant>
        <vt:i4>1179706</vt:i4>
      </vt:variant>
      <vt:variant>
        <vt:i4>146</vt:i4>
      </vt:variant>
      <vt:variant>
        <vt:i4>0</vt:i4>
      </vt:variant>
      <vt:variant>
        <vt:i4>5</vt:i4>
      </vt:variant>
      <vt:variant>
        <vt:lpwstr/>
      </vt:variant>
      <vt:variant>
        <vt:lpwstr>_Toc480268874</vt:lpwstr>
      </vt:variant>
      <vt:variant>
        <vt:i4>1179706</vt:i4>
      </vt:variant>
      <vt:variant>
        <vt:i4>140</vt:i4>
      </vt:variant>
      <vt:variant>
        <vt:i4>0</vt:i4>
      </vt:variant>
      <vt:variant>
        <vt:i4>5</vt:i4>
      </vt:variant>
      <vt:variant>
        <vt:lpwstr/>
      </vt:variant>
      <vt:variant>
        <vt:lpwstr>_Toc480268873</vt:lpwstr>
      </vt:variant>
      <vt:variant>
        <vt:i4>1179706</vt:i4>
      </vt:variant>
      <vt:variant>
        <vt:i4>134</vt:i4>
      </vt:variant>
      <vt:variant>
        <vt:i4>0</vt:i4>
      </vt:variant>
      <vt:variant>
        <vt:i4>5</vt:i4>
      </vt:variant>
      <vt:variant>
        <vt:lpwstr/>
      </vt:variant>
      <vt:variant>
        <vt:lpwstr>_Toc480268872</vt:lpwstr>
      </vt:variant>
      <vt:variant>
        <vt:i4>1179706</vt:i4>
      </vt:variant>
      <vt:variant>
        <vt:i4>128</vt:i4>
      </vt:variant>
      <vt:variant>
        <vt:i4>0</vt:i4>
      </vt:variant>
      <vt:variant>
        <vt:i4>5</vt:i4>
      </vt:variant>
      <vt:variant>
        <vt:lpwstr/>
      </vt:variant>
      <vt:variant>
        <vt:lpwstr>_Toc480268871</vt:lpwstr>
      </vt:variant>
      <vt:variant>
        <vt:i4>1179706</vt:i4>
      </vt:variant>
      <vt:variant>
        <vt:i4>122</vt:i4>
      </vt:variant>
      <vt:variant>
        <vt:i4>0</vt:i4>
      </vt:variant>
      <vt:variant>
        <vt:i4>5</vt:i4>
      </vt:variant>
      <vt:variant>
        <vt:lpwstr/>
      </vt:variant>
      <vt:variant>
        <vt:lpwstr>_Toc480268870</vt:lpwstr>
      </vt:variant>
      <vt:variant>
        <vt:i4>1245242</vt:i4>
      </vt:variant>
      <vt:variant>
        <vt:i4>116</vt:i4>
      </vt:variant>
      <vt:variant>
        <vt:i4>0</vt:i4>
      </vt:variant>
      <vt:variant>
        <vt:i4>5</vt:i4>
      </vt:variant>
      <vt:variant>
        <vt:lpwstr/>
      </vt:variant>
      <vt:variant>
        <vt:lpwstr>_Toc480268869</vt:lpwstr>
      </vt:variant>
      <vt:variant>
        <vt:i4>1245242</vt:i4>
      </vt:variant>
      <vt:variant>
        <vt:i4>110</vt:i4>
      </vt:variant>
      <vt:variant>
        <vt:i4>0</vt:i4>
      </vt:variant>
      <vt:variant>
        <vt:i4>5</vt:i4>
      </vt:variant>
      <vt:variant>
        <vt:lpwstr/>
      </vt:variant>
      <vt:variant>
        <vt:lpwstr>_Toc480268868</vt:lpwstr>
      </vt:variant>
      <vt:variant>
        <vt:i4>1245242</vt:i4>
      </vt:variant>
      <vt:variant>
        <vt:i4>104</vt:i4>
      </vt:variant>
      <vt:variant>
        <vt:i4>0</vt:i4>
      </vt:variant>
      <vt:variant>
        <vt:i4>5</vt:i4>
      </vt:variant>
      <vt:variant>
        <vt:lpwstr/>
      </vt:variant>
      <vt:variant>
        <vt:lpwstr>_Toc480268867</vt:lpwstr>
      </vt:variant>
      <vt:variant>
        <vt:i4>1245242</vt:i4>
      </vt:variant>
      <vt:variant>
        <vt:i4>98</vt:i4>
      </vt:variant>
      <vt:variant>
        <vt:i4>0</vt:i4>
      </vt:variant>
      <vt:variant>
        <vt:i4>5</vt:i4>
      </vt:variant>
      <vt:variant>
        <vt:lpwstr/>
      </vt:variant>
      <vt:variant>
        <vt:lpwstr>_Toc480268866</vt:lpwstr>
      </vt:variant>
      <vt:variant>
        <vt:i4>1245242</vt:i4>
      </vt:variant>
      <vt:variant>
        <vt:i4>92</vt:i4>
      </vt:variant>
      <vt:variant>
        <vt:i4>0</vt:i4>
      </vt:variant>
      <vt:variant>
        <vt:i4>5</vt:i4>
      </vt:variant>
      <vt:variant>
        <vt:lpwstr/>
      </vt:variant>
      <vt:variant>
        <vt:lpwstr>_Toc480268865</vt:lpwstr>
      </vt:variant>
      <vt:variant>
        <vt:i4>1245242</vt:i4>
      </vt:variant>
      <vt:variant>
        <vt:i4>86</vt:i4>
      </vt:variant>
      <vt:variant>
        <vt:i4>0</vt:i4>
      </vt:variant>
      <vt:variant>
        <vt:i4>5</vt:i4>
      </vt:variant>
      <vt:variant>
        <vt:lpwstr/>
      </vt:variant>
      <vt:variant>
        <vt:lpwstr>_Toc480268864</vt:lpwstr>
      </vt:variant>
      <vt:variant>
        <vt:i4>1245242</vt:i4>
      </vt:variant>
      <vt:variant>
        <vt:i4>80</vt:i4>
      </vt:variant>
      <vt:variant>
        <vt:i4>0</vt:i4>
      </vt:variant>
      <vt:variant>
        <vt:i4>5</vt:i4>
      </vt:variant>
      <vt:variant>
        <vt:lpwstr/>
      </vt:variant>
      <vt:variant>
        <vt:lpwstr>_Toc480268863</vt:lpwstr>
      </vt:variant>
      <vt:variant>
        <vt:i4>1245242</vt:i4>
      </vt:variant>
      <vt:variant>
        <vt:i4>74</vt:i4>
      </vt:variant>
      <vt:variant>
        <vt:i4>0</vt:i4>
      </vt:variant>
      <vt:variant>
        <vt:i4>5</vt:i4>
      </vt:variant>
      <vt:variant>
        <vt:lpwstr/>
      </vt:variant>
      <vt:variant>
        <vt:lpwstr>_Toc480268862</vt:lpwstr>
      </vt:variant>
      <vt:variant>
        <vt:i4>1245242</vt:i4>
      </vt:variant>
      <vt:variant>
        <vt:i4>68</vt:i4>
      </vt:variant>
      <vt:variant>
        <vt:i4>0</vt:i4>
      </vt:variant>
      <vt:variant>
        <vt:i4>5</vt:i4>
      </vt:variant>
      <vt:variant>
        <vt:lpwstr/>
      </vt:variant>
      <vt:variant>
        <vt:lpwstr>_Toc480268861</vt:lpwstr>
      </vt:variant>
      <vt:variant>
        <vt:i4>1245242</vt:i4>
      </vt:variant>
      <vt:variant>
        <vt:i4>62</vt:i4>
      </vt:variant>
      <vt:variant>
        <vt:i4>0</vt:i4>
      </vt:variant>
      <vt:variant>
        <vt:i4>5</vt:i4>
      </vt:variant>
      <vt:variant>
        <vt:lpwstr/>
      </vt:variant>
      <vt:variant>
        <vt:lpwstr>_Toc480268860</vt:lpwstr>
      </vt:variant>
      <vt:variant>
        <vt:i4>1048634</vt:i4>
      </vt:variant>
      <vt:variant>
        <vt:i4>56</vt:i4>
      </vt:variant>
      <vt:variant>
        <vt:i4>0</vt:i4>
      </vt:variant>
      <vt:variant>
        <vt:i4>5</vt:i4>
      </vt:variant>
      <vt:variant>
        <vt:lpwstr/>
      </vt:variant>
      <vt:variant>
        <vt:lpwstr>_Toc480268859</vt:lpwstr>
      </vt:variant>
      <vt:variant>
        <vt:i4>1048634</vt:i4>
      </vt:variant>
      <vt:variant>
        <vt:i4>50</vt:i4>
      </vt:variant>
      <vt:variant>
        <vt:i4>0</vt:i4>
      </vt:variant>
      <vt:variant>
        <vt:i4>5</vt:i4>
      </vt:variant>
      <vt:variant>
        <vt:lpwstr/>
      </vt:variant>
      <vt:variant>
        <vt:lpwstr>_Toc480268858</vt:lpwstr>
      </vt:variant>
      <vt:variant>
        <vt:i4>1048634</vt:i4>
      </vt:variant>
      <vt:variant>
        <vt:i4>44</vt:i4>
      </vt:variant>
      <vt:variant>
        <vt:i4>0</vt:i4>
      </vt:variant>
      <vt:variant>
        <vt:i4>5</vt:i4>
      </vt:variant>
      <vt:variant>
        <vt:lpwstr/>
      </vt:variant>
      <vt:variant>
        <vt:lpwstr>_Toc480268857</vt:lpwstr>
      </vt:variant>
      <vt:variant>
        <vt:i4>1048634</vt:i4>
      </vt:variant>
      <vt:variant>
        <vt:i4>38</vt:i4>
      </vt:variant>
      <vt:variant>
        <vt:i4>0</vt:i4>
      </vt:variant>
      <vt:variant>
        <vt:i4>5</vt:i4>
      </vt:variant>
      <vt:variant>
        <vt:lpwstr/>
      </vt:variant>
      <vt:variant>
        <vt:lpwstr>_Toc480268856</vt:lpwstr>
      </vt:variant>
      <vt:variant>
        <vt:i4>1048634</vt:i4>
      </vt:variant>
      <vt:variant>
        <vt:i4>32</vt:i4>
      </vt:variant>
      <vt:variant>
        <vt:i4>0</vt:i4>
      </vt:variant>
      <vt:variant>
        <vt:i4>5</vt:i4>
      </vt:variant>
      <vt:variant>
        <vt:lpwstr/>
      </vt:variant>
      <vt:variant>
        <vt:lpwstr>_Toc480268855</vt:lpwstr>
      </vt:variant>
      <vt:variant>
        <vt:i4>1048634</vt:i4>
      </vt:variant>
      <vt:variant>
        <vt:i4>26</vt:i4>
      </vt:variant>
      <vt:variant>
        <vt:i4>0</vt:i4>
      </vt:variant>
      <vt:variant>
        <vt:i4>5</vt:i4>
      </vt:variant>
      <vt:variant>
        <vt:lpwstr/>
      </vt:variant>
      <vt:variant>
        <vt:lpwstr>_Toc480268854</vt:lpwstr>
      </vt:variant>
      <vt:variant>
        <vt:i4>1048634</vt:i4>
      </vt:variant>
      <vt:variant>
        <vt:i4>20</vt:i4>
      </vt:variant>
      <vt:variant>
        <vt:i4>0</vt:i4>
      </vt:variant>
      <vt:variant>
        <vt:i4>5</vt:i4>
      </vt:variant>
      <vt:variant>
        <vt:lpwstr/>
      </vt:variant>
      <vt:variant>
        <vt:lpwstr>_Toc480268853</vt:lpwstr>
      </vt:variant>
      <vt:variant>
        <vt:i4>1048634</vt:i4>
      </vt:variant>
      <vt:variant>
        <vt:i4>14</vt:i4>
      </vt:variant>
      <vt:variant>
        <vt:i4>0</vt:i4>
      </vt:variant>
      <vt:variant>
        <vt:i4>5</vt:i4>
      </vt:variant>
      <vt:variant>
        <vt:lpwstr/>
      </vt:variant>
      <vt:variant>
        <vt:lpwstr>_Toc480268852</vt:lpwstr>
      </vt:variant>
      <vt:variant>
        <vt:i4>1048634</vt:i4>
      </vt:variant>
      <vt:variant>
        <vt:i4>8</vt:i4>
      </vt:variant>
      <vt:variant>
        <vt:i4>0</vt:i4>
      </vt:variant>
      <vt:variant>
        <vt:i4>5</vt:i4>
      </vt:variant>
      <vt:variant>
        <vt:lpwstr/>
      </vt:variant>
      <vt:variant>
        <vt:lpwstr>_Toc480268851</vt:lpwstr>
      </vt:variant>
      <vt:variant>
        <vt:i4>1048634</vt:i4>
      </vt:variant>
      <vt:variant>
        <vt:i4>2</vt:i4>
      </vt:variant>
      <vt:variant>
        <vt:i4>0</vt:i4>
      </vt:variant>
      <vt:variant>
        <vt:i4>5</vt:i4>
      </vt:variant>
      <vt:variant>
        <vt:lpwstr/>
      </vt:variant>
      <vt:variant>
        <vt:lpwstr>_Toc480268850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dbevandic</dc:creator>
  <cp:lastModifiedBy>Zrinka Oreb</cp:lastModifiedBy>
  <cp:revision>5</cp:revision>
  <cp:lastPrinted>2026-03-31T14:43:00Z</cp:lastPrinted>
  <dcterms:created xsi:type="dcterms:W3CDTF">2026-03-31T14:41:00Z</dcterms:created>
  <dcterms:modified xsi:type="dcterms:W3CDTF">2026-03-31T14:44:00Z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0x010100C442AF3F059E274FBAF135DA25AE8CF3</vt:lpwstr>
  </property>
</Properties>
</file>