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E6C3A" w14:textId="0E55DBE8" w:rsidR="00DA60C3" w:rsidRPr="00F0315E" w:rsidRDefault="00DA60C3" w:rsidP="00C624D2">
      <w:pPr>
        <w:pStyle w:val="TekstNaslovnice"/>
        <w:pBdr>
          <w:bottom w:val="single" w:sz="18" w:space="1" w:color="auto"/>
        </w:pBdr>
        <w:spacing w:line="276" w:lineRule="auto"/>
        <w:jc w:val="both"/>
        <w:rPr>
          <w:color w:val="auto"/>
          <w:sz w:val="23"/>
        </w:rPr>
      </w:pPr>
      <w:r w:rsidRPr="00F0315E">
        <w:rPr>
          <w:noProof/>
          <w:color w:val="auto"/>
          <w:sz w:val="23"/>
        </w:rPr>
        <w:drawing>
          <wp:anchor distT="0" distB="0" distL="114300" distR="114300" simplePos="0" relativeHeight="251658240" behindDoc="0" locked="0" layoutInCell="1" allowOverlap="1" wp14:anchorId="14CE7609" wp14:editId="7D509AB5">
            <wp:simplePos x="0" y="0"/>
            <wp:positionH relativeFrom="margin">
              <wp:posOffset>2640965</wp:posOffset>
            </wp:positionH>
            <wp:positionV relativeFrom="paragraph">
              <wp:posOffset>3175</wp:posOffset>
            </wp:positionV>
            <wp:extent cx="515586" cy="685800"/>
            <wp:effectExtent l="0" t="0" r="0" b="0"/>
            <wp:wrapNone/>
            <wp:docPr id="1508118690" name="Picture 1" descr="A red and white checkered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18690" name="Picture 1" descr="A red and white checkered coat of arm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586"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81D">
        <w:rPr>
          <w:color w:val="auto"/>
          <w:sz w:val="23"/>
        </w:rPr>
        <w:t xml:space="preserve"> </w:t>
      </w:r>
    </w:p>
    <w:p w14:paraId="420AB228" w14:textId="77777777" w:rsidR="00DA60C3" w:rsidRPr="00F0315E" w:rsidRDefault="00DA60C3" w:rsidP="00DA60C3">
      <w:pPr>
        <w:pStyle w:val="TekstNaslovnice"/>
        <w:pBdr>
          <w:bottom w:val="single" w:sz="18" w:space="1" w:color="auto"/>
        </w:pBdr>
        <w:spacing w:line="276" w:lineRule="auto"/>
        <w:rPr>
          <w:color w:val="auto"/>
          <w:sz w:val="23"/>
        </w:rPr>
      </w:pPr>
      <w:bookmarkStart w:id="0" w:name="_Hlk130555765"/>
      <w:bookmarkEnd w:id="0"/>
    </w:p>
    <w:p w14:paraId="2F616E24" w14:textId="77777777" w:rsidR="00DA60C3" w:rsidRPr="00F0315E" w:rsidRDefault="00DA60C3" w:rsidP="00DA60C3">
      <w:pPr>
        <w:pStyle w:val="TekstNaslovnice"/>
        <w:pBdr>
          <w:bottom w:val="single" w:sz="18" w:space="1" w:color="auto"/>
        </w:pBdr>
        <w:spacing w:line="276" w:lineRule="auto"/>
        <w:rPr>
          <w:color w:val="auto"/>
          <w:sz w:val="23"/>
        </w:rPr>
      </w:pPr>
    </w:p>
    <w:p w14:paraId="15DD2E51" w14:textId="77777777" w:rsidR="00E677EF" w:rsidRPr="00F0315E" w:rsidRDefault="00E677EF" w:rsidP="00E677EF">
      <w:pPr>
        <w:pStyle w:val="TekstNaslovnice"/>
        <w:pBdr>
          <w:bottom w:val="single" w:sz="18" w:space="1" w:color="auto"/>
        </w:pBdr>
        <w:spacing w:before="240" w:line="276" w:lineRule="auto"/>
        <w:rPr>
          <w:color w:val="auto"/>
          <w:sz w:val="30"/>
          <w:szCs w:val="30"/>
        </w:rPr>
      </w:pPr>
      <w:r w:rsidRPr="00F0315E">
        <w:rPr>
          <w:color w:val="auto"/>
          <w:sz w:val="30"/>
          <w:szCs w:val="30"/>
        </w:rPr>
        <w:t>REPUBLIKA HRVATSKA</w:t>
      </w:r>
    </w:p>
    <w:p w14:paraId="6146A267" w14:textId="77777777" w:rsidR="00E677EF" w:rsidRPr="00F0315E" w:rsidRDefault="00E677EF" w:rsidP="00E677EF">
      <w:pPr>
        <w:pStyle w:val="TekstNaslovnice"/>
        <w:pBdr>
          <w:bottom w:val="single" w:sz="18" w:space="1" w:color="auto"/>
        </w:pBdr>
        <w:spacing w:line="276" w:lineRule="auto"/>
        <w:rPr>
          <w:b w:val="0"/>
          <w:bCs/>
          <w:color w:val="auto"/>
          <w:szCs w:val="28"/>
        </w:rPr>
      </w:pPr>
      <w:r w:rsidRPr="00F0315E">
        <w:rPr>
          <w:b w:val="0"/>
          <w:bCs/>
          <w:color w:val="auto"/>
          <w:szCs w:val="28"/>
        </w:rPr>
        <w:t>Povjerenik za informiranje</w:t>
      </w:r>
    </w:p>
    <w:p w14:paraId="6DD14679" w14:textId="77777777" w:rsidR="00E677EF" w:rsidRPr="00F0315E" w:rsidRDefault="00E677EF" w:rsidP="00E677EF">
      <w:pPr>
        <w:pStyle w:val="TekstNaslovnice"/>
        <w:pBdr>
          <w:bottom w:val="single" w:sz="18" w:space="1" w:color="auto"/>
        </w:pBdr>
        <w:spacing w:line="276" w:lineRule="auto"/>
        <w:jc w:val="both"/>
        <w:rPr>
          <w:b w:val="0"/>
          <w:color w:val="auto"/>
          <w:sz w:val="22"/>
          <w:szCs w:val="22"/>
        </w:rPr>
      </w:pPr>
    </w:p>
    <w:p w14:paraId="7020D1A0" w14:textId="77777777" w:rsidR="00DA60C3" w:rsidRPr="00F0315E" w:rsidRDefault="00DA60C3" w:rsidP="00DA60C3">
      <w:pPr>
        <w:rPr>
          <w:rFonts w:cs="Arial"/>
          <w:sz w:val="23"/>
          <w:szCs w:val="23"/>
        </w:rPr>
      </w:pPr>
    </w:p>
    <w:p w14:paraId="3616DA37" w14:textId="77777777" w:rsidR="00DA60C3" w:rsidRPr="00F0315E" w:rsidRDefault="00DA60C3" w:rsidP="00DA60C3">
      <w:pPr>
        <w:rPr>
          <w:rFonts w:cs="Arial"/>
          <w:sz w:val="23"/>
          <w:szCs w:val="23"/>
        </w:rPr>
      </w:pPr>
    </w:p>
    <w:p w14:paraId="25BE49D2" w14:textId="77777777" w:rsidR="00DA60C3" w:rsidRPr="00F0315E" w:rsidRDefault="00DA60C3" w:rsidP="00DA60C3">
      <w:pPr>
        <w:rPr>
          <w:rFonts w:cs="Arial"/>
          <w:sz w:val="23"/>
          <w:szCs w:val="23"/>
        </w:rPr>
      </w:pPr>
    </w:p>
    <w:p w14:paraId="1022CEF7" w14:textId="77777777" w:rsidR="00DA60C3" w:rsidRPr="00F0315E" w:rsidRDefault="00DA60C3" w:rsidP="00DA60C3">
      <w:pPr>
        <w:rPr>
          <w:rFonts w:cs="Arial"/>
          <w:sz w:val="23"/>
          <w:szCs w:val="23"/>
        </w:rPr>
      </w:pPr>
    </w:p>
    <w:p w14:paraId="226A8CC2" w14:textId="77777777" w:rsidR="00DA60C3" w:rsidRPr="00F0315E" w:rsidRDefault="00DA60C3" w:rsidP="00DA60C3">
      <w:pPr>
        <w:rPr>
          <w:rFonts w:cs="Arial"/>
          <w:sz w:val="23"/>
          <w:szCs w:val="23"/>
          <w:lang w:eastAsia="en-US"/>
        </w:rPr>
      </w:pPr>
    </w:p>
    <w:p w14:paraId="6CA6BCB3" w14:textId="77777777" w:rsidR="00DA60C3" w:rsidRPr="00F0315E" w:rsidRDefault="00DA60C3" w:rsidP="00DA60C3">
      <w:pPr>
        <w:rPr>
          <w:rFonts w:cs="Arial"/>
          <w:sz w:val="32"/>
          <w:szCs w:val="32"/>
          <w:lang w:eastAsia="en-US"/>
        </w:rPr>
      </w:pPr>
    </w:p>
    <w:p w14:paraId="53A21124" w14:textId="77777777" w:rsidR="00DA60C3" w:rsidRPr="00F0315E" w:rsidRDefault="00DA60C3" w:rsidP="00DA60C3">
      <w:pPr>
        <w:rPr>
          <w:rFonts w:cs="Arial"/>
          <w:sz w:val="32"/>
          <w:szCs w:val="32"/>
          <w:lang w:eastAsia="en-US"/>
        </w:rPr>
      </w:pPr>
    </w:p>
    <w:p w14:paraId="0B78847F" w14:textId="77777777" w:rsidR="00DA60C3" w:rsidRPr="008F6148" w:rsidRDefault="00DA60C3" w:rsidP="00DA60C3">
      <w:pPr>
        <w:pStyle w:val="TekstNaslovnice"/>
        <w:spacing w:after="120" w:line="276" w:lineRule="auto"/>
        <w:rPr>
          <w:b w:val="0"/>
          <w:color w:val="auto"/>
          <w:sz w:val="36"/>
          <w:szCs w:val="36"/>
        </w:rPr>
      </w:pPr>
      <w:r w:rsidRPr="008F6148">
        <w:rPr>
          <w:b w:val="0"/>
          <w:color w:val="auto"/>
          <w:sz w:val="36"/>
          <w:szCs w:val="36"/>
        </w:rPr>
        <w:t>IZVJEŠĆE O PROVEDBI</w:t>
      </w:r>
    </w:p>
    <w:p w14:paraId="297FBDA0" w14:textId="77777777" w:rsidR="00DA60C3" w:rsidRPr="008F6148" w:rsidRDefault="00DA60C3" w:rsidP="00DA60C3">
      <w:pPr>
        <w:pStyle w:val="TekstNaslovnice"/>
        <w:spacing w:after="120" w:line="276" w:lineRule="auto"/>
        <w:rPr>
          <w:b w:val="0"/>
          <w:color w:val="auto"/>
          <w:sz w:val="36"/>
          <w:szCs w:val="36"/>
        </w:rPr>
      </w:pPr>
      <w:r w:rsidRPr="008F6148">
        <w:rPr>
          <w:b w:val="0"/>
          <w:color w:val="auto"/>
          <w:sz w:val="36"/>
          <w:szCs w:val="36"/>
        </w:rPr>
        <w:t>ZAKONA O PRAVU NA PRISTUP INFORMACIJAMA</w:t>
      </w:r>
    </w:p>
    <w:p w14:paraId="249A7386" w14:textId="59B802AE" w:rsidR="00DA60C3" w:rsidRPr="008F6148" w:rsidRDefault="00DA60C3" w:rsidP="00DA60C3">
      <w:pPr>
        <w:pStyle w:val="TekstNaslovnice"/>
        <w:spacing w:before="120" w:after="120" w:line="276" w:lineRule="auto"/>
        <w:rPr>
          <w:b w:val="0"/>
          <w:color w:val="auto"/>
          <w:sz w:val="36"/>
          <w:szCs w:val="36"/>
        </w:rPr>
      </w:pPr>
      <w:r w:rsidRPr="008F6148">
        <w:rPr>
          <w:b w:val="0"/>
          <w:color w:val="auto"/>
          <w:sz w:val="36"/>
          <w:szCs w:val="36"/>
        </w:rPr>
        <w:t>ZA 202</w:t>
      </w:r>
      <w:r w:rsidR="00D65668" w:rsidRPr="008F6148">
        <w:rPr>
          <w:b w:val="0"/>
          <w:color w:val="auto"/>
          <w:sz w:val="36"/>
          <w:szCs w:val="36"/>
        </w:rPr>
        <w:t>5</w:t>
      </w:r>
      <w:r w:rsidRPr="008F6148">
        <w:rPr>
          <w:b w:val="0"/>
          <w:color w:val="auto"/>
          <w:sz w:val="36"/>
          <w:szCs w:val="36"/>
        </w:rPr>
        <w:t>. GODINU</w:t>
      </w:r>
    </w:p>
    <w:p w14:paraId="544EB1B2" w14:textId="77777777" w:rsidR="00DA60C3" w:rsidRPr="00F0315E" w:rsidRDefault="00DA60C3" w:rsidP="00DA60C3">
      <w:pPr>
        <w:rPr>
          <w:rFonts w:cs="Arial"/>
          <w:sz w:val="32"/>
          <w:szCs w:val="32"/>
          <w:lang w:eastAsia="en-US"/>
        </w:rPr>
      </w:pPr>
    </w:p>
    <w:p w14:paraId="6A03E795" w14:textId="77777777" w:rsidR="00DA60C3" w:rsidRPr="00F0315E" w:rsidRDefault="00DA60C3" w:rsidP="00DA60C3">
      <w:pPr>
        <w:rPr>
          <w:rFonts w:cs="Arial"/>
          <w:sz w:val="23"/>
          <w:szCs w:val="23"/>
          <w:lang w:eastAsia="en-US"/>
        </w:rPr>
      </w:pPr>
    </w:p>
    <w:p w14:paraId="32D82AE0" w14:textId="77777777" w:rsidR="00DA60C3" w:rsidRPr="00F0315E" w:rsidRDefault="00DA60C3" w:rsidP="00DA60C3">
      <w:pPr>
        <w:rPr>
          <w:rFonts w:cs="Arial"/>
          <w:sz w:val="23"/>
          <w:szCs w:val="23"/>
          <w:lang w:eastAsia="en-US"/>
        </w:rPr>
      </w:pPr>
    </w:p>
    <w:p w14:paraId="29F1B4DC" w14:textId="77777777" w:rsidR="00DA60C3" w:rsidRPr="00F0315E" w:rsidRDefault="00DA60C3" w:rsidP="00DA60C3">
      <w:pPr>
        <w:rPr>
          <w:rFonts w:cs="Arial"/>
          <w:sz w:val="23"/>
          <w:szCs w:val="23"/>
          <w:lang w:eastAsia="en-US"/>
        </w:rPr>
      </w:pPr>
    </w:p>
    <w:p w14:paraId="38B41B76" w14:textId="77777777" w:rsidR="00DA60C3" w:rsidRPr="00F0315E" w:rsidRDefault="00DA60C3" w:rsidP="00DA60C3">
      <w:pPr>
        <w:rPr>
          <w:rFonts w:cs="Arial"/>
          <w:sz w:val="23"/>
          <w:szCs w:val="23"/>
          <w:lang w:eastAsia="en-US"/>
        </w:rPr>
      </w:pPr>
    </w:p>
    <w:p w14:paraId="708E58E7" w14:textId="77777777" w:rsidR="00DA60C3" w:rsidRPr="00F0315E" w:rsidRDefault="00DA60C3" w:rsidP="00DA60C3">
      <w:pPr>
        <w:rPr>
          <w:rFonts w:cs="Arial"/>
          <w:sz w:val="23"/>
          <w:szCs w:val="23"/>
          <w:lang w:eastAsia="en-US"/>
        </w:rPr>
      </w:pPr>
    </w:p>
    <w:p w14:paraId="38741D1F" w14:textId="77777777" w:rsidR="00DA60C3" w:rsidRPr="00F0315E" w:rsidRDefault="00DA60C3" w:rsidP="00DA60C3">
      <w:pPr>
        <w:rPr>
          <w:rFonts w:cs="Arial"/>
          <w:sz w:val="23"/>
          <w:szCs w:val="23"/>
          <w:lang w:eastAsia="en-US"/>
        </w:rPr>
      </w:pPr>
    </w:p>
    <w:p w14:paraId="598E0627" w14:textId="77777777" w:rsidR="00DA60C3" w:rsidRPr="00F0315E" w:rsidRDefault="00DA60C3" w:rsidP="00DA60C3">
      <w:pPr>
        <w:rPr>
          <w:rFonts w:cs="Arial"/>
          <w:sz w:val="23"/>
          <w:szCs w:val="23"/>
          <w:lang w:eastAsia="en-US"/>
        </w:rPr>
      </w:pPr>
    </w:p>
    <w:p w14:paraId="388EE27B" w14:textId="77777777" w:rsidR="00DA60C3" w:rsidRPr="00F0315E" w:rsidRDefault="00DA60C3" w:rsidP="00DA60C3">
      <w:pPr>
        <w:rPr>
          <w:rFonts w:cs="Arial"/>
          <w:sz w:val="23"/>
          <w:szCs w:val="23"/>
          <w:lang w:eastAsia="en-US"/>
        </w:rPr>
      </w:pPr>
    </w:p>
    <w:p w14:paraId="5C935A21" w14:textId="77777777" w:rsidR="00DA60C3" w:rsidRPr="00F0315E" w:rsidRDefault="00DA60C3" w:rsidP="00DA60C3">
      <w:pPr>
        <w:rPr>
          <w:rFonts w:cs="Arial"/>
          <w:sz w:val="23"/>
          <w:szCs w:val="23"/>
          <w:lang w:eastAsia="en-US"/>
        </w:rPr>
      </w:pPr>
    </w:p>
    <w:p w14:paraId="1BF58ED7" w14:textId="77777777" w:rsidR="00DA60C3" w:rsidRPr="00F0315E" w:rsidRDefault="00DA60C3" w:rsidP="00DA60C3">
      <w:pPr>
        <w:rPr>
          <w:rFonts w:cs="Arial"/>
          <w:sz w:val="23"/>
          <w:szCs w:val="23"/>
          <w:lang w:eastAsia="en-US"/>
        </w:rPr>
      </w:pPr>
    </w:p>
    <w:p w14:paraId="36758255" w14:textId="77777777" w:rsidR="00DA60C3" w:rsidRPr="00F0315E" w:rsidRDefault="00DA60C3" w:rsidP="00DA60C3">
      <w:pPr>
        <w:rPr>
          <w:rFonts w:cs="Arial"/>
          <w:sz w:val="23"/>
          <w:szCs w:val="23"/>
          <w:lang w:eastAsia="en-US"/>
        </w:rPr>
      </w:pPr>
    </w:p>
    <w:p w14:paraId="5515C182" w14:textId="77777777" w:rsidR="00DA60C3" w:rsidRPr="00F0315E" w:rsidRDefault="00DA60C3" w:rsidP="00DA60C3">
      <w:pPr>
        <w:rPr>
          <w:rFonts w:cs="Arial"/>
          <w:sz w:val="23"/>
          <w:szCs w:val="23"/>
          <w:lang w:eastAsia="en-US"/>
        </w:rPr>
      </w:pPr>
    </w:p>
    <w:p w14:paraId="3EAD6EC5" w14:textId="77777777" w:rsidR="00DA60C3" w:rsidRPr="00F0315E" w:rsidRDefault="00DA60C3" w:rsidP="00DA60C3">
      <w:pPr>
        <w:pStyle w:val="TekstNaslovnice"/>
        <w:pBdr>
          <w:top w:val="single" w:sz="18" w:space="1" w:color="auto"/>
        </w:pBdr>
        <w:spacing w:line="276" w:lineRule="auto"/>
        <w:jc w:val="both"/>
        <w:rPr>
          <w:b w:val="0"/>
          <w:bCs/>
          <w:color w:val="auto"/>
          <w:sz w:val="23"/>
          <w:lang w:eastAsia="en-US"/>
        </w:rPr>
      </w:pPr>
    </w:p>
    <w:p w14:paraId="58AFFC2D" w14:textId="0355B64A" w:rsidR="00FB54D8" w:rsidRPr="00F0315E" w:rsidRDefault="00DA60C3" w:rsidP="00217FEC">
      <w:pPr>
        <w:pStyle w:val="TekstNaslovnice"/>
        <w:pBdr>
          <w:top w:val="single" w:sz="18" w:space="1" w:color="auto"/>
        </w:pBdr>
        <w:spacing w:line="276" w:lineRule="auto"/>
        <w:rPr>
          <w:sz w:val="23"/>
          <w:lang w:eastAsia="en-US"/>
        </w:rPr>
      </w:pPr>
      <w:r w:rsidRPr="00F0315E">
        <w:rPr>
          <w:b w:val="0"/>
          <w:bCs/>
          <w:color w:val="auto"/>
          <w:sz w:val="23"/>
          <w:lang w:eastAsia="en-US"/>
        </w:rPr>
        <w:t>Zagreb, ožujak 202</w:t>
      </w:r>
      <w:r w:rsidR="00D65668">
        <w:rPr>
          <w:b w:val="0"/>
          <w:bCs/>
          <w:color w:val="auto"/>
          <w:sz w:val="23"/>
          <w:lang w:eastAsia="en-US"/>
        </w:rPr>
        <w:t>6</w:t>
      </w:r>
      <w:r w:rsidRPr="00F0315E">
        <w:rPr>
          <w:b w:val="0"/>
          <w:bCs/>
          <w:color w:val="auto"/>
          <w:sz w:val="23"/>
          <w:lang w:eastAsia="en-US"/>
        </w:rPr>
        <w:t xml:space="preserve">. </w:t>
      </w:r>
      <w:r w:rsidR="005D3181" w:rsidRPr="00F0315E">
        <w:rPr>
          <w:b w:val="0"/>
          <w:bCs/>
          <w:color w:val="auto"/>
          <w:sz w:val="23"/>
          <w:lang w:eastAsia="en-US"/>
        </w:rPr>
        <w:t xml:space="preserve"> </w:t>
      </w:r>
    </w:p>
    <w:p w14:paraId="726A2190" w14:textId="07B43B77" w:rsidR="00AE6811" w:rsidRDefault="00AE6811" w:rsidP="005B2FB3">
      <w:pPr>
        <w:rPr>
          <w:rFonts w:cs="Arial"/>
          <w:sz w:val="23"/>
          <w:szCs w:val="23"/>
          <w:lang w:eastAsia="en-US"/>
        </w:rPr>
      </w:pPr>
    </w:p>
    <w:p w14:paraId="2859E952" w14:textId="77777777" w:rsidR="00AE6811" w:rsidRDefault="00AE6811">
      <w:pPr>
        <w:spacing w:after="0" w:line="240" w:lineRule="auto"/>
        <w:jc w:val="left"/>
        <w:rPr>
          <w:rFonts w:cs="Arial"/>
          <w:sz w:val="23"/>
          <w:szCs w:val="23"/>
          <w:lang w:eastAsia="en-US"/>
        </w:rPr>
      </w:pPr>
      <w:r>
        <w:rPr>
          <w:rFonts w:cs="Arial"/>
          <w:sz w:val="23"/>
          <w:szCs w:val="23"/>
          <w:lang w:eastAsia="en-US"/>
        </w:rPr>
        <w:br w:type="page"/>
      </w:r>
    </w:p>
    <w:p w14:paraId="6E9C92AF" w14:textId="77777777" w:rsidR="0040151D" w:rsidRPr="00F0315E" w:rsidRDefault="0040151D" w:rsidP="005B2FB3">
      <w:pPr>
        <w:rPr>
          <w:rFonts w:cs="Arial"/>
          <w:sz w:val="23"/>
          <w:szCs w:val="23"/>
          <w:lang w:eastAsia="en-US"/>
        </w:rPr>
        <w:sectPr w:rsidR="0040151D" w:rsidRPr="00F0315E" w:rsidSect="00D049EA">
          <w:headerReference w:type="default" r:id="rId12"/>
          <w:footerReference w:type="default" r:id="rId13"/>
          <w:pgSz w:w="11906" w:h="16838"/>
          <w:pgMar w:top="1417" w:right="1417" w:bottom="1417" w:left="1417" w:header="709" w:footer="709" w:gutter="0"/>
          <w:pgNumType w:start="1"/>
          <w:cols w:space="708"/>
          <w:docGrid w:linePitch="360"/>
        </w:sectPr>
      </w:pPr>
    </w:p>
    <w:p w14:paraId="447C2FCD" w14:textId="77777777" w:rsidR="0072015F" w:rsidRPr="00F0315E" w:rsidRDefault="0072015F" w:rsidP="0072015F">
      <w:pPr>
        <w:rPr>
          <w:rFonts w:cs="Arial"/>
          <w:b/>
        </w:rPr>
      </w:pPr>
      <w:r w:rsidRPr="00F0315E">
        <w:rPr>
          <w:rFonts w:cs="Arial"/>
          <w:b/>
        </w:rPr>
        <w:lastRenderedPageBreak/>
        <w:t>Sadržaj</w:t>
      </w:r>
    </w:p>
    <w:p w14:paraId="4BC55C4E" w14:textId="77777777" w:rsidR="00905E9D" w:rsidRPr="00F0315E" w:rsidRDefault="00905E9D" w:rsidP="005B2FB3">
      <w:pPr>
        <w:rPr>
          <w:rFonts w:cs="Arial"/>
          <w:b/>
          <w:sz w:val="20"/>
          <w:szCs w:val="20"/>
        </w:rPr>
      </w:pPr>
    </w:p>
    <w:bookmarkStart w:id="1" w:name="_Hlk162519111"/>
    <w:p w14:paraId="1298AC3F" w14:textId="5A89DEB2" w:rsidR="008A6FA2" w:rsidRDefault="00604114">
      <w:pPr>
        <w:pStyle w:val="Sadraj1"/>
        <w:rPr>
          <w:rFonts w:asciiTheme="minorHAnsi" w:eastAsiaTheme="minorEastAsia" w:hAnsiTheme="minorHAnsi" w:cstheme="minorBidi"/>
          <w:b w:val="0"/>
          <w:kern w:val="2"/>
          <w:sz w:val="24"/>
          <w:szCs w:val="24"/>
          <w14:ligatures w14:val="standardContextual"/>
        </w:rPr>
      </w:pPr>
      <w:r>
        <w:fldChar w:fldCharType="begin"/>
      </w:r>
      <w:r w:rsidR="001B1D34">
        <w:instrText>TOC \o "1-4" \z \u \h</w:instrText>
      </w:r>
      <w:r>
        <w:fldChar w:fldCharType="separate"/>
      </w:r>
      <w:hyperlink w:anchor="_Toc225865549" w:history="1">
        <w:r w:rsidR="008A6FA2" w:rsidRPr="006B37BC">
          <w:rPr>
            <w:rStyle w:val="Hiperveza"/>
            <w:bCs/>
            <w:kern w:val="32"/>
          </w:rPr>
          <w:t>1.</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bCs/>
            <w:kern w:val="32"/>
          </w:rPr>
          <w:t>Uvod</w:t>
        </w:r>
        <w:r w:rsidR="008A6FA2">
          <w:rPr>
            <w:webHidden/>
          </w:rPr>
          <w:tab/>
        </w:r>
        <w:r w:rsidR="008A6FA2">
          <w:rPr>
            <w:webHidden/>
          </w:rPr>
          <w:fldChar w:fldCharType="begin"/>
        </w:r>
        <w:r w:rsidR="008A6FA2">
          <w:rPr>
            <w:webHidden/>
          </w:rPr>
          <w:instrText xml:space="preserve"> PAGEREF _Toc225865549 \h </w:instrText>
        </w:r>
        <w:r w:rsidR="008A6FA2">
          <w:rPr>
            <w:webHidden/>
          </w:rPr>
        </w:r>
        <w:r w:rsidR="008A6FA2">
          <w:rPr>
            <w:webHidden/>
          </w:rPr>
          <w:fldChar w:fldCharType="separate"/>
        </w:r>
        <w:r w:rsidR="0031412C">
          <w:rPr>
            <w:webHidden/>
          </w:rPr>
          <w:t>1</w:t>
        </w:r>
        <w:r w:rsidR="008A6FA2">
          <w:rPr>
            <w:webHidden/>
          </w:rPr>
          <w:fldChar w:fldCharType="end"/>
        </w:r>
      </w:hyperlink>
    </w:p>
    <w:p w14:paraId="06149760" w14:textId="0AA4BF1A" w:rsidR="008A6FA2" w:rsidRDefault="00000000">
      <w:pPr>
        <w:pStyle w:val="Sadraj2"/>
        <w:rPr>
          <w:rFonts w:asciiTheme="minorHAnsi" w:eastAsiaTheme="minorEastAsia" w:hAnsiTheme="minorHAnsi" w:cstheme="minorBidi"/>
          <w:kern w:val="2"/>
          <w:sz w:val="24"/>
          <w:szCs w:val="24"/>
          <w14:ligatures w14:val="standardContextual"/>
        </w:rPr>
      </w:pPr>
      <w:hyperlink w:anchor="_Toc225865550" w:history="1">
        <w:r w:rsidR="008A6FA2" w:rsidRPr="006B37BC">
          <w:rPr>
            <w:rStyle w:val="Hiperveza"/>
            <w:rFonts w:ascii="Arial" w:hAnsi="Arial"/>
          </w:rPr>
          <w:t>1.1.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Pravni okvir</w:t>
        </w:r>
        <w:r w:rsidR="008A6FA2">
          <w:rPr>
            <w:webHidden/>
          </w:rPr>
          <w:tab/>
        </w:r>
        <w:r w:rsidR="008A6FA2">
          <w:rPr>
            <w:webHidden/>
          </w:rPr>
          <w:fldChar w:fldCharType="begin"/>
        </w:r>
        <w:r w:rsidR="008A6FA2">
          <w:rPr>
            <w:webHidden/>
          </w:rPr>
          <w:instrText xml:space="preserve"> PAGEREF _Toc225865550 \h </w:instrText>
        </w:r>
        <w:r w:rsidR="008A6FA2">
          <w:rPr>
            <w:webHidden/>
          </w:rPr>
        </w:r>
        <w:r w:rsidR="008A6FA2">
          <w:rPr>
            <w:webHidden/>
          </w:rPr>
          <w:fldChar w:fldCharType="separate"/>
        </w:r>
        <w:r w:rsidR="0031412C">
          <w:rPr>
            <w:webHidden/>
          </w:rPr>
          <w:t>1</w:t>
        </w:r>
        <w:r w:rsidR="008A6FA2">
          <w:rPr>
            <w:webHidden/>
          </w:rPr>
          <w:fldChar w:fldCharType="end"/>
        </w:r>
      </w:hyperlink>
    </w:p>
    <w:p w14:paraId="5EFFF0F9" w14:textId="66240762" w:rsidR="008A6FA2" w:rsidRDefault="00000000">
      <w:pPr>
        <w:pStyle w:val="Sadraj2"/>
        <w:rPr>
          <w:rFonts w:asciiTheme="minorHAnsi" w:eastAsiaTheme="minorEastAsia" w:hAnsiTheme="minorHAnsi" w:cstheme="minorBidi"/>
          <w:kern w:val="2"/>
          <w:sz w:val="24"/>
          <w:szCs w:val="24"/>
          <w14:ligatures w14:val="standardContextual"/>
        </w:rPr>
      </w:pPr>
      <w:hyperlink w:anchor="_Toc225865551" w:history="1">
        <w:r w:rsidR="008A6FA2" w:rsidRPr="006B37BC">
          <w:rPr>
            <w:rStyle w:val="Hiperveza"/>
            <w:rFonts w:ascii="Arial" w:hAnsi="Arial"/>
          </w:rPr>
          <w:t>1.2.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Primjena i provedba Zakona o pravu na pristup informacijama</w:t>
        </w:r>
        <w:r w:rsidR="008A6FA2">
          <w:rPr>
            <w:webHidden/>
          </w:rPr>
          <w:tab/>
        </w:r>
        <w:r w:rsidR="008A6FA2">
          <w:rPr>
            <w:webHidden/>
          </w:rPr>
          <w:fldChar w:fldCharType="begin"/>
        </w:r>
        <w:r w:rsidR="008A6FA2">
          <w:rPr>
            <w:webHidden/>
          </w:rPr>
          <w:instrText xml:space="preserve"> PAGEREF _Toc225865551 \h </w:instrText>
        </w:r>
        <w:r w:rsidR="008A6FA2">
          <w:rPr>
            <w:webHidden/>
          </w:rPr>
        </w:r>
        <w:r w:rsidR="008A6FA2">
          <w:rPr>
            <w:webHidden/>
          </w:rPr>
          <w:fldChar w:fldCharType="separate"/>
        </w:r>
        <w:r w:rsidR="0031412C">
          <w:rPr>
            <w:webHidden/>
          </w:rPr>
          <w:t>2</w:t>
        </w:r>
        <w:r w:rsidR="008A6FA2">
          <w:rPr>
            <w:webHidden/>
          </w:rPr>
          <w:fldChar w:fldCharType="end"/>
        </w:r>
      </w:hyperlink>
    </w:p>
    <w:p w14:paraId="1BCC7C04" w14:textId="13E54B4E" w:rsidR="008A6FA2" w:rsidRDefault="00000000">
      <w:pPr>
        <w:pStyle w:val="Sadraj2"/>
        <w:rPr>
          <w:rFonts w:asciiTheme="minorHAnsi" w:eastAsiaTheme="minorEastAsia" w:hAnsiTheme="minorHAnsi" w:cstheme="minorBidi"/>
          <w:kern w:val="2"/>
          <w:sz w:val="24"/>
          <w:szCs w:val="24"/>
          <w14:ligatures w14:val="standardContextual"/>
        </w:rPr>
      </w:pPr>
      <w:hyperlink w:anchor="_Toc225865552" w:history="1">
        <w:r w:rsidR="008A6FA2" w:rsidRPr="006B37BC">
          <w:rPr>
            <w:rStyle w:val="Hiperveza"/>
            <w:rFonts w:ascii="Arial" w:hAnsi="Arial"/>
          </w:rPr>
          <w:t>1.3.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Popis tijela javne vlasti</w:t>
        </w:r>
        <w:r w:rsidR="008A6FA2">
          <w:rPr>
            <w:webHidden/>
          </w:rPr>
          <w:tab/>
        </w:r>
        <w:r w:rsidR="008A6FA2">
          <w:rPr>
            <w:webHidden/>
          </w:rPr>
          <w:fldChar w:fldCharType="begin"/>
        </w:r>
        <w:r w:rsidR="008A6FA2">
          <w:rPr>
            <w:webHidden/>
          </w:rPr>
          <w:instrText xml:space="preserve"> PAGEREF _Toc225865552 \h </w:instrText>
        </w:r>
        <w:r w:rsidR="008A6FA2">
          <w:rPr>
            <w:webHidden/>
          </w:rPr>
        </w:r>
        <w:r w:rsidR="008A6FA2">
          <w:rPr>
            <w:webHidden/>
          </w:rPr>
          <w:fldChar w:fldCharType="separate"/>
        </w:r>
        <w:r w:rsidR="0031412C">
          <w:rPr>
            <w:webHidden/>
          </w:rPr>
          <w:t>3</w:t>
        </w:r>
        <w:r w:rsidR="008A6FA2">
          <w:rPr>
            <w:webHidden/>
          </w:rPr>
          <w:fldChar w:fldCharType="end"/>
        </w:r>
      </w:hyperlink>
    </w:p>
    <w:p w14:paraId="0EBE6D17" w14:textId="6FD003D5" w:rsidR="008A6FA2" w:rsidRDefault="00000000">
      <w:pPr>
        <w:pStyle w:val="Sadraj2"/>
        <w:rPr>
          <w:rFonts w:asciiTheme="minorHAnsi" w:eastAsiaTheme="minorEastAsia" w:hAnsiTheme="minorHAnsi" w:cstheme="minorBidi"/>
          <w:kern w:val="2"/>
          <w:sz w:val="24"/>
          <w:szCs w:val="24"/>
          <w14:ligatures w14:val="standardContextual"/>
        </w:rPr>
      </w:pPr>
      <w:hyperlink w:anchor="_Toc225865553" w:history="1">
        <w:r w:rsidR="008A6FA2" w:rsidRPr="006B37BC">
          <w:rPr>
            <w:rStyle w:val="Hiperveza"/>
            <w:rFonts w:ascii="Arial" w:hAnsi="Arial"/>
          </w:rPr>
          <w:t>1.4.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Službenik za informiranje - provedba Zakona u tijelima javne vlasti</w:t>
        </w:r>
        <w:r w:rsidR="008A6FA2">
          <w:rPr>
            <w:webHidden/>
          </w:rPr>
          <w:tab/>
        </w:r>
        <w:r w:rsidR="008A6FA2">
          <w:rPr>
            <w:webHidden/>
          </w:rPr>
          <w:fldChar w:fldCharType="begin"/>
        </w:r>
        <w:r w:rsidR="008A6FA2">
          <w:rPr>
            <w:webHidden/>
          </w:rPr>
          <w:instrText xml:space="preserve"> PAGEREF _Toc225865553 \h </w:instrText>
        </w:r>
        <w:r w:rsidR="008A6FA2">
          <w:rPr>
            <w:webHidden/>
          </w:rPr>
        </w:r>
        <w:r w:rsidR="008A6FA2">
          <w:rPr>
            <w:webHidden/>
          </w:rPr>
          <w:fldChar w:fldCharType="separate"/>
        </w:r>
        <w:r w:rsidR="0031412C">
          <w:rPr>
            <w:webHidden/>
          </w:rPr>
          <w:t>4</w:t>
        </w:r>
        <w:r w:rsidR="008A6FA2">
          <w:rPr>
            <w:webHidden/>
          </w:rPr>
          <w:fldChar w:fldCharType="end"/>
        </w:r>
      </w:hyperlink>
    </w:p>
    <w:p w14:paraId="3A6BB158" w14:textId="3E27E827" w:rsidR="008A6FA2" w:rsidRDefault="00000000">
      <w:pPr>
        <w:pStyle w:val="Sadraj2"/>
        <w:rPr>
          <w:rFonts w:asciiTheme="minorHAnsi" w:eastAsiaTheme="minorEastAsia" w:hAnsiTheme="minorHAnsi" w:cstheme="minorBidi"/>
          <w:kern w:val="2"/>
          <w:sz w:val="24"/>
          <w:szCs w:val="24"/>
          <w14:ligatures w14:val="standardContextual"/>
        </w:rPr>
      </w:pPr>
      <w:hyperlink w:anchor="_Toc225865554" w:history="1">
        <w:r w:rsidR="008A6FA2" w:rsidRPr="006B37BC">
          <w:rPr>
            <w:rStyle w:val="Hiperveza"/>
            <w:rFonts w:ascii="Arial" w:hAnsi="Arial"/>
          </w:rPr>
          <w:t>1.5.</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Povjerenik za informiranje – neovisni nadzor nad provedbom Zakona</w:t>
        </w:r>
        <w:r w:rsidR="008A6FA2">
          <w:rPr>
            <w:webHidden/>
          </w:rPr>
          <w:tab/>
        </w:r>
        <w:r w:rsidR="008A6FA2">
          <w:rPr>
            <w:webHidden/>
          </w:rPr>
          <w:fldChar w:fldCharType="begin"/>
        </w:r>
        <w:r w:rsidR="008A6FA2">
          <w:rPr>
            <w:webHidden/>
          </w:rPr>
          <w:instrText xml:space="preserve"> PAGEREF _Toc225865554 \h </w:instrText>
        </w:r>
        <w:r w:rsidR="008A6FA2">
          <w:rPr>
            <w:webHidden/>
          </w:rPr>
        </w:r>
        <w:r w:rsidR="008A6FA2">
          <w:rPr>
            <w:webHidden/>
          </w:rPr>
          <w:fldChar w:fldCharType="separate"/>
        </w:r>
        <w:r w:rsidR="0031412C">
          <w:rPr>
            <w:webHidden/>
          </w:rPr>
          <w:t>4</w:t>
        </w:r>
        <w:r w:rsidR="008A6FA2">
          <w:rPr>
            <w:webHidden/>
          </w:rPr>
          <w:fldChar w:fldCharType="end"/>
        </w:r>
      </w:hyperlink>
    </w:p>
    <w:p w14:paraId="507F5A54" w14:textId="13230D6D"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555" w:history="1">
        <w:r w:rsidR="008A6FA2" w:rsidRPr="006B37BC">
          <w:rPr>
            <w:rStyle w:val="Hiperveza"/>
            <w:rFonts w:ascii="Arial" w:hAnsi="Arial" w:cs="Arial"/>
          </w:rPr>
          <w:t>2.</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Godišnje izvješće o provedbi Zakona</w:t>
        </w:r>
        <w:r w:rsidR="008A6FA2">
          <w:rPr>
            <w:webHidden/>
          </w:rPr>
          <w:tab/>
        </w:r>
        <w:r w:rsidR="008A6FA2">
          <w:rPr>
            <w:webHidden/>
          </w:rPr>
          <w:fldChar w:fldCharType="begin"/>
        </w:r>
        <w:r w:rsidR="008A6FA2">
          <w:rPr>
            <w:webHidden/>
          </w:rPr>
          <w:instrText xml:space="preserve"> PAGEREF _Toc225865555 \h </w:instrText>
        </w:r>
        <w:r w:rsidR="008A6FA2">
          <w:rPr>
            <w:webHidden/>
          </w:rPr>
        </w:r>
        <w:r w:rsidR="008A6FA2">
          <w:rPr>
            <w:webHidden/>
          </w:rPr>
          <w:fldChar w:fldCharType="separate"/>
        </w:r>
        <w:r w:rsidR="0031412C">
          <w:rPr>
            <w:webHidden/>
          </w:rPr>
          <w:t>5</w:t>
        </w:r>
        <w:r w:rsidR="008A6FA2">
          <w:rPr>
            <w:webHidden/>
          </w:rPr>
          <w:fldChar w:fldCharType="end"/>
        </w:r>
      </w:hyperlink>
    </w:p>
    <w:p w14:paraId="40B92ECB" w14:textId="6109E24D"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556" w:history="1">
        <w:r w:rsidR="008A6FA2" w:rsidRPr="006B37BC">
          <w:rPr>
            <w:rStyle w:val="Hiperveza"/>
          </w:rPr>
          <w:t>A)</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POSTUPANJE PO ZAHTJEVIMA KORISNIKA I ZAŠTITA PRAVA NA PRISTUP INFORMACIJAMA</w:t>
        </w:r>
        <w:r w:rsidR="008A6FA2">
          <w:rPr>
            <w:webHidden/>
          </w:rPr>
          <w:tab/>
        </w:r>
        <w:r w:rsidR="008A6FA2">
          <w:rPr>
            <w:webHidden/>
          </w:rPr>
          <w:fldChar w:fldCharType="begin"/>
        </w:r>
        <w:r w:rsidR="008A6FA2">
          <w:rPr>
            <w:webHidden/>
          </w:rPr>
          <w:instrText xml:space="preserve"> PAGEREF _Toc225865556 \h </w:instrText>
        </w:r>
        <w:r w:rsidR="008A6FA2">
          <w:rPr>
            <w:webHidden/>
          </w:rPr>
        </w:r>
        <w:r w:rsidR="008A6FA2">
          <w:rPr>
            <w:webHidden/>
          </w:rPr>
          <w:fldChar w:fldCharType="separate"/>
        </w:r>
        <w:r w:rsidR="0031412C">
          <w:rPr>
            <w:webHidden/>
          </w:rPr>
          <w:t>8</w:t>
        </w:r>
        <w:r w:rsidR="008A6FA2">
          <w:rPr>
            <w:webHidden/>
          </w:rPr>
          <w:fldChar w:fldCharType="end"/>
        </w:r>
      </w:hyperlink>
    </w:p>
    <w:p w14:paraId="1B44F944" w14:textId="2F55E3B5"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557" w:history="1">
        <w:r w:rsidR="008A6FA2" w:rsidRPr="006B37BC">
          <w:rPr>
            <w:rStyle w:val="Hiperveza"/>
            <w:rFonts w:ascii="Arial" w:hAnsi="Arial" w:cs="Arial"/>
          </w:rPr>
          <w:t>3.</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Postupanje tijela javne vlasti po zahtjevima korisnika</w:t>
        </w:r>
        <w:r w:rsidR="008A6FA2">
          <w:rPr>
            <w:webHidden/>
          </w:rPr>
          <w:tab/>
        </w:r>
        <w:r w:rsidR="008A6FA2">
          <w:rPr>
            <w:webHidden/>
          </w:rPr>
          <w:fldChar w:fldCharType="begin"/>
        </w:r>
        <w:r w:rsidR="008A6FA2">
          <w:rPr>
            <w:webHidden/>
          </w:rPr>
          <w:instrText xml:space="preserve"> PAGEREF _Toc225865557 \h </w:instrText>
        </w:r>
        <w:r w:rsidR="008A6FA2">
          <w:rPr>
            <w:webHidden/>
          </w:rPr>
        </w:r>
        <w:r w:rsidR="008A6FA2">
          <w:rPr>
            <w:webHidden/>
          </w:rPr>
          <w:fldChar w:fldCharType="separate"/>
        </w:r>
        <w:r w:rsidR="0031412C">
          <w:rPr>
            <w:webHidden/>
          </w:rPr>
          <w:t>8</w:t>
        </w:r>
        <w:r w:rsidR="008A6FA2">
          <w:rPr>
            <w:webHidden/>
          </w:rPr>
          <w:fldChar w:fldCharType="end"/>
        </w:r>
      </w:hyperlink>
    </w:p>
    <w:p w14:paraId="401B5F2C" w14:textId="53A8D6CD" w:rsidR="008A6FA2" w:rsidRDefault="00000000">
      <w:pPr>
        <w:pStyle w:val="Sadraj2"/>
        <w:rPr>
          <w:rFonts w:asciiTheme="minorHAnsi" w:eastAsiaTheme="minorEastAsia" w:hAnsiTheme="minorHAnsi" w:cstheme="minorBidi"/>
          <w:kern w:val="2"/>
          <w:sz w:val="24"/>
          <w:szCs w:val="24"/>
          <w14:ligatures w14:val="standardContextual"/>
        </w:rPr>
      </w:pPr>
      <w:hyperlink w:anchor="_Toc225865558" w:history="1">
        <w:r w:rsidR="008A6FA2" w:rsidRPr="006B37BC">
          <w:rPr>
            <w:rStyle w:val="Hiperveza"/>
            <w:rFonts w:ascii="Arial" w:hAnsi="Arial"/>
          </w:rPr>
          <w:t>3.1.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Zaprimljeni zahtjevi</w:t>
        </w:r>
        <w:r w:rsidR="008A6FA2">
          <w:rPr>
            <w:webHidden/>
          </w:rPr>
          <w:tab/>
        </w:r>
        <w:r w:rsidR="008A6FA2">
          <w:rPr>
            <w:webHidden/>
          </w:rPr>
          <w:fldChar w:fldCharType="begin"/>
        </w:r>
        <w:r w:rsidR="008A6FA2">
          <w:rPr>
            <w:webHidden/>
          </w:rPr>
          <w:instrText xml:space="preserve"> PAGEREF _Toc225865558 \h </w:instrText>
        </w:r>
        <w:r w:rsidR="008A6FA2">
          <w:rPr>
            <w:webHidden/>
          </w:rPr>
        </w:r>
        <w:r w:rsidR="008A6FA2">
          <w:rPr>
            <w:webHidden/>
          </w:rPr>
          <w:fldChar w:fldCharType="separate"/>
        </w:r>
        <w:r w:rsidR="0031412C">
          <w:rPr>
            <w:webHidden/>
          </w:rPr>
          <w:t>8</w:t>
        </w:r>
        <w:r w:rsidR="008A6FA2">
          <w:rPr>
            <w:webHidden/>
          </w:rPr>
          <w:fldChar w:fldCharType="end"/>
        </w:r>
      </w:hyperlink>
    </w:p>
    <w:p w14:paraId="751F0109" w14:textId="71DBF696" w:rsidR="008A6FA2" w:rsidRDefault="00000000">
      <w:pPr>
        <w:pStyle w:val="Sadraj2"/>
        <w:rPr>
          <w:rFonts w:asciiTheme="minorHAnsi" w:eastAsiaTheme="minorEastAsia" w:hAnsiTheme="minorHAnsi" w:cstheme="minorBidi"/>
          <w:kern w:val="2"/>
          <w:sz w:val="24"/>
          <w:szCs w:val="24"/>
          <w14:ligatures w14:val="standardContextual"/>
        </w:rPr>
      </w:pPr>
      <w:hyperlink w:anchor="_Toc225865559" w:history="1">
        <w:r w:rsidR="008A6FA2" w:rsidRPr="006B37BC">
          <w:rPr>
            <w:rStyle w:val="Hiperveza"/>
            <w:rFonts w:ascii="Arial" w:hAnsi="Arial"/>
          </w:rPr>
          <w:t>3.2.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Rješavanje zahtjeva</w:t>
        </w:r>
        <w:r w:rsidR="008A6FA2">
          <w:rPr>
            <w:webHidden/>
          </w:rPr>
          <w:tab/>
        </w:r>
        <w:r w:rsidR="008A6FA2">
          <w:rPr>
            <w:webHidden/>
          </w:rPr>
          <w:fldChar w:fldCharType="begin"/>
        </w:r>
        <w:r w:rsidR="008A6FA2">
          <w:rPr>
            <w:webHidden/>
          </w:rPr>
          <w:instrText xml:space="preserve"> PAGEREF _Toc225865559 \h </w:instrText>
        </w:r>
        <w:r w:rsidR="008A6FA2">
          <w:rPr>
            <w:webHidden/>
          </w:rPr>
        </w:r>
        <w:r w:rsidR="008A6FA2">
          <w:rPr>
            <w:webHidden/>
          </w:rPr>
          <w:fldChar w:fldCharType="separate"/>
        </w:r>
        <w:r w:rsidR="0031412C">
          <w:rPr>
            <w:webHidden/>
          </w:rPr>
          <w:t>10</w:t>
        </w:r>
        <w:r w:rsidR="008A6FA2">
          <w:rPr>
            <w:webHidden/>
          </w:rPr>
          <w:fldChar w:fldCharType="end"/>
        </w:r>
      </w:hyperlink>
    </w:p>
    <w:p w14:paraId="41779F3F" w14:textId="0AFE09F1" w:rsidR="008A6FA2" w:rsidRDefault="00000000">
      <w:pPr>
        <w:pStyle w:val="Sadraj3"/>
        <w:rPr>
          <w:rFonts w:asciiTheme="minorHAnsi" w:eastAsiaTheme="minorEastAsia" w:hAnsiTheme="minorHAnsi" w:cstheme="minorBidi"/>
          <w:kern w:val="2"/>
          <w:sz w:val="24"/>
          <w:szCs w:val="24"/>
          <w14:ligatures w14:val="standardContextual"/>
        </w:rPr>
      </w:pPr>
      <w:hyperlink w:anchor="_Toc225865560" w:history="1">
        <w:r w:rsidR="008A6FA2" w:rsidRPr="006B37BC">
          <w:rPr>
            <w:rStyle w:val="Hiperveza"/>
          </w:rPr>
          <w:t>3.2.1.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Zahtjevi za pristup informacijama</w:t>
        </w:r>
        <w:r w:rsidR="008A6FA2">
          <w:rPr>
            <w:webHidden/>
          </w:rPr>
          <w:tab/>
        </w:r>
        <w:r w:rsidR="008A6FA2">
          <w:rPr>
            <w:webHidden/>
          </w:rPr>
          <w:fldChar w:fldCharType="begin"/>
        </w:r>
        <w:r w:rsidR="008A6FA2">
          <w:rPr>
            <w:webHidden/>
          </w:rPr>
          <w:instrText xml:space="preserve"> PAGEREF _Toc225865560 \h </w:instrText>
        </w:r>
        <w:r w:rsidR="008A6FA2">
          <w:rPr>
            <w:webHidden/>
          </w:rPr>
        </w:r>
        <w:r w:rsidR="008A6FA2">
          <w:rPr>
            <w:webHidden/>
          </w:rPr>
          <w:fldChar w:fldCharType="separate"/>
        </w:r>
        <w:r w:rsidR="0031412C">
          <w:rPr>
            <w:webHidden/>
          </w:rPr>
          <w:t>11</w:t>
        </w:r>
        <w:r w:rsidR="008A6FA2">
          <w:rPr>
            <w:webHidden/>
          </w:rPr>
          <w:fldChar w:fldCharType="end"/>
        </w:r>
      </w:hyperlink>
    </w:p>
    <w:p w14:paraId="2524F9CC" w14:textId="1F0C862D" w:rsidR="008A6FA2" w:rsidRDefault="00000000">
      <w:pPr>
        <w:pStyle w:val="Sadraj3"/>
        <w:rPr>
          <w:rFonts w:asciiTheme="minorHAnsi" w:eastAsiaTheme="minorEastAsia" w:hAnsiTheme="minorHAnsi" w:cstheme="minorBidi"/>
          <w:kern w:val="2"/>
          <w:sz w:val="24"/>
          <w:szCs w:val="24"/>
          <w14:ligatures w14:val="standardContextual"/>
        </w:rPr>
      </w:pPr>
      <w:hyperlink w:anchor="_Toc225865561" w:history="1">
        <w:r w:rsidR="008A6FA2" w:rsidRPr="006B37BC">
          <w:rPr>
            <w:rStyle w:val="Hiperveza"/>
          </w:rPr>
          <w:t>3.2.2.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Zahtjevi za dopunu ili ispravak informacije</w:t>
        </w:r>
        <w:r w:rsidR="008A6FA2">
          <w:rPr>
            <w:webHidden/>
          </w:rPr>
          <w:tab/>
        </w:r>
        <w:r w:rsidR="008A6FA2">
          <w:rPr>
            <w:webHidden/>
          </w:rPr>
          <w:fldChar w:fldCharType="begin"/>
        </w:r>
        <w:r w:rsidR="008A6FA2">
          <w:rPr>
            <w:webHidden/>
          </w:rPr>
          <w:instrText xml:space="preserve"> PAGEREF _Toc225865561 \h </w:instrText>
        </w:r>
        <w:r w:rsidR="008A6FA2">
          <w:rPr>
            <w:webHidden/>
          </w:rPr>
        </w:r>
        <w:r w:rsidR="008A6FA2">
          <w:rPr>
            <w:webHidden/>
          </w:rPr>
          <w:fldChar w:fldCharType="separate"/>
        </w:r>
        <w:r w:rsidR="0031412C">
          <w:rPr>
            <w:webHidden/>
          </w:rPr>
          <w:t>13</w:t>
        </w:r>
        <w:r w:rsidR="008A6FA2">
          <w:rPr>
            <w:webHidden/>
          </w:rPr>
          <w:fldChar w:fldCharType="end"/>
        </w:r>
      </w:hyperlink>
    </w:p>
    <w:p w14:paraId="168FCCA5" w14:textId="6F44021F" w:rsidR="008A6FA2" w:rsidRDefault="00000000">
      <w:pPr>
        <w:pStyle w:val="Sadraj3"/>
        <w:rPr>
          <w:rFonts w:asciiTheme="minorHAnsi" w:eastAsiaTheme="minorEastAsia" w:hAnsiTheme="minorHAnsi" w:cstheme="minorBidi"/>
          <w:kern w:val="2"/>
          <w:sz w:val="24"/>
          <w:szCs w:val="24"/>
          <w14:ligatures w14:val="standardContextual"/>
        </w:rPr>
      </w:pPr>
      <w:hyperlink w:anchor="_Toc225865562" w:history="1">
        <w:r w:rsidR="008A6FA2" w:rsidRPr="006B37BC">
          <w:rPr>
            <w:rStyle w:val="Hiperveza"/>
          </w:rPr>
          <w:t>3.2.3.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Zahtjevi za ponovnu uporabu informacija</w:t>
        </w:r>
        <w:r w:rsidR="008A6FA2">
          <w:rPr>
            <w:webHidden/>
          </w:rPr>
          <w:tab/>
        </w:r>
        <w:r w:rsidR="008A6FA2">
          <w:rPr>
            <w:webHidden/>
          </w:rPr>
          <w:fldChar w:fldCharType="begin"/>
        </w:r>
        <w:r w:rsidR="008A6FA2">
          <w:rPr>
            <w:webHidden/>
          </w:rPr>
          <w:instrText xml:space="preserve"> PAGEREF _Toc225865562 \h </w:instrText>
        </w:r>
        <w:r w:rsidR="008A6FA2">
          <w:rPr>
            <w:webHidden/>
          </w:rPr>
        </w:r>
        <w:r w:rsidR="008A6FA2">
          <w:rPr>
            <w:webHidden/>
          </w:rPr>
          <w:fldChar w:fldCharType="separate"/>
        </w:r>
        <w:r w:rsidR="0031412C">
          <w:rPr>
            <w:webHidden/>
          </w:rPr>
          <w:t>14</w:t>
        </w:r>
        <w:r w:rsidR="008A6FA2">
          <w:rPr>
            <w:webHidden/>
          </w:rPr>
          <w:fldChar w:fldCharType="end"/>
        </w:r>
      </w:hyperlink>
    </w:p>
    <w:p w14:paraId="25AA9F00" w14:textId="1D2D5DD7" w:rsidR="008A6FA2" w:rsidRDefault="00000000">
      <w:pPr>
        <w:pStyle w:val="Sadraj2"/>
        <w:rPr>
          <w:rFonts w:asciiTheme="minorHAnsi" w:eastAsiaTheme="minorEastAsia" w:hAnsiTheme="minorHAnsi" w:cstheme="minorBidi"/>
          <w:kern w:val="2"/>
          <w:sz w:val="24"/>
          <w:szCs w:val="24"/>
          <w14:ligatures w14:val="standardContextual"/>
        </w:rPr>
      </w:pPr>
      <w:hyperlink w:anchor="_Toc225865563" w:history="1">
        <w:r w:rsidR="008A6FA2" w:rsidRPr="006B37BC">
          <w:rPr>
            <w:rStyle w:val="Hiperveza"/>
            <w:rFonts w:ascii="Arial" w:hAnsi="Arial"/>
          </w:rPr>
          <w:t>3.3.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Troškovi pružanja informacija</w:t>
        </w:r>
        <w:r w:rsidR="008A6FA2">
          <w:rPr>
            <w:webHidden/>
          </w:rPr>
          <w:tab/>
        </w:r>
        <w:r w:rsidR="008A6FA2">
          <w:rPr>
            <w:webHidden/>
          </w:rPr>
          <w:fldChar w:fldCharType="begin"/>
        </w:r>
        <w:r w:rsidR="008A6FA2">
          <w:rPr>
            <w:webHidden/>
          </w:rPr>
          <w:instrText xml:space="preserve"> PAGEREF _Toc225865563 \h </w:instrText>
        </w:r>
        <w:r w:rsidR="008A6FA2">
          <w:rPr>
            <w:webHidden/>
          </w:rPr>
        </w:r>
        <w:r w:rsidR="008A6FA2">
          <w:rPr>
            <w:webHidden/>
          </w:rPr>
          <w:fldChar w:fldCharType="separate"/>
        </w:r>
        <w:r w:rsidR="0031412C">
          <w:rPr>
            <w:webHidden/>
          </w:rPr>
          <w:t>14</w:t>
        </w:r>
        <w:r w:rsidR="008A6FA2">
          <w:rPr>
            <w:webHidden/>
          </w:rPr>
          <w:fldChar w:fldCharType="end"/>
        </w:r>
      </w:hyperlink>
    </w:p>
    <w:p w14:paraId="1DA27A4D" w14:textId="7323F5AE"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564" w:history="1">
        <w:r w:rsidR="008A6FA2" w:rsidRPr="006B37BC">
          <w:rPr>
            <w:rStyle w:val="Hiperveza"/>
            <w:rFonts w:ascii="Arial" w:hAnsi="Arial" w:cs="Arial"/>
          </w:rPr>
          <w:t>4.</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Žalbeni postupak</w:t>
        </w:r>
        <w:r w:rsidR="008A6FA2">
          <w:rPr>
            <w:webHidden/>
          </w:rPr>
          <w:tab/>
        </w:r>
        <w:r w:rsidR="008A6FA2">
          <w:rPr>
            <w:webHidden/>
          </w:rPr>
          <w:fldChar w:fldCharType="begin"/>
        </w:r>
        <w:r w:rsidR="008A6FA2">
          <w:rPr>
            <w:webHidden/>
          </w:rPr>
          <w:instrText xml:space="preserve"> PAGEREF _Toc225865564 \h </w:instrText>
        </w:r>
        <w:r w:rsidR="008A6FA2">
          <w:rPr>
            <w:webHidden/>
          </w:rPr>
        </w:r>
        <w:r w:rsidR="008A6FA2">
          <w:rPr>
            <w:webHidden/>
          </w:rPr>
          <w:fldChar w:fldCharType="separate"/>
        </w:r>
        <w:r w:rsidR="0031412C">
          <w:rPr>
            <w:webHidden/>
          </w:rPr>
          <w:t>16</w:t>
        </w:r>
        <w:r w:rsidR="008A6FA2">
          <w:rPr>
            <w:webHidden/>
          </w:rPr>
          <w:fldChar w:fldCharType="end"/>
        </w:r>
      </w:hyperlink>
    </w:p>
    <w:p w14:paraId="7D3A9165" w14:textId="01824C2D" w:rsidR="008A6FA2" w:rsidRDefault="00000000">
      <w:pPr>
        <w:pStyle w:val="Sadraj2"/>
        <w:rPr>
          <w:rFonts w:asciiTheme="minorHAnsi" w:eastAsiaTheme="minorEastAsia" w:hAnsiTheme="minorHAnsi" w:cstheme="minorBidi"/>
          <w:kern w:val="2"/>
          <w:sz w:val="24"/>
          <w:szCs w:val="24"/>
          <w14:ligatures w14:val="standardContextual"/>
        </w:rPr>
      </w:pPr>
      <w:hyperlink w:anchor="_Toc225865565" w:history="1">
        <w:r w:rsidR="008A6FA2" w:rsidRPr="006B37BC">
          <w:rPr>
            <w:rStyle w:val="Hiperveza"/>
            <w:rFonts w:ascii="Arial" w:hAnsi="Arial"/>
          </w:rPr>
          <w:t>4.1.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Broj i struktura žalbi</w:t>
        </w:r>
        <w:r w:rsidR="008A6FA2">
          <w:rPr>
            <w:webHidden/>
          </w:rPr>
          <w:tab/>
        </w:r>
        <w:r w:rsidR="008A6FA2">
          <w:rPr>
            <w:webHidden/>
          </w:rPr>
          <w:fldChar w:fldCharType="begin"/>
        </w:r>
        <w:r w:rsidR="008A6FA2">
          <w:rPr>
            <w:webHidden/>
          </w:rPr>
          <w:instrText xml:space="preserve"> PAGEREF _Toc225865565 \h </w:instrText>
        </w:r>
        <w:r w:rsidR="008A6FA2">
          <w:rPr>
            <w:webHidden/>
          </w:rPr>
        </w:r>
        <w:r w:rsidR="008A6FA2">
          <w:rPr>
            <w:webHidden/>
          </w:rPr>
          <w:fldChar w:fldCharType="separate"/>
        </w:r>
        <w:r w:rsidR="0031412C">
          <w:rPr>
            <w:webHidden/>
          </w:rPr>
          <w:t>16</w:t>
        </w:r>
        <w:r w:rsidR="008A6FA2">
          <w:rPr>
            <w:webHidden/>
          </w:rPr>
          <w:fldChar w:fldCharType="end"/>
        </w:r>
      </w:hyperlink>
    </w:p>
    <w:p w14:paraId="4AE8BD16" w14:textId="67C59C56" w:rsidR="008A6FA2" w:rsidRDefault="00000000">
      <w:pPr>
        <w:pStyle w:val="Sadraj3"/>
        <w:rPr>
          <w:rFonts w:asciiTheme="minorHAnsi" w:eastAsiaTheme="minorEastAsia" w:hAnsiTheme="minorHAnsi" w:cstheme="minorBidi"/>
          <w:kern w:val="2"/>
          <w:sz w:val="24"/>
          <w:szCs w:val="24"/>
          <w14:ligatures w14:val="standardContextual"/>
        </w:rPr>
      </w:pPr>
      <w:hyperlink w:anchor="_Toc225865566" w:history="1">
        <w:r w:rsidR="008A6FA2" w:rsidRPr="006B37BC">
          <w:rPr>
            <w:rStyle w:val="Hiperveza"/>
          </w:rPr>
          <w:t>4.1.1.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Broj žalbi</w:t>
        </w:r>
        <w:r w:rsidR="008A6FA2">
          <w:rPr>
            <w:webHidden/>
          </w:rPr>
          <w:tab/>
        </w:r>
        <w:r w:rsidR="008A6FA2">
          <w:rPr>
            <w:webHidden/>
          </w:rPr>
          <w:fldChar w:fldCharType="begin"/>
        </w:r>
        <w:r w:rsidR="008A6FA2">
          <w:rPr>
            <w:webHidden/>
          </w:rPr>
          <w:instrText xml:space="preserve"> PAGEREF _Toc225865566 \h </w:instrText>
        </w:r>
        <w:r w:rsidR="008A6FA2">
          <w:rPr>
            <w:webHidden/>
          </w:rPr>
        </w:r>
        <w:r w:rsidR="008A6FA2">
          <w:rPr>
            <w:webHidden/>
          </w:rPr>
          <w:fldChar w:fldCharType="separate"/>
        </w:r>
        <w:r w:rsidR="0031412C">
          <w:rPr>
            <w:webHidden/>
          </w:rPr>
          <w:t>17</w:t>
        </w:r>
        <w:r w:rsidR="008A6FA2">
          <w:rPr>
            <w:webHidden/>
          </w:rPr>
          <w:fldChar w:fldCharType="end"/>
        </w:r>
      </w:hyperlink>
    </w:p>
    <w:p w14:paraId="5DAAD653" w14:textId="0843D6DF" w:rsidR="008A6FA2" w:rsidRDefault="00000000">
      <w:pPr>
        <w:pStyle w:val="Sadraj3"/>
        <w:rPr>
          <w:rFonts w:asciiTheme="minorHAnsi" w:eastAsiaTheme="minorEastAsia" w:hAnsiTheme="minorHAnsi" w:cstheme="minorBidi"/>
          <w:kern w:val="2"/>
          <w:sz w:val="24"/>
          <w:szCs w:val="24"/>
          <w14:ligatures w14:val="standardContextual"/>
        </w:rPr>
      </w:pPr>
      <w:hyperlink w:anchor="_Toc225865567" w:history="1">
        <w:r w:rsidR="008A6FA2" w:rsidRPr="006B37BC">
          <w:rPr>
            <w:rStyle w:val="Hiperveza"/>
          </w:rPr>
          <w:t>4.1.2.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Podnositelji žalbi</w:t>
        </w:r>
        <w:r w:rsidR="008A6FA2">
          <w:rPr>
            <w:webHidden/>
          </w:rPr>
          <w:tab/>
        </w:r>
        <w:r w:rsidR="008A6FA2">
          <w:rPr>
            <w:webHidden/>
          </w:rPr>
          <w:fldChar w:fldCharType="begin"/>
        </w:r>
        <w:r w:rsidR="008A6FA2">
          <w:rPr>
            <w:webHidden/>
          </w:rPr>
          <w:instrText xml:space="preserve"> PAGEREF _Toc225865567 \h </w:instrText>
        </w:r>
        <w:r w:rsidR="008A6FA2">
          <w:rPr>
            <w:webHidden/>
          </w:rPr>
        </w:r>
        <w:r w:rsidR="008A6FA2">
          <w:rPr>
            <w:webHidden/>
          </w:rPr>
          <w:fldChar w:fldCharType="separate"/>
        </w:r>
        <w:r w:rsidR="0031412C">
          <w:rPr>
            <w:webHidden/>
          </w:rPr>
          <w:t>18</w:t>
        </w:r>
        <w:r w:rsidR="008A6FA2">
          <w:rPr>
            <w:webHidden/>
          </w:rPr>
          <w:fldChar w:fldCharType="end"/>
        </w:r>
      </w:hyperlink>
    </w:p>
    <w:p w14:paraId="7DED061D" w14:textId="1252D988" w:rsidR="008A6FA2" w:rsidRDefault="00000000">
      <w:pPr>
        <w:pStyle w:val="Sadraj3"/>
        <w:rPr>
          <w:rFonts w:asciiTheme="minorHAnsi" w:eastAsiaTheme="minorEastAsia" w:hAnsiTheme="minorHAnsi" w:cstheme="minorBidi"/>
          <w:kern w:val="2"/>
          <w:sz w:val="24"/>
          <w:szCs w:val="24"/>
          <w14:ligatures w14:val="standardContextual"/>
        </w:rPr>
      </w:pPr>
      <w:hyperlink w:anchor="_Toc225865568" w:history="1">
        <w:r w:rsidR="008A6FA2" w:rsidRPr="006B37BC">
          <w:rPr>
            <w:rStyle w:val="Hiperveza"/>
          </w:rPr>
          <w:t>4.1.3.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Razvrstavanje žalbi prema tijelima javne vlasti</w:t>
        </w:r>
        <w:r w:rsidR="008A6FA2">
          <w:rPr>
            <w:webHidden/>
          </w:rPr>
          <w:tab/>
        </w:r>
        <w:r w:rsidR="008A6FA2">
          <w:rPr>
            <w:webHidden/>
          </w:rPr>
          <w:fldChar w:fldCharType="begin"/>
        </w:r>
        <w:r w:rsidR="008A6FA2">
          <w:rPr>
            <w:webHidden/>
          </w:rPr>
          <w:instrText xml:space="preserve"> PAGEREF _Toc225865568 \h </w:instrText>
        </w:r>
        <w:r w:rsidR="008A6FA2">
          <w:rPr>
            <w:webHidden/>
          </w:rPr>
        </w:r>
        <w:r w:rsidR="008A6FA2">
          <w:rPr>
            <w:webHidden/>
          </w:rPr>
          <w:fldChar w:fldCharType="separate"/>
        </w:r>
        <w:r w:rsidR="0031412C">
          <w:rPr>
            <w:webHidden/>
          </w:rPr>
          <w:t>19</w:t>
        </w:r>
        <w:r w:rsidR="008A6FA2">
          <w:rPr>
            <w:webHidden/>
          </w:rPr>
          <w:fldChar w:fldCharType="end"/>
        </w:r>
      </w:hyperlink>
    </w:p>
    <w:p w14:paraId="0910902F" w14:textId="5224A384" w:rsidR="008A6FA2" w:rsidRDefault="00000000">
      <w:pPr>
        <w:pStyle w:val="Sadraj3"/>
        <w:rPr>
          <w:rFonts w:asciiTheme="minorHAnsi" w:eastAsiaTheme="minorEastAsia" w:hAnsiTheme="minorHAnsi" w:cstheme="minorBidi"/>
          <w:kern w:val="2"/>
          <w:sz w:val="24"/>
          <w:szCs w:val="24"/>
          <w14:ligatures w14:val="standardContextual"/>
        </w:rPr>
      </w:pPr>
      <w:hyperlink w:anchor="_Toc225865569" w:history="1">
        <w:r w:rsidR="008A6FA2" w:rsidRPr="006B37BC">
          <w:rPr>
            <w:rStyle w:val="Hiperveza"/>
          </w:rPr>
          <w:t>4.1.4.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Razlozi za odbijanje zahtjeva kao osnova žalbenog postupka</w:t>
        </w:r>
        <w:r w:rsidR="008A6FA2">
          <w:rPr>
            <w:webHidden/>
          </w:rPr>
          <w:tab/>
        </w:r>
        <w:r w:rsidR="008A6FA2">
          <w:rPr>
            <w:webHidden/>
          </w:rPr>
          <w:fldChar w:fldCharType="begin"/>
        </w:r>
        <w:r w:rsidR="008A6FA2">
          <w:rPr>
            <w:webHidden/>
          </w:rPr>
          <w:instrText xml:space="preserve"> PAGEREF _Toc225865569 \h </w:instrText>
        </w:r>
        <w:r w:rsidR="008A6FA2">
          <w:rPr>
            <w:webHidden/>
          </w:rPr>
        </w:r>
        <w:r w:rsidR="008A6FA2">
          <w:rPr>
            <w:webHidden/>
          </w:rPr>
          <w:fldChar w:fldCharType="separate"/>
        </w:r>
        <w:r w:rsidR="0031412C">
          <w:rPr>
            <w:webHidden/>
          </w:rPr>
          <w:t>20</w:t>
        </w:r>
        <w:r w:rsidR="008A6FA2">
          <w:rPr>
            <w:webHidden/>
          </w:rPr>
          <w:fldChar w:fldCharType="end"/>
        </w:r>
      </w:hyperlink>
    </w:p>
    <w:p w14:paraId="5B78021C" w14:textId="775FA5E5" w:rsidR="008A6FA2" w:rsidRDefault="00000000">
      <w:pPr>
        <w:pStyle w:val="Sadraj3"/>
        <w:rPr>
          <w:rFonts w:asciiTheme="minorHAnsi" w:eastAsiaTheme="minorEastAsia" w:hAnsiTheme="minorHAnsi" w:cstheme="minorBidi"/>
          <w:kern w:val="2"/>
          <w:sz w:val="24"/>
          <w:szCs w:val="24"/>
          <w14:ligatures w14:val="standardContextual"/>
        </w:rPr>
      </w:pPr>
      <w:hyperlink w:anchor="_Toc225865570" w:history="1">
        <w:r w:rsidR="008A6FA2" w:rsidRPr="006B37BC">
          <w:rPr>
            <w:rStyle w:val="Hiperveza"/>
          </w:rPr>
          <w:t>4.1.5.</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Rješavanje žalbi</w:t>
        </w:r>
        <w:r w:rsidR="008A6FA2">
          <w:rPr>
            <w:webHidden/>
          </w:rPr>
          <w:tab/>
        </w:r>
        <w:r w:rsidR="008A6FA2">
          <w:rPr>
            <w:webHidden/>
          </w:rPr>
          <w:fldChar w:fldCharType="begin"/>
        </w:r>
        <w:r w:rsidR="008A6FA2">
          <w:rPr>
            <w:webHidden/>
          </w:rPr>
          <w:instrText xml:space="preserve"> PAGEREF _Toc225865570 \h </w:instrText>
        </w:r>
        <w:r w:rsidR="008A6FA2">
          <w:rPr>
            <w:webHidden/>
          </w:rPr>
        </w:r>
        <w:r w:rsidR="008A6FA2">
          <w:rPr>
            <w:webHidden/>
          </w:rPr>
          <w:fldChar w:fldCharType="separate"/>
        </w:r>
        <w:r w:rsidR="0031412C">
          <w:rPr>
            <w:webHidden/>
          </w:rPr>
          <w:t>21</w:t>
        </w:r>
        <w:r w:rsidR="008A6FA2">
          <w:rPr>
            <w:webHidden/>
          </w:rPr>
          <w:fldChar w:fldCharType="end"/>
        </w:r>
      </w:hyperlink>
    </w:p>
    <w:p w14:paraId="25F5DE5D" w14:textId="73CBA7F8" w:rsidR="008A6FA2" w:rsidRDefault="00000000">
      <w:pPr>
        <w:pStyle w:val="Sadraj3"/>
        <w:rPr>
          <w:rFonts w:asciiTheme="minorHAnsi" w:eastAsiaTheme="minorEastAsia" w:hAnsiTheme="minorHAnsi" w:cstheme="minorBidi"/>
          <w:kern w:val="2"/>
          <w:sz w:val="24"/>
          <w:szCs w:val="24"/>
          <w14:ligatures w14:val="standardContextual"/>
        </w:rPr>
      </w:pPr>
      <w:hyperlink w:anchor="_Toc225865571" w:history="1">
        <w:r w:rsidR="008A6FA2" w:rsidRPr="006B37BC">
          <w:rPr>
            <w:rStyle w:val="Hiperveza"/>
          </w:rPr>
          <w:t>4.1.6.</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Odluke o žalbama prema ishodu postupka koji se odnose na zahtjeve za pristup informacijama</w:t>
        </w:r>
        <w:r w:rsidR="008A6FA2">
          <w:rPr>
            <w:webHidden/>
          </w:rPr>
          <w:tab/>
        </w:r>
        <w:r w:rsidR="008A6FA2">
          <w:rPr>
            <w:webHidden/>
          </w:rPr>
          <w:fldChar w:fldCharType="begin"/>
        </w:r>
        <w:r w:rsidR="008A6FA2">
          <w:rPr>
            <w:webHidden/>
          </w:rPr>
          <w:instrText xml:space="preserve"> PAGEREF _Toc225865571 \h </w:instrText>
        </w:r>
        <w:r w:rsidR="008A6FA2">
          <w:rPr>
            <w:webHidden/>
          </w:rPr>
        </w:r>
        <w:r w:rsidR="008A6FA2">
          <w:rPr>
            <w:webHidden/>
          </w:rPr>
          <w:fldChar w:fldCharType="separate"/>
        </w:r>
        <w:r w:rsidR="0031412C">
          <w:rPr>
            <w:webHidden/>
          </w:rPr>
          <w:t>22</w:t>
        </w:r>
        <w:r w:rsidR="008A6FA2">
          <w:rPr>
            <w:webHidden/>
          </w:rPr>
          <w:fldChar w:fldCharType="end"/>
        </w:r>
      </w:hyperlink>
    </w:p>
    <w:p w14:paraId="646068BB" w14:textId="4B96839A" w:rsidR="008A6FA2" w:rsidRDefault="00000000">
      <w:pPr>
        <w:pStyle w:val="Sadraj2"/>
        <w:rPr>
          <w:rFonts w:asciiTheme="minorHAnsi" w:eastAsiaTheme="minorEastAsia" w:hAnsiTheme="minorHAnsi" w:cstheme="minorBidi"/>
          <w:kern w:val="2"/>
          <w:sz w:val="24"/>
          <w:szCs w:val="24"/>
          <w14:ligatures w14:val="standardContextual"/>
        </w:rPr>
      </w:pPr>
      <w:hyperlink w:anchor="_Toc225865572" w:history="1">
        <w:r w:rsidR="008A6FA2" w:rsidRPr="006B37BC">
          <w:rPr>
            <w:rStyle w:val="Hiperveza"/>
            <w:rFonts w:ascii="Arial" w:hAnsi="Arial"/>
          </w:rPr>
          <w:t>4.2.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Odluke o žalbama po kategorijama tijela javne vlasti</w:t>
        </w:r>
        <w:r w:rsidR="008A6FA2">
          <w:rPr>
            <w:webHidden/>
          </w:rPr>
          <w:tab/>
        </w:r>
        <w:r w:rsidR="008A6FA2">
          <w:rPr>
            <w:webHidden/>
          </w:rPr>
          <w:fldChar w:fldCharType="begin"/>
        </w:r>
        <w:r w:rsidR="008A6FA2">
          <w:rPr>
            <w:webHidden/>
          </w:rPr>
          <w:instrText xml:space="preserve"> PAGEREF _Toc225865572 \h </w:instrText>
        </w:r>
        <w:r w:rsidR="008A6FA2">
          <w:rPr>
            <w:webHidden/>
          </w:rPr>
        </w:r>
        <w:r w:rsidR="008A6FA2">
          <w:rPr>
            <w:webHidden/>
          </w:rPr>
          <w:fldChar w:fldCharType="separate"/>
        </w:r>
        <w:r w:rsidR="0031412C">
          <w:rPr>
            <w:webHidden/>
          </w:rPr>
          <w:t>24</w:t>
        </w:r>
        <w:r w:rsidR="008A6FA2">
          <w:rPr>
            <w:webHidden/>
          </w:rPr>
          <w:fldChar w:fldCharType="end"/>
        </w:r>
      </w:hyperlink>
    </w:p>
    <w:p w14:paraId="619EAAB1" w14:textId="01978134" w:rsidR="008A6FA2" w:rsidRDefault="00000000">
      <w:pPr>
        <w:pStyle w:val="Sadraj3"/>
        <w:rPr>
          <w:rFonts w:asciiTheme="minorHAnsi" w:eastAsiaTheme="minorEastAsia" w:hAnsiTheme="minorHAnsi" w:cstheme="minorBidi"/>
          <w:kern w:val="2"/>
          <w:sz w:val="24"/>
          <w:szCs w:val="24"/>
          <w14:ligatures w14:val="standardContextual"/>
        </w:rPr>
      </w:pPr>
      <w:hyperlink w:anchor="_Toc225865573" w:history="1">
        <w:r w:rsidR="008A6FA2" w:rsidRPr="006B37BC">
          <w:rPr>
            <w:rStyle w:val="Hiperveza"/>
          </w:rPr>
          <w:t>4.2.1.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Državna tijela</w:t>
        </w:r>
        <w:r w:rsidR="008A6FA2">
          <w:rPr>
            <w:webHidden/>
          </w:rPr>
          <w:tab/>
        </w:r>
        <w:r w:rsidR="008A6FA2">
          <w:rPr>
            <w:webHidden/>
          </w:rPr>
          <w:fldChar w:fldCharType="begin"/>
        </w:r>
        <w:r w:rsidR="008A6FA2">
          <w:rPr>
            <w:webHidden/>
          </w:rPr>
          <w:instrText xml:space="preserve"> PAGEREF _Toc225865573 \h </w:instrText>
        </w:r>
        <w:r w:rsidR="008A6FA2">
          <w:rPr>
            <w:webHidden/>
          </w:rPr>
        </w:r>
        <w:r w:rsidR="008A6FA2">
          <w:rPr>
            <w:webHidden/>
          </w:rPr>
          <w:fldChar w:fldCharType="separate"/>
        </w:r>
        <w:r w:rsidR="0031412C">
          <w:rPr>
            <w:webHidden/>
          </w:rPr>
          <w:t>24</w:t>
        </w:r>
        <w:r w:rsidR="008A6FA2">
          <w:rPr>
            <w:webHidden/>
          </w:rPr>
          <w:fldChar w:fldCharType="end"/>
        </w:r>
      </w:hyperlink>
    </w:p>
    <w:p w14:paraId="1F07438F" w14:textId="55F35100" w:rsidR="008A6FA2" w:rsidRDefault="00000000">
      <w:pPr>
        <w:pStyle w:val="Sadraj3"/>
        <w:rPr>
          <w:rFonts w:asciiTheme="minorHAnsi" w:eastAsiaTheme="minorEastAsia" w:hAnsiTheme="minorHAnsi" w:cstheme="minorBidi"/>
          <w:kern w:val="2"/>
          <w:sz w:val="24"/>
          <w:szCs w:val="24"/>
          <w14:ligatures w14:val="standardContextual"/>
        </w:rPr>
      </w:pPr>
      <w:hyperlink w:anchor="_Toc225865574" w:history="1">
        <w:r w:rsidR="008A6FA2" w:rsidRPr="006B37BC">
          <w:rPr>
            <w:rStyle w:val="Hiperveza"/>
          </w:rPr>
          <w:t>4.2.2.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Tijela državne uprave</w:t>
        </w:r>
        <w:r w:rsidR="008A6FA2">
          <w:rPr>
            <w:webHidden/>
          </w:rPr>
          <w:tab/>
        </w:r>
        <w:r w:rsidR="008A6FA2">
          <w:rPr>
            <w:webHidden/>
          </w:rPr>
          <w:fldChar w:fldCharType="begin"/>
        </w:r>
        <w:r w:rsidR="008A6FA2">
          <w:rPr>
            <w:webHidden/>
          </w:rPr>
          <w:instrText xml:space="preserve"> PAGEREF _Toc225865574 \h </w:instrText>
        </w:r>
        <w:r w:rsidR="008A6FA2">
          <w:rPr>
            <w:webHidden/>
          </w:rPr>
        </w:r>
        <w:r w:rsidR="008A6FA2">
          <w:rPr>
            <w:webHidden/>
          </w:rPr>
          <w:fldChar w:fldCharType="separate"/>
        </w:r>
        <w:r w:rsidR="0031412C">
          <w:rPr>
            <w:webHidden/>
          </w:rPr>
          <w:t>26</w:t>
        </w:r>
        <w:r w:rsidR="008A6FA2">
          <w:rPr>
            <w:webHidden/>
          </w:rPr>
          <w:fldChar w:fldCharType="end"/>
        </w:r>
      </w:hyperlink>
    </w:p>
    <w:p w14:paraId="74B79711" w14:textId="6781C9AB" w:rsidR="008A6FA2" w:rsidRDefault="00000000">
      <w:pPr>
        <w:pStyle w:val="Sadraj3"/>
        <w:rPr>
          <w:rFonts w:asciiTheme="minorHAnsi" w:eastAsiaTheme="minorEastAsia" w:hAnsiTheme="minorHAnsi" w:cstheme="minorBidi"/>
          <w:kern w:val="2"/>
          <w:sz w:val="24"/>
          <w:szCs w:val="24"/>
          <w14:ligatures w14:val="standardContextual"/>
        </w:rPr>
      </w:pPr>
      <w:hyperlink w:anchor="_Toc225865575" w:history="1">
        <w:r w:rsidR="008A6FA2" w:rsidRPr="006B37BC">
          <w:rPr>
            <w:rStyle w:val="Hiperveza"/>
          </w:rPr>
          <w:t>4.2.3.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JLP(R)S (općine, gradovi i županije)</w:t>
        </w:r>
        <w:r w:rsidR="008A6FA2">
          <w:rPr>
            <w:webHidden/>
          </w:rPr>
          <w:tab/>
        </w:r>
        <w:r w:rsidR="008A6FA2">
          <w:rPr>
            <w:webHidden/>
          </w:rPr>
          <w:fldChar w:fldCharType="begin"/>
        </w:r>
        <w:r w:rsidR="008A6FA2">
          <w:rPr>
            <w:webHidden/>
          </w:rPr>
          <w:instrText xml:space="preserve"> PAGEREF _Toc225865575 \h </w:instrText>
        </w:r>
        <w:r w:rsidR="008A6FA2">
          <w:rPr>
            <w:webHidden/>
          </w:rPr>
        </w:r>
        <w:r w:rsidR="008A6FA2">
          <w:rPr>
            <w:webHidden/>
          </w:rPr>
          <w:fldChar w:fldCharType="separate"/>
        </w:r>
        <w:r w:rsidR="0031412C">
          <w:rPr>
            <w:webHidden/>
          </w:rPr>
          <w:t>27</w:t>
        </w:r>
        <w:r w:rsidR="008A6FA2">
          <w:rPr>
            <w:webHidden/>
          </w:rPr>
          <w:fldChar w:fldCharType="end"/>
        </w:r>
      </w:hyperlink>
    </w:p>
    <w:p w14:paraId="422B6A60" w14:textId="40BA37FF" w:rsidR="008A6FA2" w:rsidRDefault="00000000">
      <w:pPr>
        <w:pStyle w:val="Sadraj3"/>
        <w:rPr>
          <w:rFonts w:asciiTheme="minorHAnsi" w:eastAsiaTheme="minorEastAsia" w:hAnsiTheme="minorHAnsi" w:cstheme="minorBidi"/>
          <w:kern w:val="2"/>
          <w:sz w:val="24"/>
          <w:szCs w:val="24"/>
          <w14:ligatures w14:val="standardContextual"/>
        </w:rPr>
      </w:pPr>
      <w:hyperlink w:anchor="_Toc225865576" w:history="1">
        <w:r w:rsidR="008A6FA2" w:rsidRPr="006B37BC">
          <w:rPr>
            <w:rStyle w:val="Hiperveza"/>
          </w:rPr>
          <w:t>4.2.4.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Pravosudna tijela</w:t>
        </w:r>
        <w:r w:rsidR="008A6FA2">
          <w:rPr>
            <w:webHidden/>
          </w:rPr>
          <w:tab/>
        </w:r>
        <w:r w:rsidR="008A6FA2">
          <w:rPr>
            <w:webHidden/>
          </w:rPr>
          <w:fldChar w:fldCharType="begin"/>
        </w:r>
        <w:r w:rsidR="008A6FA2">
          <w:rPr>
            <w:webHidden/>
          </w:rPr>
          <w:instrText xml:space="preserve"> PAGEREF _Toc225865576 \h </w:instrText>
        </w:r>
        <w:r w:rsidR="008A6FA2">
          <w:rPr>
            <w:webHidden/>
          </w:rPr>
        </w:r>
        <w:r w:rsidR="008A6FA2">
          <w:rPr>
            <w:webHidden/>
          </w:rPr>
          <w:fldChar w:fldCharType="separate"/>
        </w:r>
        <w:r w:rsidR="0031412C">
          <w:rPr>
            <w:webHidden/>
          </w:rPr>
          <w:t>28</w:t>
        </w:r>
        <w:r w:rsidR="008A6FA2">
          <w:rPr>
            <w:webHidden/>
          </w:rPr>
          <w:fldChar w:fldCharType="end"/>
        </w:r>
      </w:hyperlink>
    </w:p>
    <w:p w14:paraId="169CC0D1" w14:textId="688585DA" w:rsidR="008A6FA2" w:rsidRDefault="00000000">
      <w:pPr>
        <w:pStyle w:val="Sadraj3"/>
        <w:rPr>
          <w:rFonts w:asciiTheme="minorHAnsi" w:eastAsiaTheme="minorEastAsia" w:hAnsiTheme="minorHAnsi" w:cstheme="minorBidi"/>
          <w:kern w:val="2"/>
          <w:sz w:val="24"/>
          <w:szCs w:val="24"/>
          <w14:ligatures w14:val="standardContextual"/>
        </w:rPr>
      </w:pPr>
      <w:hyperlink w:anchor="_Toc225865577" w:history="1">
        <w:r w:rsidR="008A6FA2" w:rsidRPr="006B37BC">
          <w:rPr>
            <w:rStyle w:val="Hiperveza"/>
          </w:rPr>
          <w:t>4.2.5.</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Trgovačka društva u vlasništvu RH</w:t>
        </w:r>
        <w:r w:rsidR="008A6FA2">
          <w:rPr>
            <w:webHidden/>
          </w:rPr>
          <w:tab/>
        </w:r>
        <w:r w:rsidR="008A6FA2">
          <w:rPr>
            <w:webHidden/>
          </w:rPr>
          <w:fldChar w:fldCharType="begin"/>
        </w:r>
        <w:r w:rsidR="008A6FA2">
          <w:rPr>
            <w:webHidden/>
          </w:rPr>
          <w:instrText xml:space="preserve"> PAGEREF _Toc225865577 \h </w:instrText>
        </w:r>
        <w:r w:rsidR="008A6FA2">
          <w:rPr>
            <w:webHidden/>
          </w:rPr>
        </w:r>
        <w:r w:rsidR="008A6FA2">
          <w:rPr>
            <w:webHidden/>
          </w:rPr>
          <w:fldChar w:fldCharType="separate"/>
        </w:r>
        <w:r w:rsidR="0031412C">
          <w:rPr>
            <w:webHidden/>
          </w:rPr>
          <w:t>29</w:t>
        </w:r>
        <w:r w:rsidR="008A6FA2">
          <w:rPr>
            <w:webHidden/>
          </w:rPr>
          <w:fldChar w:fldCharType="end"/>
        </w:r>
      </w:hyperlink>
    </w:p>
    <w:p w14:paraId="169DC089" w14:textId="1BE022FF" w:rsidR="008A6FA2" w:rsidRDefault="00000000">
      <w:pPr>
        <w:pStyle w:val="Sadraj3"/>
        <w:rPr>
          <w:rFonts w:asciiTheme="minorHAnsi" w:eastAsiaTheme="minorEastAsia" w:hAnsiTheme="minorHAnsi" w:cstheme="minorBidi"/>
          <w:kern w:val="2"/>
          <w:sz w:val="24"/>
          <w:szCs w:val="24"/>
          <w14:ligatures w14:val="standardContextual"/>
        </w:rPr>
      </w:pPr>
      <w:hyperlink w:anchor="_Toc225865578" w:history="1">
        <w:r w:rsidR="008A6FA2" w:rsidRPr="006B37BC">
          <w:rPr>
            <w:rStyle w:val="Hiperveza"/>
          </w:rPr>
          <w:t>4.2.6.</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Trgovačka društva u vlasništvu JLP(R)S</w:t>
        </w:r>
        <w:r w:rsidR="008A6FA2">
          <w:rPr>
            <w:webHidden/>
          </w:rPr>
          <w:tab/>
        </w:r>
        <w:r w:rsidR="008A6FA2">
          <w:rPr>
            <w:webHidden/>
          </w:rPr>
          <w:fldChar w:fldCharType="begin"/>
        </w:r>
        <w:r w:rsidR="008A6FA2">
          <w:rPr>
            <w:webHidden/>
          </w:rPr>
          <w:instrText xml:space="preserve"> PAGEREF _Toc225865578 \h </w:instrText>
        </w:r>
        <w:r w:rsidR="008A6FA2">
          <w:rPr>
            <w:webHidden/>
          </w:rPr>
        </w:r>
        <w:r w:rsidR="008A6FA2">
          <w:rPr>
            <w:webHidden/>
          </w:rPr>
          <w:fldChar w:fldCharType="separate"/>
        </w:r>
        <w:r w:rsidR="0031412C">
          <w:rPr>
            <w:webHidden/>
          </w:rPr>
          <w:t>30</w:t>
        </w:r>
        <w:r w:rsidR="008A6FA2">
          <w:rPr>
            <w:webHidden/>
          </w:rPr>
          <w:fldChar w:fldCharType="end"/>
        </w:r>
      </w:hyperlink>
    </w:p>
    <w:p w14:paraId="3CEFFA7F" w14:textId="45A5DB1A" w:rsidR="008A6FA2" w:rsidRDefault="00000000">
      <w:pPr>
        <w:pStyle w:val="Sadraj3"/>
        <w:rPr>
          <w:rFonts w:asciiTheme="minorHAnsi" w:eastAsiaTheme="minorEastAsia" w:hAnsiTheme="minorHAnsi" w:cstheme="minorBidi"/>
          <w:kern w:val="2"/>
          <w:sz w:val="24"/>
          <w:szCs w:val="24"/>
          <w14:ligatures w14:val="standardContextual"/>
        </w:rPr>
      </w:pPr>
      <w:hyperlink w:anchor="_Toc225865579" w:history="1">
        <w:r w:rsidR="008A6FA2" w:rsidRPr="006B37BC">
          <w:rPr>
            <w:rStyle w:val="Hiperveza"/>
          </w:rPr>
          <w:t>4.2.7.</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Tijela javne vlasti - agencije, zavodi, fondovi, centri</w:t>
        </w:r>
        <w:r w:rsidR="008A6FA2">
          <w:rPr>
            <w:webHidden/>
          </w:rPr>
          <w:tab/>
        </w:r>
        <w:r w:rsidR="008A6FA2">
          <w:rPr>
            <w:webHidden/>
          </w:rPr>
          <w:fldChar w:fldCharType="begin"/>
        </w:r>
        <w:r w:rsidR="008A6FA2">
          <w:rPr>
            <w:webHidden/>
          </w:rPr>
          <w:instrText xml:space="preserve"> PAGEREF _Toc225865579 \h </w:instrText>
        </w:r>
        <w:r w:rsidR="008A6FA2">
          <w:rPr>
            <w:webHidden/>
          </w:rPr>
        </w:r>
        <w:r w:rsidR="008A6FA2">
          <w:rPr>
            <w:webHidden/>
          </w:rPr>
          <w:fldChar w:fldCharType="separate"/>
        </w:r>
        <w:r w:rsidR="0031412C">
          <w:rPr>
            <w:webHidden/>
          </w:rPr>
          <w:t>31</w:t>
        </w:r>
        <w:r w:rsidR="008A6FA2">
          <w:rPr>
            <w:webHidden/>
          </w:rPr>
          <w:fldChar w:fldCharType="end"/>
        </w:r>
      </w:hyperlink>
    </w:p>
    <w:p w14:paraId="5D69B2DA" w14:textId="75CAC87E" w:rsidR="008A6FA2" w:rsidRDefault="00000000">
      <w:pPr>
        <w:pStyle w:val="Sadraj3"/>
        <w:rPr>
          <w:rFonts w:asciiTheme="minorHAnsi" w:eastAsiaTheme="minorEastAsia" w:hAnsiTheme="minorHAnsi" w:cstheme="minorBidi"/>
          <w:kern w:val="2"/>
          <w:sz w:val="24"/>
          <w:szCs w:val="24"/>
          <w14:ligatures w14:val="standardContextual"/>
        </w:rPr>
      </w:pPr>
      <w:hyperlink w:anchor="_Toc225865580" w:history="1">
        <w:r w:rsidR="008A6FA2" w:rsidRPr="006B37BC">
          <w:rPr>
            <w:rStyle w:val="Hiperveza"/>
          </w:rPr>
          <w:t>4.2.8.</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Nepravilno postupanje i šutnja uprave po kategorijama tijela javne vlasti - objedinjeni podaci</w:t>
        </w:r>
        <w:r w:rsidR="008A6FA2">
          <w:rPr>
            <w:webHidden/>
          </w:rPr>
          <w:tab/>
        </w:r>
        <w:r w:rsidR="008A6FA2">
          <w:rPr>
            <w:webHidden/>
          </w:rPr>
          <w:fldChar w:fldCharType="begin"/>
        </w:r>
        <w:r w:rsidR="008A6FA2">
          <w:rPr>
            <w:webHidden/>
          </w:rPr>
          <w:instrText xml:space="preserve"> PAGEREF _Toc225865580 \h </w:instrText>
        </w:r>
        <w:r w:rsidR="008A6FA2">
          <w:rPr>
            <w:webHidden/>
          </w:rPr>
        </w:r>
        <w:r w:rsidR="008A6FA2">
          <w:rPr>
            <w:webHidden/>
          </w:rPr>
          <w:fldChar w:fldCharType="separate"/>
        </w:r>
        <w:r w:rsidR="0031412C">
          <w:rPr>
            <w:webHidden/>
          </w:rPr>
          <w:t>32</w:t>
        </w:r>
        <w:r w:rsidR="008A6FA2">
          <w:rPr>
            <w:webHidden/>
          </w:rPr>
          <w:fldChar w:fldCharType="end"/>
        </w:r>
      </w:hyperlink>
    </w:p>
    <w:p w14:paraId="3AFF316F" w14:textId="1C50DEE1" w:rsidR="008A6FA2" w:rsidRDefault="00000000">
      <w:pPr>
        <w:pStyle w:val="Sadraj2"/>
        <w:rPr>
          <w:rFonts w:asciiTheme="minorHAnsi" w:eastAsiaTheme="minorEastAsia" w:hAnsiTheme="minorHAnsi" w:cstheme="minorBidi"/>
          <w:kern w:val="2"/>
          <w:sz w:val="24"/>
          <w:szCs w:val="24"/>
          <w14:ligatures w14:val="standardContextual"/>
        </w:rPr>
      </w:pPr>
      <w:hyperlink w:anchor="_Toc225865581" w:history="1">
        <w:r w:rsidR="008A6FA2" w:rsidRPr="006B37BC">
          <w:rPr>
            <w:rStyle w:val="Hiperveza"/>
            <w:rFonts w:ascii="Arial" w:hAnsi="Arial"/>
          </w:rPr>
          <w:t>4.3.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Odluke o žalbama prema odabranim razlozima odbijanja zahtjeva</w:t>
        </w:r>
        <w:r w:rsidR="008A6FA2">
          <w:rPr>
            <w:webHidden/>
          </w:rPr>
          <w:tab/>
        </w:r>
        <w:r w:rsidR="008A6FA2">
          <w:rPr>
            <w:webHidden/>
          </w:rPr>
          <w:fldChar w:fldCharType="begin"/>
        </w:r>
        <w:r w:rsidR="008A6FA2">
          <w:rPr>
            <w:webHidden/>
          </w:rPr>
          <w:instrText xml:space="preserve"> PAGEREF _Toc225865581 \h </w:instrText>
        </w:r>
        <w:r w:rsidR="008A6FA2">
          <w:rPr>
            <w:webHidden/>
          </w:rPr>
        </w:r>
        <w:r w:rsidR="008A6FA2">
          <w:rPr>
            <w:webHidden/>
          </w:rPr>
          <w:fldChar w:fldCharType="separate"/>
        </w:r>
        <w:r w:rsidR="0031412C">
          <w:rPr>
            <w:webHidden/>
          </w:rPr>
          <w:t>34</w:t>
        </w:r>
        <w:r w:rsidR="008A6FA2">
          <w:rPr>
            <w:webHidden/>
          </w:rPr>
          <w:fldChar w:fldCharType="end"/>
        </w:r>
      </w:hyperlink>
    </w:p>
    <w:p w14:paraId="6B1839CD" w14:textId="751D8443" w:rsidR="008A6FA2" w:rsidRDefault="00000000">
      <w:pPr>
        <w:pStyle w:val="Sadraj3"/>
        <w:rPr>
          <w:rFonts w:asciiTheme="minorHAnsi" w:eastAsiaTheme="minorEastAsia" w:hAnsiTheme="minorHAnsi" w:cstheme="minorBidi"/>
          <w:kern w:val="2"/>
          <w:sz w:val="24"/>
          <w:szCs w:val="24"/>
          <w14:ligatures w14:val="standardContextual"/>
        </w:rPr>
      </w:pPr>
      <w:hyperlink w:anchor="_Toc225865582" w:history="1">
        <w:r w:rsidR="008A6FA2" w:rsidRPr="006B37BC">
          <w:rPr>
            <w:rStyle w:val="Hiperveza"/>
          </w:rPr>
          <w:t>4.3.1.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Informacija se ne smatra informacijom u smislu ZPPI-ja</w:t>
        </w:r>
        <w:r w:rsidR="008A6FA2">
          <w:rPr>
            <w:webHidden/>
          </w:rPr>
          <w:tab/>
        </w:r>
        <w:r w:rsidR="008A6FA2">
          <w:rPr>
            <w:webHidden/>
          </w:rPr>
          <w:fldChar w:fldCharType="begin"/>
        </w:r>
        <w:r w:rsidR="008A6FA2">
          <w:rPr>
            <w:webHidden/>
          </w:rPr>
          <w:instrText xml:space="preserve"> PAGEREF _Toc225865582 \h </w:instrText>
        </w:r>
        <w:r w:rsidR="008A6FA2">
          <w:rPr>
            <w:webHidden/>
          </w:rPr>
        </w:r>
        <w:r w:rsidR="008A6FA2">
          <w:rPr>
            <w:webHidden/>
          </w:rPr>
          <w:fldChar w:fldCharType="separate"/>
        </w:r>
        <w:r w:rsidR="0031412C">
          <w:rPr>
            <w:webHidden/>
          </w:rPr>
          <w:t>34</w:t>
        </w:r>
        <w:r w:rsidR="008A6FA2">
          <w:rPr>
            <w:webHidden/>
          </w:rPr>
          <w:fldChar w:fldCharType="end"/>
        </w:r>
      </w:hyperlink>
    </w:p>
    <w:p w14:paraId="1B6E5C72" w14:textId="197D2228" w:rsidR="008A6FA2" w:rsidRDefault="00000000">
      <w:pPr>
        <w:pStyle w:val="Sadraj3"/>
        <w:rPr>
          <w:rFonts w:asciiTheme="minorHAnsi" w:eastAsiaTheme="minorEastAsia" w:hAnsiTheme="minorHAnsi" w:cstheme="minorBidi"/>
          <w:kern w:val="2"/>
          <w:sz w:val="24"/>
          <w:szCs w:val="24"/>
          <w14:ligatures w14:val="standardContextual"/>
        </w:rPr>
      </w:pPr>
      <w:hyperlink w:anchor="_Toc225865583" w:history="1">
        <w:r w:rsidR="008A6FA2" w:rsidRPr="006B37BC">
          <w:rPr>
            <w:rStyle w:val="Hiperveza"/>
          </w:rPr>
          <w:t>4.3.2.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Tijelo javne vlasti ne posjeduje informaciju</w:t>
        </w:r>
        <w:r w:rsidR="008A6FA2">
          <w:rPr>
            <w:webHidden/>
          </w:rPr>
          <w:tab/>
        </w:r>
        <w:r w:rsidR="008A6FA2">
          <w:rPr>
            <w:webHidden/>
          </w:rPr>
          <w:fldChar w:fldCharType="begin"/>
        </w:r>
        <w:r w:rsidR="008A6FA2">
          <w:rPr>
            <w:webHidden/>
          </w:rPr>
          <w:instrText xml:space="preserve"> PAGEREF _Toc225865583 \h </w:instrText>
        </w:r>
        <w:r w:rsidR="008A6FA2">
          <w:rPr>
            <w:webHidden/>
          </w:rPr>
        </w:r>
        <w:r w:rsidR="008A6FA2">
          <w:rPr>
            <w:webHidden/>
          </w:rPr>
          <w:fldChar w:fldCharType="separate"/>
        </w:r>
        <w:r w:rsidR="0031412C">
          <w:rPr>
            <w:webHidden/>
          </w:rPr>
          <w:t>35</w:t>
        </w:r>
        <w:r w:rsidR="008A6FA2">
          <w:rPr>
            <w:webHidden/>
          </w:rPr>
          <w:fldChar w:fldCharType="end"/>
        </w:r>
      </w:hyperlink>
    </w:p>
    <w:p w14:paraId="73DD3556" w14:textId="7F29A605" w:rsidR="008A6FA2" w:rsidRDefault="00000000">
      <w:pPr>
        <w:pStyle w:val="Sadraj3"/>
        <w:rPr>
          <w:rFonts w:asciiTheme="minorHAnsi" w:eastAsiaTheme="minorEastAsia" w:hAnsiTheme="minorHAnsi" w:cstheme="minorBidi"/>
          <w:kern w:val="2"/>
          <w:sz w:val="24"/>
          <w:szCs w:val="24"/>
          <w14:ligatures w14:val="standardContextual"/>
        </w:rPr>
      </w:pPr>
      <w:hyperlink w:anchor="_Toc225865584" w:history="1">
        <w:r w:rsidR="008A6FA2" w:rsidRPr="006B37BC">
          <w:rPr>
            <w:rStyle w:val="Hiperveza"/>
          </w:rPr>
          <w:t>4.3.3.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Zlouporaba prava</w:t>
        </w:r>
        <w:r w:rsidR="008A6FA2">
          <w:rPr>
            <w:webHidden/>
          </w:rPr>
          <w:tab/>
        </w:r>
        <w:r w:rsidR="008A6FA2">
          <w:rPr>
            <w:webHidden/>
          </w:rPr>
          <w:fldChar w:fldCharType="begin"/>
        </w:r>
        <w:r w:rsidR="008A6FA2">
          <w:rPr>
            <w:webHidden/>
          </w:rPr>
          <w:instrText xml:space="preserve"> PAGEREF _Toc225865584 \h </w:instrText>
        </w:r>
        <w:r w:rsidR="008A6FA2">
          <w:rPr>
            <w:webHidden/>
          </w:rPr>
        </w:r>
        <w:r w:rsidR="008A6FA2">
          <w:rPr>
            <w:webHidden/>
          </w:rPr>
          <w:fldChar w:fldCharType="separate"/>
        </w:r>
        <w:r w:rsidR="0031412C">
          <w:rPr>
            <w:webHidden/>
          </w:rPr>
          <w:t>35</w:t>
        </w:r>
        <w:r w:rsidR="008A6FA2">
          <w:rPr>
            <w:webHidden/>
          </w:rPr>
          <w:fldChar w:fldCharType="end"/>
        </w:r>
      </w:hyperlink>
    </w:p>
    <w:p w14:paraId="08541FBA" w14:textId="67D6C9B4" w:rsidR="008A6FA2" w:rsidRDefault="00000000">
      <w:pPr>
        <w:pStyle w:val="Sadraj3"/>
        <w:rPr>
          <w:rFonts w:asciiTheme="minorHAnsi" w:eastAsiaTheme="minorEastAsia" w:hAnsiTheme="minorHAnsi" w:cstheme="minorBidi"/>
          <w:kern w:val="2"/>
          <w:sz w:val="24"/>
          <w:szCs w:val="24"/>
          <w14:ligatures w14:val="standardContextual"/>
        </w:rPr>
      </w:pPr>
      <w:hyperlink w:anchor="_Toc225865585" w:history="1">
        <w:r w:rsidR="008A6FA2" w:rsidRPr="006B37BC">
          <w:rPr>
            <w:rStyle w:val="Hiperveza"/>
          </w:rPr>
          <w:t>4.3.4.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Osobni podaci</w:t>
        </w:r>
        <w:r w:rsidR="008A6FA2">
          <w:rPr>
            <w:webHidden/>
          </w:rPr>
          <w:tab/>
        </w:r>
        <w:r w:rsidR="008A6FA2">
          <w:rPr>
            <w:webHidden/>
          </w:rPr>
          <w:fldChar w:fldCharType="begin"/>
        </w:r>
        <w:r w:rsidR="008A6FA2">
          <w:rPr>
            <w:webHidden/>
          </w:rPr>
          <w:instrText xml:space="preserve"> PAGEREF _Toc225865585 \h </w:instrText>
        </w:r>
        <w:r w:rsidR="008A6FA2">
          <w:rPr>
            <w:webHidden/>
          </w:rPr>
        </w:r>
        <w:r w:rsidR="008A6FA2">
          <w:rPr>
            <w:webHidden/>
          </w:rPr>
          <w:fldChar w:fldCharType="separate"/>
        </w:r>
        <w:r w:rsidR="0031412C">
          <w:rPr>
            <w:webHidden/>
          </w:rPr>
          <w:t>36</w:t>
        </w:r>
        <w:r w:rsidR="008A6FA2">
          <w:rPr>
            <w:webHidden/>
          </w:rPr>
          <w:fldChar w:fldCharType="end"/>
        </w:r>
      </w:hyperlink>
    </w:p>
    <w:p w14:paraId="1E51E33C" w14:textId="75F5FDED" w:rsidR="008A6FA2" w:rsidRDefault="00000000">
      <w:pPr>
        <w:pStyle w:val="Sadraj3"/>
        <w:rPr>
          <w:rFonts w:asciiTheme="minorHAnsi" w:eastAsiaTheme="minorEastAsia" w:hAnsiTheme="minorHAnsi" w:cstheme="minorBidi"/>
          <w:kern w:val="2"/>
          <w:sz w:val="24"/>
          <w:szCs w:val="24"/>
          <w14:ligatures w14:val="standardContextual"/>
        </w:rPr>
      </w:pPr>
      <w:hyperlink w:anchor="_Toc225865586" w:history="1">
        <w:r w:rsidR="008A6FA2" w:rsidRPr="006B37BC">
          <w:rPr>
            <w:rStyle w:val="Hiperveza"/>
          </w:rPr>
          <w:t>4.3.5.</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Klasificirani podaci</w:t>
        </w:r>
        <w:r w:rsidR="008A6FA2">
          <w:rPr>
            <w:webHidden/>
          </w:rPr>
          <w:tab/>
        </w:r>
        <w:r w:rsidR="008A6FA2">
          <w:rPr>
            <w:webHidden/>
          </w:rPr>
          <w:fldChar w:fldCharType="begin"/>
        </w:r>
        <w:r w:rsidR="008A6FA2">
          <w:rPr>
            <w:webHidden/>
          </w:rPr>
          <w:instrText xml:space="preserve"> PAGEREF _Toc225865586 \h </w:instrText>
        </w:r>
        <w:r w:rsidR="008A6FA2">
          <w:rPr>
            <w:webHidden/>
          </w:rPr>
        </w:r>
        <w:r w:rsidR="008A6FA2">
          <w:rPr>
            <w:webHidden/>
          </w:rPr>
          <w:fldChar w:fldCharType="separate"/>
        </w:r>
        <w:r w:rsidR="0031412C">
          <w:rPr>
            <w:webHidden/>
          </w:rPr>
          <w:t>37</w:t>
        </w:r>
        <w:r w:rsidR="008A6FA2">
          <w:rPr>
            <w:webHidden/>
          </w:rPr>
          <w:fldChar w:fldCharType="end"/>
        </w:r>
      </w:hyperlink>
    </w:p>
    <w:p w14:paraId="46874545" w14:textId="2AE9C3FB" w:rsidR="008A6FA2" w:rsidRDefault="00000000">
      <w:pPr>
        <w:pStyle w:val="Sadraj3"/>
        <w:rPr>
          <w:rFonts w:asciiTheme="minorHAnsi" w:eastAsiaTheme="minorEastAsia" w:hAnsiTheme="minorHAnsi" w:cstheme="minorBidi"/>
          <w:kern w:val="2"/>
          <w:sz w:val="24"/>
          <w:szCs w:val="24"/>
          <w14:ligatures w14:val="standardContextual"/>
        </w:rPr>
      </w:pPr>
      <w:hyperlink w:anchor="_Toc225865587" w:history="1">
        <w:r w:rsidR="008A6FA2" w:rsidRPr="006B37BC">
          <w:rPr>
            <w:rStyle w:val="Hiperveza"/>
          </w:rPr>
          <w:t>4.3.6.</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Poslovna i profesionalna tajna</w:t>
        </w:r>
        <w:r w:rsidR="008A6FA2">
          <w:rPr>
            <w:webHidden/>
          </w:rPr>
          <w:tab/>
        </w:r>
        <w:r w:rsidR="008A6FA2">
          <w:rPr>
            <w:webHidden/>
          </w:rPr>
          <w:fldChar w:fldCharType="begin"/>
        </w:r>
        <w:r w:rsidR="008A6FA2">
          <w:rPr>
            <w:webHidden/>
          </w:rPr>
          <w:instrText xml:space="preserve"> PAGEREF _Toc225865587 \h </w:instrText>
        </w:r>
        <w:r w:rsidR="008A6FA2">
          <w:rPr>
            <w:webHidden/>
          </w:rPr>
        </w:r>
        <w:r w:rsidR="008A6FA2">
          <w:rPr>
            <w:webHidden/>
          </w:rPr>
          <w:fldChar w:fldCharType="separate"/>
        </w:r>
        <w:r w:rsidR="0031412C">
          <w:rPr>
            <w:webHidden/>
          </w:rPr>
          <w:t>38</w:t>
        </w:r>
        <w:r w:rsidR="008A6FA2">
          <w:rPr>
            <w:webHidden/>
          </w:rPr>
          <w:fldChar w:fldCharType="end"/>
        </w:r>
      </w:hyperlink>
    </w:p>
    <w:p w14:paraId="4E79450D" w14:textId="3CADD7F1" w:rsidR="008A6FA2" w:rsidRDefault="00000000">
      <w:pPr>
        <w:pStyle w:val="Sadraj3"/>
        <w:rPr>
          <w:rFonts w:asciiTheme="minorHAnsi" w:eastAsiaTheme="minorEastAsia" w:hAnsiTheme="minorHAnsi" w:cstheme="minorBidi"/>
          <w:kern w:val="2"/>
          <w:sz w:val="24"/>
          <w:szCs w:val="24"/>
          <w14:ligatures w14:val="standardContextual"/>
        </w:rPr>
      </w:pPr>
      <w:hyperlink w:anchor="_Toc225865588" w:history="1">
        <w:r w:rsidR="008A6FA2" w:rsidRPr="006B37BC">
          <w:rPr>
            <w:rStyle w:val="Hiperveza"/>
          </w:rPr>
          <w:t>4.3.7.</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Vođenje postupka - članak 15. stavak 3. točka 1. ZPPI-ja</w:t>
        </w:r>
        <w:r w:rsidR="008A6FA2">
          <w:rPr>
            <w:webHidden/>
          </w:rPr>
          <w:tab/>
        </w:r>
        <w:r w:rsidR="008A6FA2">
          <w:rPr>
            <w:webHidden/>
          </w:rPr>
          <w:fldChar w:fldCharType="begin"/>
        </w:r>
        <w:r w:rsidR="008A6FA2">
          <w:rPr>
            <w:webHidden/>
          </w:rPr>
          <w:instrText xml:space="preserve"> PAGEREF _Toc225865588 \h </w:instrText>
        </w:r>
        <w:r w:rsidR="008A6FA2">
          <w:rPr>
            <w:webHidden/>
          </w:rPr>
        </w:r>
        <w:r w:rsidR="008A6FA2">
          <w:rPr>
            <w:webHidden/>
          </w:rPr>
          <w:fldChar w:fldCharType="separate"/>
        </w:r>
        <w:r w:rsidR="0031412C">
          <w:rPr>
            <w:webHidden/>
          </w:rPr>
          <w:t>38</w:t>
        </w:r>
        <w:r w:rsidR="008A6FA2">
          <w:rPr>
            <w:webHidden/>
          </w:rPr>
          <w:fldChar w:fldCharType="end"/>
        </w:r>
      </w:hyperlink>
    </w:p>
    <w:p w14:paraId="1D5AED86" w14:textId="222501E7" w:rsidR="008A6FA2" w:rsidRDefault="00000000">
      <w:pPr>
        <w:pStyle w:val="Sadraj3"/>
        <w:rPr>
          <w:rFonts w:asciiTheme="minorHAnsi" w:eastAsiaTheme="minorEastAsia" w:hAnsiTheme="minorHAnsi" w:cstheme="minorBidi"/>
          <w:kern w:val="2"/>
          <w:sz w:val="24"/>
          <w:szCs w:val="24"/>
          <w14:ligatures w14:val="standardContextual"/>
        </w:rPr>
      </w:pPr>
      <w:hyperlink w:anchor="_Toc225865589" w:history="1">
        <w:r w:rsidR="008A6FA2" w:rsidRPr="006B37BC">
          <w:rPr>
            <w:rStyle w:val="Hiperveza"/>
          </w:rPr>
          <w:t>4.3.8.</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U ostalim slučajevima utvrđenim zakonom</w:t>
        </w:r>
        <w:r w:rsidR="008A6FA2">
          <w:rPr>
            <w:webHidden/>
          </w:rPr>
          <w:tab/>
        </w:r>
        <w:r w:rsidR="008A6FA2">
          <w:rPr>
            <w:webHidden/>
          </w:rPr>
          <w:fldChar w:fldCharType="begin"/>
        </w:r>
        <w:r w:rsidR="008A6FA2">
          <w:rPr>
            <w:webHidden/>
          </w:rPr>
          <w:instrText xml:space="preserve"> PAGEREF _Toc225865589 \h </w:instrText>
        </w:r>
        <w:r w:rsidR="008A6FA2">
          <w:rPr>
            <w:webHidden/>
          </w:rPr>
        </w:r>
        <w:r w:rsidR="008A6FA2">
          <w:rPr>
            <w:webHidden/>
          </w:rPr>
          <w:fldChar w:fldCharType="separate"/>
        </w:r>
        <w:r w:rsidR="0031412C">
          <w:rPr>
            <w:webHidden/>
          </w:rPr>
          <w:t>39</w:t>
        </w:r>
        <w:r w:rsidR="008A6FA2">
          <w:rPr>
            <w:webHidden/>
          </w:rPr>
          <w:fldChar w:fldCharType="end"/>
        </w:r>
      </w:hyperlink>
    </w:p>
    <w:p w14:paraId="4456F370" w14:textId="65B1F599" w:rsidR="008A6FA2" w:rsidRDefault="00000000">
      <w:pPr>
        <w:pStyle w:val="Sadraj2"/>
        <w:rPr>
          <w:rFonts w:asciiTheme="minorHAnsi" w:eastAsiaTheme="minorEastAsia" w:hAnsiTheme="minorHAnsi" w:cstheme="minorBidi"/>
          <w:kern w:val="2"/>
          <w:sz w:val="24"/>
          <w:szCs w:val="24"/>
          <w14:ligatures w14:val="standardContextual"/>
        </w:rPr>
      </w:pPr>
      <w:hyperlink w:anchor="_Toc225865590" w:history="1">
        <w:r w:rsidR="008A6FA2" w:rsidRPr="006B37BC">
          <w:rPr>
            <w:rStyle w:val="Hiperveza"/>
            <w:rFonts w:ascii="Arial" w:hAnsi="Arial"/>
          </w:rPr>
          <w:t>4.4.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Žalbe na postupanje sa zahtjevima za ponovnu uporabu informacija</w:t>
        </w:r>
        <w:r w:rsidR="008A6FA2">
          <w:rPr>
            <w:webHidden/>
          </w:rPr>
          <w:tab/>
        </w:r>
        <w:r w:rsidR="008A6FA2">
          <w:rPr>
            <w:webHidden/>
          </w:rPr>
          <w:fldChar w:fldCharType="begin"/>
        </w:r>
        <w:r w:rsidR="008A6FA2">
          <w:rPr>
            <w:webHidden/>
          </w:rPr>
          <w:instrText xml:space="preserve"> PAGEREF _Toc225865590 \h </w:instrText>
        </w:r>
        <w:r w:rsidR="008A6FA2">
          <w:rPr>
            <w:webHidden/>
          </w:rPr>
        </w:r>
        <w:r w:rsidR="008A6FA2">
          <w:rPr>
            <w:webHidden/>
          </w:rPr>
          <w:fldChar w:fldCharType="separate"/>
        </w:r>
        <w:r w:rsidR="0031412C">
          <w:rPr>
            <w:webHidden/>
          </w:rPr>
          <w:t>39</w:t>
        </w:r>
        <w:r w:rsidR="008A6FA2">
          <w:rPr>
            <w:webHidden/>
          </w:rPr>
          <w:fldChar w:fldCharType="end"/>
        </w:r>
      </w:hyperlink>
    </w:p>
    <w:p w14:paraId="56C5EDA6" w14:textId="4D2C69C4" w:rsidR="008A6FA2" w:rsidRDefault="00000000">
      <w:pPr>
        <w:pStyle w:val="Sadraj2"/>
        <w:rPr>
          <w:rFonts w:asciiTheme="minorHAnsi" w:eastAsiaTheme="minorEastAsia" w:hAnsiTheme="minorHAnsi" w:cstheme="minorBidi"/>
          <w:kern w:val="2"/>
          <w:sz w:val="24"/>
          <w:szCs w:val="24"/>
          <w14:ligatures w14:val="standardContextual"/>
        </w:rPr>
      </w:pPr>
      <w:hyperlink w:anchor="_Toc225865591" w:history="1">
        <w:r w:rsidR="008A6FA2" w:rsidRPr="006B37BC">
          <w:rPr>
            <w:rStyle w:val="Hiperveza"/>
            <w:rFonts w:ascii="Arial" w:hAnsi="Arial"/>
          </w:rPr>
          <w:t>4.5.</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Značajnije odluke Povjerenika za informiranje</w:t>
        </w:r>
        <w:r w:rsidR="008A6FA2">
          <w:rPr>
            <w:webHidden/>
          </w:rPr>
          <w:tab/>
        </w:r>
        <w:r w:rsidR="008A6FA2">
          <w:rPr>
            <w:webHidden/>
          </w:rPr>
          <w:fldChar w:fldCharType="begin"/>
        </w:r>
        <w:r w:rsidR="008A6FA2">
          <w:rPr>
            <w:webHidden/>
          </w:rPr>
          <w:instrText xml:space="preserve"> PAGEREF _Toc225865591 \h </w:instrText>
        </w:r>
        <w:r w:rsidR="008A6FA2">
          <w:rPr>
            <w:webHidden/>
          </w:rPr>
        </w:r>
        <w:r w:rsidR="008A6FA2">
          <w:rPr>
            <w:webHidden/>
          </w:rPr>
          <w:fldChar w:fldCharType="separate"/>
        </w:r>
        <w:r w:rsidR="0031412C">
          <w:rPr>
            <w:webHidden/>
          </w:rPr>
          <w:t>40</w:t>
        </w:r>
        <w:r w:rsidR="008A6FA2">
          <w:rPr>
            <w:webHidden/>
          </w:rPr>
          <w:fldChar w:fldCharType="end"/>
        </w:r>
      </w:hyperlink>
    </w:p>
    <w:p w14:paraId="023ACA9B" w14:textId="76165F7A" w:rsidR="008A6FA2" w:rsidRDefault="00000000">
      <w:pPr>
        <w:pStyle w:val="Sadraj2"/>
        <w:rPr>
          <w:rFonts w:asciiTheme="minorHAnsi" w:eastAsiaTheme="minorEastAsia" w:hAnsiTheme="minorHAnsi" w:cstheme="minorBidi"/>
          <w:kern w:val="2"/>
          <w:sz w:val="24"/>
          <w:szCs w:val="24"/>
          <w14:ligatures w14:val="standardContextual"/>
        </w:rPr>
      </w:pPr>
      <w:hyperlink w:anchor="_Toc225865592" w:history="1">
        <w:r w:rsidR="008A6FA2" w:rsidRPr="006B37BC">
          <w:rPr>
            <w:rStyle w:val="Hiperveza"/>
            <w:rFonts w:ascii="Arial" w:hAnsi="Arial"/>
          </w:rPr>
          <w:t>4.6.</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Provedba izvršenja rješenja u 2025. godini</w:t>
        </w:r>
        <w:r w:rsidR="008A6FA2">
          <w:rPr>
            <w:webHidden/>
          </w:rPr>
          <w:tab/>
        </w:r>
        <w:r w:rsidR="008A6FA2">
          <w:rPr>
            <w:webHidden/>
          </w:rPr>
          <w:fldChar w:fldCharType="begin"/>
        </w:r>
        <w:r w:rsidR="008A6FA2">
          <w:rPr>
            <w:webHidden/>
          </w:rPr>
          <w:instrText xml:space="preserve"> PAGEREF _Toc225865592 \h </w:instrText>
        </w:r>
        <w:r w:rsidR="008A6FA2">
          <w:rPr>
            <w:webHidden/>
          </w:rPr>
        </w:r>
        <w:r w:rsidR="008A6FA2">
          <w:rPr>
            <w:webHidden/>
          </w:rPr>
          <w:fldChar w:fldCharType="separate"/>
        </w:r>
        <w:r w:rsidR="0031412C">
          <w:rPr>
            <w:webHidden/>
          </w:rPr>
          <w:t>42</w:t>
        </w:r>
        <w:r w:rsidR="008A6FA2">
          <w:rPr>
            <w:webHidden/>
          </w:rPr>
          <w:fldChar w:fldCharType="end"/>
        </w:r>
      </w:hyperlink>
    </w:p>
    <w:p w14:paraId="247B52DC" w14:textId="33F6470D"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593" w:history="1">
        <w:r w:rsidR="008A6FA2" w:rsidRPr="006B37BC">
          <w:rPr>
            <w:rStyle w:val="Hiperveza"/>
            <w:rFonts w:ascii="Arial" w:hAnsi="Arial" w:cs="Arial"/>
          </w:rPr>
          <w:t>5.</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Sudski nadzor</w:t>
        </w:r>
        <w:r w:rsidR="008A6FA2">
          <w:rPr>
            <w:webHidden/>
          </w:rPr>
          <w:tab/>
        </w:r>
        <w:r w:rsidR="008A6FA2">
          <w:rPr>
            <w:webHidden/>
          </w:rPr>
          <w:fldChar w:fldCharType="begin"/>
        </w:r>
        <w:r w:rsidR="008A6FA2">
          <w:rPr>
            <w:webHidden/>
          </w:rPr>
          <w:instrText xml:space="preserve"> PAGEREF _Toc225865593 \h </w:instrText>
        </w:r>
        <w:r w:rsidR="008A6FA2">
          <w:rPr>
            <w:webHidden/>
          </w:rPr>
        </w:r>
        <w:r w:rsidR="008A6FA2">
          <w:rPr>
            <w:webHidden/>
          </w:rPr>
          <w:fldChar w:fldCharType="separate"/>
        </w:r>
        <w:r w:rsidR="0031412C">
          <w:rPr>
            <w:webHidden/>
          </w:rPr>
          <w:t>43</w:t>
        </w:r>
        <w:r w:rsidR="008A6FA2">
          <w:rPr>
            <w:webHidden/>
          </w:rPr>
          <w:fldChar w:fldCharType="end"/>
        </w:r>
      </w:hyperlink>
    </w:p>
    <w:p w14:paraId="2A267E65" w14:textId="3A25DA64" w:rsidR="008A6FA2" w:rsidRDefault="00000000">
      <w:pPr>
        <w:pStyle w:val="Sadraj2"/>
        <w:rPr>
          <w:rFonts w:asciiTheme="minorHAnsi" w:eastAsiaTheme="minorEastAsia" w:hAnsiTheme="minorHAnsi" w:cstheme="minorBidi"/>
          <w:kern w:val="2"/>
          <w:sz w:val="24"/>
          <w:szCs w:val="24"/>
          <w14:ligatures w14:val="standardContextual"/>
        </w:rPr>
      </w:pPr>
      <w:hyperlink w:anchor="_Toc225865594" w:history="1">
        <w:r w:rsidR="008A6FA2" w:rsidRPr="006B37BC">
          <w:rPr>
            <w:rStyle w:val="Hiperveza"/>
            <w:rFonts w:ascii="Arial" w:hAnsi="Arial"/>
          </w:rPr>
          <w:t>5.1.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Postupci pred Visokim upravnim sudom Republike Hrvatske</w:t>
        </w:r>
        <w:r w:rsidR="008A6FA2">
          <w:rPr>
            <w:webHidden/>
          </w:rPr>
          <w:tab/>
        </w:r>
        <w:r w:rsidR="008A6FA2">
          <w:rPr>
            <w:webHidden/>
          </w:rPr>
          <w:fldChar w:fldCharType="begin"/>
        </w:r>
        <w:r w:rsidR="008A6FA2">
          <w:rPr>
            <w:webHidden/>
          </w:rPr>
          <w:instrText xml:space="preserve"> PAGEREF _Toc225865594 \h </w:instrText>
        </w:r>
        <w:r w:rsidR="008A6FA2">
          <w:rPr>
            <w:webHidden/>
          </w:rPr>
        </w:r>
        <w:r w:rsidR="008A6FA2">
          <w:rPr>
            <w:webHidden/>
          </w:rPr>
          <w:fldChar w:fldCharType="separate"/>
        </w:r>
        <w:r w:rsidR="0031412C">
          <w:rPr>
            <w:webHidden/>
          </w:rPr>
          <w:t>43</w:t>
        </w:r>
        <w:r w:rsidR="008A6FA2">
          <w:rPr>
            <w:webHidden/>
          </w:rPr>
          <w:fldChar w:fldCharType="end"/>
        </w:r>
      </w:hyperlink>
    </w:p>
    <w:p w14:paraId="21CBA336" w14:textId="52CCABC1" w:rsidR="008A6FA2" w:rsidRDefault="00000000">
      <w:pPr>
        <w:pStyle w:val="Sadraj3"/>
        <w:rPr>
          <w:rFonts w:asciiTheme="minorHAnsi" w:eastAsiaTheme="minorEastAsia" w:hAnsiTheme="minorHAnsi" w:cstheme="minorBidi"/>
          <w:kern w:val="2"/>
          <w:sz w:val="24"/>
          <w:szCs w:val="24"/>
          <w14:ligatures w14:val="standardContextual"/>
        </w:rPr>
      </w:pPr>
      <w:hyperlink w:anchor="_Toc225865595" w:history="1">
        <w:r w:rsidR="008A6FA2" w:rsidRPr="006B37BC">
          <w:rPr>
            <w:rStyle w:val="Hiperveza"/>
          </w:rPr>
          <w:t>5.1.1.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Podnošenje tužbi</w:t>
        </w:r>
        <w:r w:rsidR="008A6FA2">
          <w:rPr>
            <w:webHidden/>
          </w:rPr>
          <w:tab/>
        </w:r>
        <w:r w:rsidR="008A6FA2">
          <w:rPr>
            <w:webHidden/>
          </w:rPr>
          <w:fldChar w:fldCharType="begin"/>
        </w:r>
        <w:r w:rsidR="008A6FA2">
          <w:rPr>
            <w:webHidden/>
          </w:rPr>
          <w:instrText xml:space="preserve"> PAGEREF _Toc225865595 \h </w:instrText>
        </w:r>
        <w:r w:rsidR="008A6FA2">
          <w:rPr>
            <w:webHidden/>
          </w:rPr>
        </w:r>
        <w:r w:rsidR="008A6FA2">
          <w:rPr>
            <w:webHidden/>
          </w:rPr>
          <w:fldChar w:fldCharType="separate"/>
        </w:r>
        <w:r w:rsidR="0031412C">
          <w:rPr>
            <w:webHidden/>
          </w:rPr>
          <w:t>43</w:t>
        </w:r>
        <w:r w:rsidR="008A6FA2">
          <w:rPr>
            <w:webHidden/>
          </w:rPr>
          <w:fldChar w:fldCharType="end"/>
        </w:r>
      </w:hyperlink>
    </w:p>
    <w:p w14:paraId="1C412324" w14:textId="5E45598B" w:rsidR="008A6FA2" w:rsidRDefault="00000000">
      <w:pPr>
        <w:pStyle w:val="Sadraj3"/>
        <w:rPr>
          <w:rFonts w:asciiTheme="minorHAnsi" w:eastAsiaTheme="minorEastAsia" w:hAnsiTheme="minorHAnsi" w:cstheme="minorBidi"/>
          <w:kern w:val="2"/>
          <w:sz w:val="24"/>
          <w:szCs w:val="24"/>
          <w14:ligatures w14:val="standardContextual"/>
        </w:rPr>
      </w:pPr>
      <w:hyperlink w:anchor="_Toc225865596" w:history="1">
        <w:r w:rsidR="008A6FA2" w:rsidRPr="006B37BC">
          <w:rPr>
            <w:rStyle w:val="Hiperveza"/>
          </w:rPr>
          <w:t>5.1.2.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Podnositelji tužbi</w:t>
        </w:r>
        <w:r w:rsidR="008A6FA2">
          <w:rPr>
            <w:webHidden/>
          </w:rPr>
          <w:tab/>
        </w:r>
        <w:r w:rsidR="008A6FA2">
          <w:rPr>
            <w:webHidden/>
          </w:rPr>
          <w:fldChar w:fldCharType="begin"/>
        </w:r>
        <w:r w:rsidR="008A6FA2">
          <w:rPr>
            <w:webHidden/>
          </w:rPr>
          <w:instrText xml:space="preserve"> PAGEREF _Toc225865596 \h </w:instrText>
        </w:r>
        <w:r w:rsidR="008A6FA2">
          <w:rPr>
            <w:webHidden/>
          </w:rPr>
        </w:r>
        <w:r w:rsidR="008A6FA2">
          <w:rPr>
            <w:webHidden/>
          </w:rPr>
          <w:fldChar w:fldCharType="separate"/>
        </w:r>
        <w:r w:rsidR="0031412C">
          <w:rPr>
            <w:webHidden/>
          </w:rPr>
          <w:t>44</w:t>
        </w:r>
        <w:r w:rsidR="008A6FA2">
          <w:rPr>
            <w:webHidden/>
          </w:rPr>
          <w:fldChar w:fldCharType="end"/>
        </w:r>
      </w:hyperlink>
    </w:p>
    <w:p w14:paraId="09EDCB5D" w14:textId="18317F4D" w:rsidR="008A6FA2" w:rsidRDefault="00000000">
      <w:pPr>
        <w:pStyle w:val="Sadraj3"/>
        <w:rPr>
          <w:rFonts w:asciiTheme="minorHAnsi" w:eastAsiaTheme="minorEastAsia" w:hAnsiTheme="minorHAnsi" w:cstheme="minorBidi"/>
          <w:kern w:val="2"/>
          <w:sz w:val="24"/>
          <w:szCs w:val="24"/>
          <w14:ligatures w14:val="standardContextual"/>
        </w:rPr>
      </w:pPr>
      <w:hyperlink w:anchor="_Toc225865597" w:history="1">
        <w:r w:rsidR="008A6FA2" w:rsidRPr="006B37BC">
          <w:rPr>
            <w:rStyle w:val="Hiperveza"/>
          </w:rPr>
          <w:t>5.1.3.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Sudske odluke po tužbama</w:t>
        </w:r>
        <w:r w:rsidR="008A6FA2">
          <w:rPr>
            <w:webHidden/>
          </w:rPr>
          <w:tab/>
        </w:r>
        <w:r w:rsidR="008A6FA2">
          <w:rPr>
            <w:webHidden/>
          </w:rPr>
          <w:fldChar w:fldCharType="begin"/>
        </w:r>
        <w:r w:rsidR="008A6FA2">
          <w:rPr>
            <w:webHidden/>
          </w:rPr>
          <w:instrText xml:space="preserve"> PAGEREF _Toc225865597 \h </w:instrText>
        </w:r>
        <w:r w:rsidR="008A6FA2">
          <w:rPr>
            <w:webHidden/>
          </w:rPr>
        </w:r>
        <w:r w:rsidR="008A6FA2">
          <w:rPr>
            <w:webHidden/>
          </w:rPr>
          <w:fldChar w:fldCharType="separate"/>
        </w:r>
        <w:r w:rsidR="0031412C">
          <w:rPr>
            <w:webHidden/>
          </w:rPr>
          <w:t>45</w:t>
        </w:r>
        <w:r w:rsidR="008A6FA2">
          <w:rPr>
            <w:webHidden/>
          </w:rPr>
          <w:fldChar w:fldCharType="end"/>
        </w:r>
      </w:hyperlink>
    </w:p>
    <w:p w14:paraId="029F5381" w14:textId="562F923C" w:rsidR="008A6FA2" w:rsidRDefault="00000000">
      <w:pPr>
        <w:pStyle w:val="Sadraj3"/>
        <w:rPr>
          <w:rFonts w:asciiTheme="minorHAnsi" w:eastAsiaTheme="minorEastAsia" w:hAnsiTheme="minorHAnsi" w:cstheme="minorBidi"/>
          <w:kern w:val="2"/>
          <w:sz w:val="24"/>
          <w:szCs w:val="24"/>
          <w14:ligatures w14:val="standardContextual"/>
        </w:rPr>
      </w:pPr>
      <w:hyperlink w:anchor="_Toc225865598" w:history="1">
        <w:r w:rsidR="008A6FA2" w:rsidRPr="006B37BC">
          <w:rPr>
            <w:rStyle w:val="Hiperveza"/>
          </w:rPr>
          <w:t>5.1.4.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Kretanje sudskih sporova u razdoblju 2020.-2025.</w:t>
        </w:r>
        <w:r w:rsidR="008A6FA2">
          <w:rPr>
            <w:webHidden/>
          </w:rPr>
          <w:tab/>
        </w:r>
        <w:r w:rsidR="008A6FA2">
          <w:rPr>
            <w:webHidden/>
          </w:rPr>
          <w:fldChar w:fldCharType="begin"/>
        </w:r>
        <w:r w:rsidR="008A6FA2">
          <w:rPr>
            <w:webHidden/>
          </w:rPr>
          <w:instrText xml:space="preserve"> PAGEREF _Toc225865598 \h </w:instrText>
        </w:r>
        <w:r w:rsidR="008A6FA2">
          <w:rPr>
            <w:webHidden/>
          </w:rPr>
        </w:r>
        <w:r w:rsidR="008A6FA2">
          <w:rPr>
            <w:webHidden/>
          </w:rPr>
          <w:fldChar w:fldCharType="separate"/>
        </w:r>
        <w:r w:rsidR="0031412C">
          <w:rPr>
            <w:webHidden/>
          </w:rPr>
          <w:t>49</w:t>
        </w:r>
        <w:r w:rsidR="008A6FA2">
          <w:rPr>
            <w:webHidden/>
          </w:rPr>
          <w:fldChar w:fldCharType="end"/>
        </w:r>
      </w:hyperlink>
    </w:p>
    <w:p w14:paraId="35532F7D" w14:textId="67EB5E57" w:rsidR="008A6FA2" w:rsidRDefault="00000000">
      <w:pPr>
        <w:pStyle w:val="Sadraj3"/>
        <w:rPr>
          <w:rFonts w:asciiTheme="minorHAnsi" w:eastAsiaTheme="minorEastAsia" w:hAnsiTheme="minorHAnsi" w:cstheme="minorBidi"/>
          <w:kern w:val="2"/>
          <w:sz w:val="24"/>
          <w:szCs w:val="24"/>
          <w14:ligatures w14:val="standardContextual"/>
        </w:rPr>
      </w:pPr>
      <w:hyperlink w:anchor="_Toc225865599" w:history="1">
        <w:r w:rsidR="008A6FA2" w:rsidRPr="006B37BC">
          <w:rPr>
            <w:rStyle w:val="Hiperveza"/>
          </w:rPr>
          <w:t>5.1.5.</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Troškovi upravnog spora</w:t>
        </w:r>
        <w:r w:rsidR="008A6FA2">
          <w:rPr>
            <w:webHidden/>
          </w:rPr>
          <w:tab/>
        </w:r>
        <w:r w:rsidR="008A6FA2">
          <w:rPr>
            <w:webHidden/>
          </w:rPr>
          <w:fldChar w:fldCharType="begin"/>
        </w:r>
        <w:r w:rsidR="008A6FA2">
          <w:rPr>
            <w:webHidden/>
          </w:rPr>
          <w:instrText xml:space="preserve"> PAGEREF _Toc225865599 \h </w:instrText>
        </w:r>
        <w:r w:rsidR="008A6FA2">
          <w:rPr>
            <w:webHidden/>
          </w:rPr>
        </w:r>
        <w:r w:rsidR="008A6FA2">
          <w:rPr>
            <w:webHidden/>
          </w:rPr>
          <w:fldChar w:fldCharType="separate"/>
        </w:r>
        <w:r w:rsidR="0031412C">
          <w:rPr>
            <w:webHidden/>
          </w:rPr>
          <w:t>49</w:t>
        </w:r>
        <w:r w:rsidR="008A6FA2">
          <w:rPr>
            <w:webHidden/>
          </w:rPr>
          <w:fldChar w:fldCharType="end"/>
        </w:r>
      </w:hyperlink>
    </w:p>
    <w:p w14:paraId="5351AE05" w14:textId="4F57E7CD" w:rsidR="008A6FA2" w:rsidRDefault="00000000">
      <w:pPr>
        <w:pStyle w:val="Sadraj2"/>
        <w:rPr>
          <w:rFonts w:asciiTheme="minorHAnsi" w:eastAsiaTheme="minorEastAsia" w:hAnsiTheme="minorHAnsi" w:cstheme="minorBidi"/>
          <w:kern w:val="2"/>
          <w:sz w:val="24"/>
          <w:szCs w:val="24"/>
          <w14:ligatures w14:val="standardContextual"/>
        </w:rPr>
      </w:pPr>
      <w:hyperlink w:anchor="_Toc225865600" w:history="1">
        <w:r w:rsidR="008A6FA2" w:rsidRPr="006B37BC">
          <w:rPr>
            <w:rStyle w:val="Hiperveza"/>
            <w:rFonts w:ascii="Arial" w:hAnsi="Arial"/>
          </w:rPr>
          <w:t>5.2.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Postupci pred Vrhovnim sudom Republike Hrvatske</w:t>
        </w:r>
        <w:r w:rsidR="008A6FA2">
          <w:rPr>
            <w:webHidden/>
          </w:rPr>
          <w:tab/>
        </w:r>
        <w:r w:rsidR="008A6FA2">
          <w:rPr>
            <w:webHidden/>
          </w:rPr>
          <w:fldChar w:fldCharType="begin"/>
        </w:r>
        <w:r w:rsidR="008A6FA2">
          <w:rPr>
            <w:webHidden/>
          </w:rPr>
          <w:instrText xml:space="preserve"> PAGEREF _Toc225865600 \h </w:instrText>
        </w:r>
        <w:r w:rsidR="008A6FA2">
          <w:rPr>
            <w:webHidden/>
          </w:rPr>
        </w:r>
        <w:r w:rsidR="008A6FA2">
          <w:rPr>
            <w:webHidden/>
          </w:rPr>
          <w:fldChar w:fldCharType="separate"/>
        </w:r>
        <w:r w:rsidR="0031412C">
          <w:rPr>
            <w:webHidden/>
          </w:rPr>
          <w:t>50</w:t>
        </w:r>
        <w:r w:rsidR="008A6FA2">
          <w:rPr>
            <w:webHidden/>
          </w:rPr>
          <w:fldChar w:fldCharType="end"/>
        </w:r>
      </w:hyperlink>
    </w:p>
    <w:p w14:paraId="7F8DDDF7" w14:textId="7DB4E5E2" w:rsidR="008A6FA2" w:rsidRDefault="00000000">
      <w:pPr>
        <w:pStyle w:val="Sadraj2"/>
        <w:rPr>
          <w:rFonts w:asciiTheme="minorHAnsi" w:eastAsiaTheme="minorEastAsia" w:hAnsiTheme="minorHAnsi" w:cstheme="minorBidi"/>
          <w:kern w:val="2"/>
          <w:sz w:val="24"/>
          <w:szCs w:val="24"/>
          <w14:ligatures w14:val="standardContextual"/>
        </w:rPr>
      </w:pPr>
      <w:hyperlink w:anchor="_Toc225865601" w:history="1">
        <w:r w:rsidR="008A6FA2" w:rsidRPr="006B37BC">
          <w:rPr>
            <w:rStyle w:val="Hiperveza"/>
            <w:rFonts w:ascii="Arial" w:hAnsi="Arial"/>
          </w:rPr>
          <w:t>5.3.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Postupci pred Ustavnim sudom Republike Hrvatske</w:t>
        </w:r>
        <w:r w:rsidR="008A6FA2">
          <w:rPr>
            <w:webHidden/>
          </w:rPr>
          <w:tab/>
        </w:r>
        <w:r w:rsidR="008A6FA2">
          <w:rPr>
            <w:webHidden/>
          </w:rPr>
          <w:fldChar w:fldCharType="begin"/>
        </w:r>
        <w:r w:rsidR="008A6FA2">
          <w:rPr>
            <w:webHidden/>
          </w:rPr>
          <w:instrText xml:space="preserve"> PAGEREF _Toc225865601 \h </w:instrText>
        </w:r>
        <w:r w:rsidR="008A6FA2">
          <w:rPr>
            <w:webHidden/>
          </w:rPr>
        </w:r>
        <w:r w:rsidR="008A6FA2">
          <w:rPr>
            <w:webHidden/>
          </w:rPr>
          <w:fldChar w:fldCharType="separate"/>
        </w:r>
        <w:r w:rsidR="0031412C">
          <w:rPr>
            <w:webHidden/>
          </w:rPr>
          <w:t>51</w:t>
        </w:r>
        <w:r w:rsidR="008A6FA2">
          <w:rPr>
            <w:webHidden/>
          </w:rPr>
          <w:fldChar w:fldCharType="end"/>
        </w:r>
      </w:hyperlink>
    </w:p>
    <w:p w14:paraId="00893902" w14:textId="0C1D6A39" w:rsidR="008A6FA2" w:rsidRDefault="00000000">
      <w:pPr>
        <w:pStyle w:val="Sadraj3"/>
        <w:rPr>
          <w:rFonts w:asciiTheme="minorHAnsi" w:eastAsiaTheme="minorEastAsia" w:hAnsiTheme="minorHAnsi" w:cstheme="minorBidi"/>
          <w:kern w:val="2"/>
          <w:sz w:val="24"/>
          <w:szCs w:val="24"/>
          <w14:ligatures w14:val="standardContextual"/>
        </w:rPr>
      </w:pPr>
      <w:hyperlink w:anchor="_Toc225865602" w:history="1">
        <w:r w:rsidR="008A6FA2" w:rsidRPr="006B37BC">
          <w:rPr>
            <w:rStyle w:val="Hiperveza"/>
          </w:rPr>
          <w:t>5.3.1.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Ustavne tužbe</w:t>
        </w:r>
        <w:r w:rsidR="008A6FA2">
          <w:rPr>
            <w:webHidden/>
          </w:rPr>
          <w:tab/>
        </w:r>
        <w:r w:rsidR="008A6FA2">
          <w:rPr>
            <w:webHidden/>
          </w:rPr>
          <w:fldChar w:fldCharType="begin"/>
        </w:r>
        <w:r w:rsidR="008A6FA2">
          <w:rPr>
            <w:webHidden/>
          </w:rPr>
          <w:instrText xml:space="preserve"> PAGEREF _Toc225865602 \h </w:instrText>
        </w:r>
        <w:r w:rsidR="008A6FA2">
          <w:rPr>
            <w:webHidden/>
          </w:rPr>
        </w:r>
        <w:r w:rsidR="008A6FA2">
          <w:rPr>
            <w:webHidden/>
          </w:rPr>
          <w:fldChar w:fldCharType="separate"/>
        </w:r>
        <w:r w:rsidR="0031412C">
          <w:rPr>
            <w:webHidden/>
          </w:rPr>
          <w:t>51</w:t>
        </w:r>
        <w:r w:rsidR="008A6FA2">
          <w:rPr>
            <w:webHidden/>
          </w:rPr>
          <w:fldChar w:fldCharType="end"/>
        </w:r>
      </w:hyperlink>
    </w:p>
    <w:p w14:paraId="2B5CA0F9" w14:textId="6A31330B" w:rsidR="008A6FA2" w:rsidRDefault="00000000">
      <w:pPr>
        <w:pStyle w:val="Sadraj3"/>
        <w:rPr>
          <w:rFonts w:asciiTheme="minorHAnsi" w:eastAsiaTheme="minorEastAsia" w:hAnsiTheme="minorHAnsi" w:cstheme="minorBidi"/>
          <w:kern w:val="2"/>
          <w:sz w:val="24"/>
          <w:szCs w:val="24"/>
          <w14:ligatures w14:val="standardContextual"/>
        </w:rPr>
      </w:pPr>
      <w:hyperlink w:anchor="_Toc225865603" w:history="1">
        <w:r w:rsidR="008A6FA2" w:rsidRPr="006B37BC">
          <w:rPr>
            <w:rStyle w:val="Hiperveza"/>
          </w:rPr>
          <w:t>5.3.2.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Zaprimljene odluke</w:t>
        </w:r>
        <w:r w:rsidR="008A6FA2">
          <w:rPr>
            <w:webHidden/>
          </w:rPr>
          <w:tab/>
        </w:r>
        <w:r w:rsidR="008A6FA2">
          <w:rPr>
            <w:webHidden/>
          </w:rPr>
          <w:fldChar w:fldCharType="begin"/>
        </w:r>
        <w:r w:rsidR="008A6FA2">
          <w:rPr>
            <w:webHidden/>
          </w:rPr>
          <w:instrText xml:space="preserve"> PAGEREF _Toc225865603 \h </w:instrText>
        </w:r>
        <w:r w:rsidR="008A6FA2">
          <w:rPr>
            <w:webHidden/>
          </w:rPr>
        </w:r>
        <w:r w:rsidR="008A6FA2">
          <w:rPr>
            <w:webHidden/>
          </w:rPr>
          <w:fldChar w:fldCharType="separate"/>
        </w:r>
        <w:r w:rsidR="0031412C">
          <w:rPr>
            <w:webHidden/>
          </w:rPr>
          <w:t>51</w:t>
        </w:r>
        <w:r w:rsidR="008A6FA2">
          <w:rPr>
            <w:webHidden/>
          </w:rPr>
          <w:fldChar w:fldCharType="end"/>
        </w:r>
      </w:hyperlink>
    </w:p>
    <w:p w14:paraId="1B98407C" w14:textId="5BEE33B9"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04" w:history="1">
        <w:r w:rsidR="008A6FA2" w:rsidRPr="006B37BC">
          <w:rPr>
            <w:rStyle w:val="Hiperveza"/>
            <w:rFonts w:ascii="Arial" w:hAnsi="Arial" w:cs="Arial"/>
          </w:rPr>
          <w:t>6.</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Predstavke na rad tijela javne vlasti, inspekcijski nadzor i davanje mišljenja o primjeni ZPPI-ja</w:t>
        </w:r>
        <w:r w:rsidR="008A6FA2">
          <w:rPr>
            <w:webHidden/>
          </w:rPr>
          <w:tab/>
        </w:r>
        <w:r w:rsidR="008A6FA2">
          <w:rPr>
            <w:webHidden/>
          </w:rPr>
          <w:fldChar w:fldCharType="begin"/>
        </w:r>
        <w:r w:rsidR="008A6FA2">
          <w:rPr>
            <w:webHidden/>
          </w:rPr>
          <w:instrText xml:space="preserve"> PAGEREF _Toc225865604 \h </w:instrText>
        </w:r>
        <w:r w:rsidR="008A6FA2">
          <w:rPr>
            <w:webHidden/>
          </w:rPr>
        </w:r>
        <w:r w:rsidR="008A6FA2">
          <w:rPr>
            <w:webHidden/>
          </w:rPr>
          <w:fldChar w:fldCharType="separate"/>
        </w:r>
        <w:r w:rsidR="0031412C">
          <w:rPr>
            <w:webHidden/>
          </w:rPr>
          <w:t>52</w:t>
        </w:r>
        <w:r w:rsidR="008A6FA2">
          <w:rPr>
            <w:webHidden/>
          </w:rPr>
          <w:fldChar w:fldCharType="end"/>
        </w:r>
      </w:hyperlink>
    </w:p>
    <w:p w14:paraId="3AEE93BA" w14:textId="199ADE5F" w:rsidR="008A6FA2" w:rsidRDefault="00000000">
      <w:pPr>
        <w:pStyle w:val="Sadraj2"/>
        <w:rPr>
          <w:rFonts w:asciiTheme="minorHAnsi" w:eastAsiaTheme="minorEastAsia" w:hAnsiTheme="minorHAnsi" w:cstheme="minorBidi"/>
          <w:kern w:val="2"/>
          <w:sz w:val="24"/>
          <w:szCs w:val="24"/>
          <w14:ligatures w14:val="standardContextual"/>
        </w:rPr>
      </w:pPr>
      <w:hyperlink w:anchor="_Toc225865605" w:history="1">
        <w:r w:rsidR="008A6FA2" w:rsidRPr="006B37BC">
          <w:rPr>
            <w:rStyle w:val="Hiperveza"/>
            <w:rFonts w:ascii="Arial" w:hAnsi="Arial"/>
          </w:rPr>
          <w:t>6.1.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Predstavke korisnika na rad tijela javne vlasti</w:t>
        </w:r>
        <w:r w:rsidR="008A6FA2">
          <w:rPr>
            <w:webHidden/>
          </w:rPr>
          <w:tab/>
        </w:r>
        <w:r w:rsidR="008A6FA2">
          <w:rPr>
            <w:webHidden/>
          </w:rPr>
          <w:fldChar w:fldCharType="begin"/>
        </w:r>
        <w:r w:rsidR="008A6FA2">
          <w:rPr>
            <w:webHidden/>
          </w:rPr>
          <w:instrText xml:space="preserve"> PAGEREF _Toc225865605 \h </w:instrText>
        </w:r>
        <w:r w:rsidR="008A6FA2">
          <w:rPr>
            <w:webHidden/>
          </w:rPr>
        </w:r>
        <w:r w:rsidR="008A6FA2">
          <w:rPr>
            <w:webHidden/>
          </w:rPr>
          <w:fldChar w:fldCharType="separate"/>
        </w:r>
        <w:r w:rsidR="0031412C">
          <w:rPr>
            <w:webHidden/>
          </w:rPr>
          <w:t>52</w:t>
        </w:r>
        <w:r w:rsidR="008A6FA2">
          <w:rPr>
            <w:webHidden/>
          </w:rPr>
          <w:fldChar w:fldCharType="end"/>
        </w:r>
      </w:hyperlink>
    </w:p>
    <w:p w14:paraId="6DA60B04" w14:textId="0A326BB3" w:rsidR="008A6FA2" w:rsidRDefault="00000000">
      <w:pPr>
        <w:pStyle w:val="Sadraj2"/>
        <w:rPr>
          <w:rFonts w:asciiTheme="minorHAnsi" w:eastAsiaTheme="minorEastAsia" w:hAnsiTheme="minorHAnsi" w:cstheme="minorBidi"/>
          <w:kern w:val="2"/>
          <w:sz w:val="24"/>
          <w:szCs w:val="24"/>
          <w14:ligatures w14:val="standardContextual"/>
        </w:rPr>
      </w:pPr>
      <w:hyperlink w:anchor="_Toc225865606" w:history="1">
        <w:r w:rsidR="008A6FA2" w:rsidRPr="006B37BC">
          <w:rPr>
            <w:rStyle w:val="Hiperveza"/>
            <w:rFonts w:ascii="Arial" w:hAnsi="Arial"/>
          </w:rPr>
          <w:t>6.2.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Inspekcijski nadzor</w:t>
        </w:r>
        <w:r w:rsidR="008A6FA2">
          <w:rPr>
            <w:webHidden/>
          </w:rPr>
          <w:tab/>
        </w:r>
        <w:r w:rsidR="008A6FA2">
          <w:rPr>
            <w:webHidden/>
          </w:rPr>
          <w:fldChar w:fldCharType="begin"/>
        </w:r>
        <w:r w:rsidR="008A6FA2">
          <w:rPr>
            <w:webHidden/>
          </w:rPr>
          <w:instrText xml:space="preserve"> PAGEREF _Toc225865606 \h </w:instrText>
        </w:r>
        <w:r w:rsidR="008A6FA2">
          <w:rPr>
            <w:webHidden/>
          </w:rPr>
        </w:r>
        <w:r w:rsidR="008A6FA2">
          <w:rPr>
            <w:webHidden/>
          </w:rPr>
          <w:fldChar w:fldCharType="separate"/>
        </w:r>
        <w:r w:rsidR="0031412C">
          <w:rPr>
            <w:webHidden/>
          </w:rPr>
          <w:t>56</w:t>
        </w:r>
        <w:r w:rsidR="008A6FA2">
          <w:rPr>
            <w:webHidden/>
          </w:rPr>
          <w:fldChar w:fldCharType="end"/>
        </w:r>
      </w:hyperlink>
    </w:p>
    <w:p w14:paraId="160182B4" w14:textId="68283E2F" w:rsidR="008A6FA2" w:rsidRDefault="00000000">
      <w:pPr>
        <w:pStyle w:val="Sadraj3"/>
        <w:rPr>
          <w:rFonts w:asciiTheme="minorHAnsi" w:eastAsiaTheme="minorEastAsia" w:hAnsiTheme="minorHAnsi" w:cstheme="minorBidi"/>
          <w:kern w:val="2"/>
          <w:sz w:val="24"/>
          <w:szCs w:val="24"/>
          <w14:ligatures w14:val="standardContextual"/>
        </w:rPr>
      </w:pPr>
      <w:hyperlink w:anchor="_Toc225865607" w:history="1">
        <w:r w:rsidR="008A6FA2" w:rsidRPr="006B37BC">
          <w:rPr>
            <w:rStyle w:val="Hiperveza"/>
          </w:rPr>
          <w:t>6.2.1.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Neposredni inspekcijski nadzor</w:t>
        </w:r>
        <w:r w:rsidR="008A6FA2">
          <w:rPr>
            <w:webHidden/>
          </w:rPr>
          <w:tab/>
        </w:r>
        <w:r w:rsidR="008A6FA2">
          <w:rPr>
            <w:webHidden/>
          </w:rPr>
          <w:fldChar w:fldCharType="begin"/>
        </w:r>
        <w:r w:rsidR="008A6FA2">
          <w:rPr>
            <w:webHidden/>
          </w:rPr>
          <w:instrText xml:space="preserve"> PAGEREF _Toc225865607 \h </w:instrText>
        </w:r>
        <w:r w:rsidR="008A6FA2">
          <w:rPr>
            <w:webHidden/>
          </w:rPr>
        </w:r>
        <w:r w:rsidR="008A6FA2">
          <w:rPr>
            <w:webHidden/>
          </w:rPr>
          <w:fldChar w:fldCharType="separate"/>
        </w:r>
        <w:r w:rsidR="0031412C">
          <w:rPr>
            <w:webHidden/>
          </w:rPr>
          <w:t>57</w:t>
        </w:r>
        <w:r w:rsidR="008A6FA2">
          <w:rPr>
            <w:webHidden/>
          </w:rPr>
          <w:fldChar w:fldCharType="end"/>
        </w:r>
      </w:hyperlink>
    </w:p>
    <w:p w14:paraId="52FFFCBF" w14:textId="29FE66DD" w:rsidR="008A6FA2" w:rsidRDefault="00000000">
      <w:pPr>
        <w:pStyle w:val="Sadraj3"/>
        <w:rPr>
          <w:rFonts w:asciiTheme="minorHAnsi" w:eastAsiaTheme="minorEastAsia" w:hAnsiTheme="minorHAnsi" w:cstheme="minorBidi"/>
          <w:kern w:val="2"/>
          <w:sz w:val="24"/>
          <w:szCs w:val="24"/>
          <w14:ligatures w14:val="standardContextual"/>
        </w:rPr>
      </w:pPr>
      <w:hyperlink w:anchor="_Toc225865608" w:history="1">
        <w:r w:rsidR="008A6FA2" w:rsidRPr="006B37BC">
          <w:rPr>
            <w:rStyle w:val="Hiperveza"/>
          </w:rPr>
          <w:t>6.2.2.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Posredni inspekcijski nadzor</w:t>
        </w:r>
        <w:r w:rsidR="008A6FA2">
          <w:rPr>
            <w:webHidden/>
          </w:rPr>
          <w:tab/>
        </w:r>
        <w:r w:rsidR="008A6FA2">
          <w:rPr>
            <w:webHidden/>
          </w:rPr>
          <w:fldChar w:fldCharType="begin"/>
        </w:r>
        <w:r w:rsidR="008A6FA2">
          <w:rPr>
            <w:webHidden/>
          </w:rPr>
          <w:instrText xml:space="preserve"> PAGEREF _Toc225865608 \h </w:instrText>
        </w:r>
        <w:r w:rsidR="008A6FA2">
          <w:rPr>
            <w:webHidden/>
          </w:rPr>
        </w:r>
        <w:r w:rsidR="008A6FA2">
          <w:rPr>
            <w:webHidden/>
          </w:rPr>
          <w:fldChar w:fldCharType="separate"/>
        </w:r>
        <w:r w:rsidR="0031412C">
          <w:rPr>
            <w:webHidden/>
          </w:rPr>
          <w:t>57</w:t>
        </w:r>
        <w:r w:rsidR="008A6FA2">
          <w:rPr>
            <w:webHidden/>
          </w:rPr>
          <w:fldChar w:fldCharType="end"/>
        </w:r>
      </w:hyperlink>
    </w:p>
    <w:p w14:paraId="418FFE8F" w14:textId="2F8FE318" w:rsidR="008A6FA2" w:rsidRDefault="00000000">
      <w:pPr>
        <w:pStyle w:val="Sadraj2"/>
        <w:rPr>
          <w:rFonts w:asciiTheme="minorHAnsi" w:eastAsiaTheme="minorEastAsia" w:hAnsiTheme="minorHAnsi" w:cstheme="minorBidi"/>
          <w:kern w:val="2"/>
          <w:sz w:val="24"/>
          <w:szCs w:val="24"/>
          <w14:ligatures w14:val="standardContextual"/>
        </w:rPr>
      </w:pPr>
      <w:hyperlink w:anchor="_Toc225865609" w:history="1">
        <w:r w:rsidR="008A6FA2" w:rsidRPr="006B37BC">
          <w:rPr>
            <w:rStyle w:val="Hiperveza"/>
            <w:rFonts w:ascii="Arial" w:hAnsi="Arial"/>
          </w:rPr>
          <w:t>6.3.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Mišljenja o primjeni Zakona</w:t>
        </w:r>
        <w:r w:rsidR="008A6FA2">
          <w:rPr>
            <w:webHidden/>
          </w:rPr>
          <w:tab/>
        </w:r>
        <w:r w:rsidR="008A6FA2">
          <w:rPr>
            <w:webHidden/>
          </w:rPr>
          <w:fldChar w:fldCharType="begin"/>
        </w:r>
        <w:r w:rsidR="008A6FA2">
          <w:rPr>
            <w:webHidden/>
          </w:rPr>
          <w:instrText xml:space="preserve"> PAGEREF _Toc225865609 \h </w:instrText>
        </w:r>
        <w:r w:rsidR="008A6FA2">
          <w:rPr>
            <w:webHidden/>
          </w:rPr>
        </w:r>
        <w:r w:rsidR="008A6FA2">
          <w:rPr>
            <w:webHidden/>
          </w:rPr>
          <w:fldChar w:fldCharType="separate"/>
        </w:r>
        <w:r w:rsidR="0031412C">
          <w:rPr>
            <w:webHidden/>
          </w:rPr>
          <w:t>59</w:t>
        </w:r>
        <w:r w:rsidR="008A6FA2">
          <w:rPr>
            <w:webHidden/>
          </w:rPr>
          <w:fldChar w:fldCharType="end"/>
        </w:r>
      </w:hyperlink>
    </w:p>
    <w:p w14:paraId="4C257F40" w14:textId="4F2DB4EA"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10" w:history="1">
        <w:r w:rsidR="008A6FA2" w:rsidRPr="006B37BC">
          <w:rPr>
            <w:rStyle w:val="Hiperveza"/>
            <w:rFonts w:ascii="Arial" w:hAnsi="Arial" w:cs="Arial"/>
          </w:rPr>
          <w:t>7.</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Sankcije</w:t>
        </w:r>
        <w:r w:rsidR="008A6FA2">
          <w:rPr>
            <w:webHidden/>
          </w:rPr>
          <w:tab/>
        </w:r>
        <w:r w:rsidR="008A6FA2">
          <w:rPr>
            <w:webHidden/>
          </w:rPr>
          <w:fldChar w:fldCharType="begin"/>
        </w:r>
        <w:r w:rsidR="008A6FA2">
          <w:rPr>
            <w:webHidden/>
          </w:rPr>
          <w:instrText xml:space="preserve"> PAGEREF _Toc225865610 \h </w:instrText>
        </w:r>
        <w:r w:rsidR="008A6FA2">
          <w:rPr>
            <w:webHidden/>
          </w:rPr>
        </w:r>
        <w:r w:rsidR="008A6FA2">
          <w:rPr>
            <w:webHidden/>
          </w:rPr>
          <w:fldChar w:fldCharType="separate"/>
        </w:r>
        <w:r w:rsidR="0031412C">
          <w:rPr>
            <w:webHidden/>
          </w:rPr>
          <w:t>62</w:t>
        </w:r>
        <w:r w:rsidR="008A6FA2">
          <w:rPr>
            <w:webHidden/>
          </w:rPr>
          <w:fldChar w:fldCharType="end"/>
        </w:r>
      </w:hyperlink>
    </w:p>
    <w:p w14:paraId="558FA925" w14:textId="501A09D8" w:rsidR="008A6FA2" w:rsidRDefault="00000000">
      <w:pPr>
        <w:pStyle w:val="Sadraj2"/>
        <w:rPr>
          <w:rFonts w:asciiTheme="minorHAnsi" w:eastAsiaTheme="minorEastAsia" w:hAnsiTheme="minorHAnsi" w:cstheme="minorBidi"/>
          <w:kern w:val="2"/>
          <w:sz w:val="24"/>
          <w:szCs w:val="24"/>
          <w14:ligatures w14:val="standardContextual"/>
        </w:rPr>
      </w:pPr>
      <w:hyperlink w:anchor="_Toc225865611" w:history="1">
        <w:r w:rsidR="008A6FA2" w:rsidRPr="006B37BC">
          <w:rPr>
            <w:rStyle w:val="Hiperveza"/>
            <w:rFonts w:ascii="Arial" w:hAnsi="Arial"/>
          </w:rPr>
          <w:t>7.1.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Izdani prekršajni nalozi i podneseni optužni prijedlozi</w:t>
        </w:r>
        <w:r w:rsidR="008A6FA2">
          <w:rPr>
            <w:webHidden/>
          </w:rPr>
          <w:tab/>
        </w:r>
        <w:r w:rsidR="008A6FA2">
          <w:rPr>
            <w:webHidden/>
          </w:rPr>
          <w:fldChar w:fldCharType="begin"/>
        </w:r>
        <w:r w:rsidR="008A6FA2">
          <w:rPr>
            <w:webHidden/>
          </w:rPr>
          <w:instrText xml:space="preserve"> PAGEREF _Toc225865611 \h </w:instrText>
        </w:r>
        <w:r w:rsidR="008A6FA2">
          <w:rPr>
            <w:webHidden/>
          </w:rPr>
        </w:r>
        <w:r w:rsidR="008A6FA2">
          <w:rPr>
            <w:webHidden/>
          </w:rPr>
          <w:fldChar w:fldCharType="separate"/>
        </w:r>
        <w:r w:rsidR="0031412C">
          <w:rPr>
            <w:webHidden/>
          </w:rPr>
          <w:t>62</w:t>
        </w:r>
        <w:r w:rsidR="008A6FA2">
          <w:rPr>
            <w:webHidden/>
          </w:rPr>
          <w:fldChar w:fldCharType="end"/>
        </w:r>
      </w:hyperlink>
    </w:p>
    <w:p w14:paraId="0358C3B1" w14:textId="0611442F" w:rsidR="008A6FA2" w:rsidRDefault="00000000">
      <w:pPr>
        <w:pStyle w:val="Sadraj2"/>
        <w:rPr>
          <w:rFonts w:asciiTheme="minorHAnsi" w:eastAsiaTheme="minorEastAsia" w:hAnsiTheme="minorHAnsi" w:cstheme="minorBidi"/>
          <w:kern w:val="2"/>
          <w:sz w:val="24"/>
          <w:szCs w:val="24"/>
          <w14:ligatures w14:val="standardContextual"/>
        </w:rPr>
      </w:pPr>
      <w:hyperlink w:anchor="_Toc225865612" w:history="1">
        <w:r w:rsidR="008A6FA2" w:rsidRPr="006B37BC">
          <w:rPr>
            <w:rStyle w:val="Hiperveza"/>
            <w:rFonts w:ascii="Arial" w:hAnsi="Arial"/>
          </w:rPr>
          <w:t>7.2.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Odlučivanje prekršajnih sudova</w:t>
        </w:r>
        <w:r w:rsidR="008A6FA2">
          <w:rPr>
            <w:webHidden/>
          </w:rPr>
          <w:tab/>
        </w:r>
        <w:r w:rsidR="008A6FA2">
          <w:rPr>
            <w:webHidden/>
          </w:rPr>
          <w:fldChar w:fldCharType="begin"/>
        </w:r>
        <w:r w:rsidR="008A6FA2">
          <w:rPr>
            <w:webHidden/>
          </w:rPr>
          <w:instrText xml:space="preserve"> PAGEREF _Toc225865612 \h </w:instrText>
        </w:r>
        <w:r w:rsidR="008A6FA2">
          <w:rPr>
            <w:webHidden/>
          </w:rPr>
        </w:r>
        <w:r w:rsidR="008A6FA2">
          <w:rPr>
            <w:webHidden/>
          </w:rPr>
          <w:fldChar w:fldCharType="separate"/>
        </w:r>
        <w:r w:rsidR="0031412C">
          <w:rPr>
            <w:webHidden/>
          </w:rPr>
          <w:t>63</w:t>
        </w:r>
        <w:r w:rsidR="008A6FA2">
          <w:rPr>
            <w:webHidden/>
          </w:rPr>
          <w:fldChar w:fldCharType="end"/>
        </w:r>
      </w:hyperlink>
    </w:p>
    <w:p w14:paraId="7F580935" w14:textId="1E725AD4" w:rsidR="008A6FA2" w:rsidRDefault="00000000">
      <w:pPr>
        <w:pStyle w:val="Sadraj2"/>
        <w:rPr>
          <w:rFonts w:asciiTheme="minorHAnsi" w:eastAsiaTheme="minorEastAsia" w:hAnsiTheme="minorHAnsi" w:cstheme="minorBidi"/>
          <w:kern w:val="2"/>
          <w:sz w:val="24"/>
          <w:szCs w:val="24"/>
          <w14:ligatures w14:val="standardContextual"/>
        </w:rPr>
      </w:pPr>
      <w:hyperlink w:anchor="_Toc225865613" w:history="1">
        <w:r w:rsidR="008A6FA2" w:rsidRPr="006B37BC">
          <w:rPr>
            <w:rStyle w:val="Hiperveza"/>
            <w:rFonts w:ascii="Arial" w:hAnsi="Arial"/>
          </w:rPr>
          <w:t>7.3.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Učinkovitost i doseg sankcioniranja</w:t>
        </w:r>
        <w:r w:rsidR="008A6FA2">
          <w:rPr>
            <w:webHidden/>
          </w:rPr>
          <w:tab/>
        </w:r>
        <w:r w:rsidR="008A6FA2">
          <w:rPr>
            <w:webHidden/>
          </w:rPr>
          <w:fldChar w:fldCharType="begin"/>
        </w:r>
        <w:r w:rsidR="008A6FA2">
          <w:rPr>
            <w:webHidden/>
          </w:rPr>
          <w:instrText xml:space="preserve"> PAGEREF _Toc225865613 \h </w:instrText>
        </w:r>
        <w:r w:rsidR="008A6FA2">
          <w:rPr>
            <w:webHidden/>
          </w:rPr>
        </w:r>
        <w:r w:rsidR="008A6FA2">
          <w:rPr>
            <w:webHidden/>
          </w:rPr>
          <w:fldChar w:fldCharType="separate"/>
        </w:r>
        <w:r w:rsidR="0031412C">
          <w:rPr>
            <w:webHidden/>
          </w:rPr>
          <w:t>64</w:t>
        </w:r>
        <w:r w:rsidR="008A6FA2">
          <w:rPr>
            <w:webHidden/>
          </w:rPr>
          <w:fldChar w:fldCharType="end"/>
        </w:r>
      </w:hyperlink>
    </w:p>
    <w:p w14:paraId="6F662106" w14:textId="0FDEA39A"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14" w:history="1">
        <w:r w:rsidR="008A6FA2" w:rsidRPr="006B37BC">
          <w:rPr>
            <w:rStyle w:val="Hiperveza"/>
          </w:rPr>
          <w:t>B)</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 xml:space="preserve"> PRAĆENJE I PROMICANJE PRAVA NA PRISTUP INFORMACIJAMA</w:t>
        </w:r>
        <w:r w:rsidR="008A6FA2">
          <w:rPr>
            <w:webHidden/>
          </w:rPr>
          <w:tab/>
        </w:r>
        <w:r w:rsidR="008A6FA2">
          <w:rPr>
            <w:webHidden/>
          </w:rPr>
          <w:fldChar w:fldCharType="begin"/>
        </w:r>
        <w:r w:rsidR="008A6FA2">
          <w:rPr>
            <w:webHidden/>
          </w:rPr>
          <w:instrText xml:space="preserve"> PAGEREF _Toc225865614 \h </w:instrText>
        </w:r>
        <w:r w:rsidR="008A6FA2">
          <w:rPr>
            <w:webHidden/>
          </w:rPr>
        </w:r>
        <w:r w:rsidR="008A6FA2">
          <w:rPr>
            <w:webHidden/>
          </w:rPr>
          <w:fldChar w:fldCharType="separate"/>
        </w:r>
        <w:r w:rsidR="0031412C">
          <w:rPr>
            <w:webHidden/>
          </w:rPr>
          <w:t>66</w:t>
        </w:r>
        <w:r w:rsidR="008A6FA2">
          <w:rPr>
            <w:webHidden/>
          </w:rPr>
          <w:fldChar w:fldCharType="end"/>
        </w:r>
      </w:hyperlink>
    </w:p>
    <w:p w14:paraId="3C0DDD3D" w14:textId="38BCBC0B"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15" w:history="1">
        <w:r w:rsidR="008A6FA2" w:rsidRPr="006B37BC">
          <w:rPr>
            <w:rStyle w:val="Hiperveza"/>
            <w:rFonts w:ascii="Arial" w:hAnsi="Arial" w:cs="Arial"/>
          </w:rPr>
          <w:t>8.</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Praćenje prava na pristup informacijama</w:t>
        </w:r>
        <w:r w:rsidR="008A6FA2">
          <w:rPr>
            <w:webHidden/>
          </w:rPr>
          <w:tab/>
        </w:r>
        <w:r w:rsidR="008A6FA2">
          <w:rPr>
            <w:webHidden/>
          </w:rPr>
          <w:fldChar w:fldCharType="begin"/>
        </w:r>
        <w:r w:rsidR="008A6FA2">
          <w:rPr>
            <w:webHidden/>
          </w:rPr>
          <w:instrText xml:space="preserve"> PAGEREF _Toc225865615 \h </w:instrText>
        </w:r>
        <w:r w:rsidR="008A6FA2">
          <w:rPr>
            <w:webHidden/>
          </w:rPr>
        </w:r>
        <w:r w:rsidR="008A6FA2">
          <w:rPr>
            <w:webHidden/>
          </w:rPr>
          <w:fldChar w:fldCharType="separate"/>
        </w:r>
        <w:r w:rsidR="0031412C">
          <w:rPr>
            <w:webHidden/>
          </w:rPr>
          <w:t>66</w:t>
        </w:r>
        <w:r w:rsidR="008A6FA2">
          <w:rPr>
            <w:webHidden/>
          </w:rPr>
          <w:fldChar w:fldCharType="end"/>
        </w:r>
      </w:hyperlink>
    </w:p>
    <w:p w14:paraId="7AED42F3" w14:textId="3D18A47C" w:rsidR="008A6FA2" w:rsidRDefault="00000000">
      <w:pPr>
        <w:pStyle w:val="Sadraj2"/>
        <w:rPr>
          <w:rFonts w:asciiTheme="minorHAnsi" w:eastAsiaTheme="minorEastAsia" w:hAnsiTheme="minorHAnsi" w:cstheme="minorBidi"/>
          <w:kern w:val="2"/>
          <w:sz w:val="24"/>
          <w:szCs w:val="24"/>
          <w14:ligatures w14:val="standardContextual"/>
        </w:rPr>
      </w:pPr>
      <w:hyperlink w:anchor="_Toc225865616" w:history="1">
        <w:r w:rsidR="008A6FA2" w:rsidRPr="006B37BC">
          <w:rPr>
            <w:rStyle w:val="Hiperveza"/>
            <w:rFonts w:ascii="Arial" w:hAnsi="Arial"/>
          </w:rPr>
          <w:t>8.1.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Proaktivna objava informacija</w:t>
        </w:r>
        <w:r w:rsidR="008A6FA2">
          <w:rPr>
            <w:webHidden/>
          </w:rPr>
          <w:tab/>
        </w:r>
        <w:r w:rsidR="008A6FA2">
          <w:rPr>
            <w:webHidden/>
          </w:rPr>
          <w:fldChar w:fldCharType="begin"/>
        </w:r>
        <w:r w:rsidR="008A6FA2">
          <w:rPr>
            <w:webHidden/>
          </w:rPr>
          <w:instrText xml:space="preserve"> PAGEREF _Toc225865616 \h </w:instrText>
        </w:r>
        <w:r w:rsidR="008A6FA2">
          <w:rPr>
            <w:webHidden/>
          </w:rPr>
        </w:r>
        <w:r w:rsidR="008A6FA2">
          <w:rPr>
            <w:webHidden/>
          </w:rPr>
          <w:fldChar w:fldCharType="separate"/>
        </w:r>
        <w:r w:rsidR="0031412C">
          <w:rPr>
            <w:webHidden/>
          </w:rPr>
          <w:t>66</w:t>
        </w:r>
        <w:r w:rsidR="008A6FA2">
          <w:rPr>
            <w:webHidden/>
          </w:rPr>
          <w:fldChar w:fldCharType="end"/>
        </w:r>
      </w:hyperlink>
    </w:p>
    <w:p w14:paraId="7B2E63A7" w14:textId="23AB638A" w:rsidR="008A6FA2" w:rsidRDefault="00000000">
      <w:pPr>
        <w:pStyle w:val="Sadraj3"/>
        <w:rPr>
          <w:rFonts w:asciiTheme="minorHAnsi" w:eastAsiaTheme="minorEastAsia" w:hAnsiTheme="minorHAnsi" w:cstheme="minorBidi"/>
          <w:kern w:val="2"/>
          <w:sz w:val="24"/>
          <w:szCs w:val="24"/>
          <w14:ligatures w14:val="standardContextual"/>
        </w:rPr>
      </w:pPr>
      <w:hyperlink w:anchor="_Toc225865617" w:history="1">
        <w:r w:rsidR="008A6FA2" w:rsidRPr="006B37BC">
          <w:rPr>
            <w:rStyle w:val="Hiperveza"/>
          </w:rPr>
          <w:t>8.1.1.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Propisi, opći akti i odluke</w:t>
        </w:r>
        <w:r w:rsidR="008A6FA2">
          <w:rPr>
            <w:webHidden/>
          </w:rPr>
          <w:tab/>
        </w:r>
        <w:r w:rsidR="008A6FA2">
          <w:rPr>
            <w:webHidden/>
          </w:rPr>
          <w:fldChar w:fldCharType="begin"/>
        </w:r>
        <w:r w:rsidR="008A6FA2">
          <w:rPr>
            <w:webHidden/>
          </w:rPr>
          <w:instrText xml:space="preserve"> PAGEREF _Toc225865617 \h </w:instrText>
        </w:r>
        <w:r w:rsidR="008A6FA2">
          <w:rPr>
            <w:webHidden/>
          </w:rPr>
        </w:r>
        <w:r w:rsidR="008A6FA2">
          <w:rPr>
            <w:webHidden/>
          </w:rPr>
          <w:fldChar w:fldCharType="separate"/>
        </w:r>
        <w:r w:rsidR="0031412C">
          <w:rPr>
            <w:webHidden/>
          </w:rPr>
          <w:t>68</w:t>
        </w:r>
        <w:r w:rsidR="008A6FA2">
          <w:rPr>
            <w:webHidden/>
          </w:rPr>
          <w:fldChar w:fldCharType="end"/>
        </w:r>
      </w:hyperlink>
    </w:p>
    <w:p w14:paraId="3DB1F5C7" w14:textId="51E7A39E" w:rsidR="008A6FA2" w:rsidRDefault="00000000">
      <w:pPr>
        <w:pStyle w:val="Sadraj3"/>
        <w:rPr>
          <w:rFonts w:asciiTheme="minorHAnsi" w:eastAsiaTheme="minorEastAsia" w:hAnsiTheme="minorHAnsi" w:cstheme="minorBidi"/>
          <w:kern w:val="2"/>
          <w:sz w:val="24"/>
          <w:szCs w:val="24"/>
          <w14:ligatures w14:val="standardContextual"/>
        </w:rPr>
      </w:pPr>
      <w:hyperlink w:anchor="_Toc225865618" w:history="1">
        <w:r w:rsidR="008A6FA2" w:rsidRPr="006B37BC">
          <w:rPr>
            <w:rStyle w:val="Hiperveza"/>
          </w:rPr>
          <w:t>8.1.2.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Planiranje i izvještavanje</w:t>
        </w:r>
        <w:r w:rsidR="008A6FA2">
          <w:rPr>
            <w:webHidden/>
          </w:rPr>
          <w:tab/>
        </w:r>
        <w:r w:rsidR="008A6FA2">
          <w:rPr>
            <w:webHidden/>
          </w:rPr>
          <w:fldChar w:fldCharType="begin"/>
        </w:r>
        <w:r w:rsidR="008A6FA2">
          <w:rPr>
            <w:webHidden/>
          </w:rPr>
          <w:instrText xml:space="preserve"> PAGEREF _Toc225865618 \h </w:instrText>
        </w:r>
        <w:r w:rsidR="008A6FA2">
          <w:rPr>
            <w:webHidden/>
          </w:rPr>
        </w:r>
        <w:r w:rsidR="008A6FA2">
          <w:rPr>
            <w:webHidden/>
          </w:rPr>
          <w:fldChar w:fldCharType="separate"/>
        </w:r>
        <w:r w:rsidR="0031412C">
          <w:rPr>
            <w:webHidden/>
          </w:rPr>
          <w:t>69</w:t>
        </w:r>
        <w:r w:rsidR="008A6FA2">
          <w:rPr>
            <w:webHidden/>
          </w:rPr>
          <w:fldChar w:fldCharType="end"/>
        </w:r>
      </w:hyperlink>
    </w:p>
    <w:p w14:paraId="6F2EB3B9" w14:textId="54EB2CA7" w:rsidR="008A6FA2" w:rsidRDefault="00000000">
      <w:pPr>
        <w:pStyle w:val="Sadraj3"/>
        <w:rPr>
          <w:rFonts w:asciiTheme="minorHAnsi" w:eastAsiaTheme="minorEastAsia" w:hAnsiTheme="minorHAnsi" w:cstheme="minorBidi"/>
          <w:kern w:val="2"/>
          <w:sz w:val="24"/>
          <w:szCs w:val="24"/>
          <w14:ligatures w14:val="standardContextual"/>
        </w:rPr>
      </w:pPr>
      <w:hyperlink w:anchor="_Toc225865619" w:history="1">
        <w:r w:rsidR="008A6FA2" w:rsidRPr="006B37BC">
          <w:rPr>
            <w:rStyle w:val="Hiperveza"/>
          </w:rPr>
          <w:t>8.1.3.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Organizacija i rad</w:t>
        </w:r>
        <w:r w:rsidR="008A6FA2">
          <w:rPr>
            <w:webHidden/>
          </w:rPr>
          <w:tab/>
        </w:r>
        <w:r w:rsidR="008A6FA2">
          <w:rPr>
            <w:webHidden/>
          </w:rPr>
          <w:fldChar w:fldCharType="begin"/>
        </w:r>
        <w:r w:rsidR="008A6FA2">
          <w:rPr>
            <w:webHidden/>
          </w:rPr>
          <w:instrText xml:space="preserve"> PAGEREF _Toc225865619 \h </w:instrText>
        </w:r>
        <w:r w:rsidR="008A6FA2">
          <w:rPr>
            <w:webHidden/>
          </w:rPr>
        </w:r>
        <w:r w:rsidR="008A6FA2">
          <w:rPr>
            <w:webHidden/>
          </w:rPr>
          <w:fldChar w:fldCharType="separate"/>
        </w:r>
        <w:r w:rsidR="0031412C">
          <w:rPr>
            <w:webHidden/>
          </w:rPr>
          <w:t>71</w:t>
        </w:r>
        <w:r w:rsidR="008A6FA2">
          <w:rPr>
            <w:webHidden/>
          </w:rPr>
          <w:fldChar w:fldCharType="end"/>
        </w:r>
      </w:hyperlink>
    </w:p>
    <w:p w14:paraId="6DB1B7A4" w14:textId="3B016DD5" w:rsidR="008A6FA2" w:rsidRDefault="00000000">
      <w:pPr>
        <w:pStyle w:val="Sadraj3"/>
        <w:rPr>
          <w:rFonts w:asciiTheme="minorHAnsi" w:eastAsiaTheme="minorEastAsia" w:hAnsiTheme="minorHAnsi" w:cstheme="minorBidi"/>
          <w:kern w:val="2"/>
          <w:sz w:val="24"/>
          <w:szCs w:val="24"/>
          <w14:ligatures w14:val="standardContextual"/>
        </w:rPr>
      </w:pPr>
      <w:hyperlink w:anchor="_Toc225865620" w:history="1">
        <w:r w:rsidR="008A6FA2" w:rsidRPr="006B37BC">
          <w:rPr>
            <w:rStyle w:val="Hiperveza"/>
          </w:rPr>
          <w:t>8.1.4.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Pravo na pristup i ponovnu uporabu informacija</w:t>
        </w:r>
        <w:r w:rsidR="008A6FA2">
          <w:rPr>
            <w:webHidden/>
          </w:rPr>
          <w:tab/>
        </w:r>
        <w:r w:rsidR="008A6FA2">
          <w:rPr>
            <w:webHidden/>
          </w:rPr>
          <w:fldChar w:fldCharType="begin"/>
        </w:r>
        <w:r w:rsidR="008A6FA2">
          <w:rPr>
            <w:webHidden/>
          </w:rPr>
          <w:instrText xml:space="preserve"> PAGEREF _Toc225865620 \h </w:instrText>
        </w:r>
        <w:r w:rsidR="008A6FA2">
          <w:rPr>
            <w:webHidden/>
          </w:rPr>
        </w:r>
        <w:r w:rsidR="008A6FA2">
          <w:rPr>
            <w:webHidden/>
          </w:rPr>
          <w:fldChar w:fldCharType="separate"/>
        </w:r>
        <w:r w:rsidR="0031412C">
          <w:rPr>
            <w:webHidden/>
          </w:rPr>
          <w:t>72</w:t>
        </w:r>
        <w:r w:rsidR="008A6FA2">
          <w:rPr>
            <w:webHidden/>
          </w:rPr>
          <w:fldChar w:fldCharType="end"/>
        </w:r>
      </w:hyperlink>
    </w:p>
    <w:p w14:paraId="55DEFD19" w14:textId="556D6DA9" w:rsidR="008A6FA2" w:rsidRDefault="00000000">
      <w:pPr>
        <w:pStyle w:val="Sadraj2"/>
        <w:rPr>
          <w:rFonts w:asciiTheme="minorHAnsi" w:eastAsiaTheme="minorEastAsia" w:hAnsiTheme="minorHAnsi" w:cstheme="minorBidi"/>
          <w:kern w:val="2"/>
          <w:sz w:val="24"/>
          <w:szCs w:val="24"/>
          <w14:ligatures w14:val="standardContextual"/>
        </w:rPr>
      </w:pPr>
      <w:hyperlink w:anchor="_Toc225865621" w:history="1">
        <w:r w:rsidR="008A6FA2" w:rsidRPr="006B37BC">
          <w:rPr>
            <w:rStyle w:val="Hiperveza"/>
            <w:rFonts w:ascii="Arial" w:hAnsi="Arial"/>
          </w:rPr>
          <w:t>8.2.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Dostava informacija u Središnji katalog službenih dokumenata Republike Hrvatske</w:t>
        </w:r>
        <w:r w:rsidR="008A6FA2">
          <w:rPr>
            <w:webHidden/>
          </w:rPr>
          <w:tab/>
        </w:r>
        <w:r w:rsidR="008A6FA2">
          <w:rPr>
            <w:webHidden/>
          </w:rPr>
          <w:fldChar w:fldCharType="begin"/>
        </w:r>
        <w:r w:rsidR="008A6FA2">
          <w:rPr>
            <w:webHidden/>
          </w:rPr>
          <w:instrText xml:space="preserve"> PAGEREF _Toc225865621 \h </w:instrText>
        </w:r>
        <w:r w:rsidR="008A6FA2">
          <w:rPr>
            <w:webHidden/>
          </w:rPr>
        </w:r>
        <w:r w:rsidR="008A6FA2">
          <w:rPr>
            <w:webHidden/>
          </w:rPr>
          <w:fldChar w:fldCharType="separate"/>
        </w:r>
        <w:r w:rsidR="0031412C">
          <w:rPr>
            <w:webHidden/>
          </w:rPr>
          <w:t>74</w:t>
        </w:r>
        <w:r w:rsidR="008A6FA2">
          <w:rPr>
            <w:webHidden/>
          </w:rPr>
          <w:fldChar w:fldCharType="end"/>
        </w:r>
      </w:hyperlink>
    </w:p>
    <w:p w14:paraId="66A07EEC" w14:textId="52649933" w:rsidR="008A6FA2" w:rsidRDefault="00000000">
      <w:pPr>
        <w:pStyle w:val="Sadraj2"/>
        <w:rPr>
          <w:rFonts w:asciiTheme="minorHAnsi" w:eastAsiaTheme="minorEastAsia" w:hAnsiTheme="minorHAnsi" w:cstheme="minorBidi"/>
          <w:kern w:val="2"/>
          <w:sz w:val="24"/>
          <w:szCs w:val="24"/>
          <w14:ligatures w14:val="standardContextual"/>
        </w:rPr>
      </w:pPr>
      <w:hyperlink w:anchor="_Toc225865622" w:history="1">
        <w:r w:rsidR="008A6FA2" w:rsidRPr="006B37BC">
          <w:rPr>
            <w:rStyle w:val="Hiperveza"/>
            <w:rFonts w:ascii="Arial" w:hAnsi="Arial"/>
          </w:rPr>
          <w:t>8.3.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Savjetovanje s javnošću tijela javne vlasti</w:t>
        </w:r>
        <w:r w:rsidR="008A6FA2">
          <w:rPr>
            <w:webHidden/>
          </w:rPr>
          <w:tab/>
        </w:r>
        <w:r w:rsidR="008A6FA2">
          <w:rPr>
            <w:webHidden/>
          </w:rPr>
          <w:fldChar w:fldCharType="begin"/>
        </w:r>
        <w:r w:rsidR="008A6FA2">
          <w:rPr>
            <w:webHidden/>
          </w:rPr>
          <w:instrText xml:space="preserve"> PAGEREF _Toc225865622 \h </w:instrText>
        </w:r>
        <w:r w:rsidR="008A6FA2">
          <w:rPr>
            <w:webHidden/>
          </w:rPr>
        </w:r>
        <w:r w:rsidR="008A6FA2">
          <w:rPr>
            <w:webHidden/>
          </w:rPr>
          <w:fldChar w:fldCharType="separate"/>
        </w:r>
        <w:r w:rsidR="0031412C">
          <w:rPr>
            <w:webHidden/>
          </w:rPr>
          <w:t>75</w:t>
        </w:r>
        <w:r w:rsidR="008A6FA2">
          <w:rPr>
            <w:webHidden/>
          </w:rPr>
          <w:fldChar w:fldCharType="end"/>
        </w:r>
      </w:hyperlink>
    </w:p>
    <w:p w14:paraId="36321195" w14:textId="1BBE5177" w:rsidR="008A6FA2" w:rsidRDefault="00000000">
      <w:pPr>
        <w:pStyle w:val="Sadraj3"/>
        <w:rPr>
          <w:rFonts w:asciiTheme="minorHAnsi" w:eastAsiaTheme="minorEastAsia" w:hAnsiTheme="minorHAnsi" w:cstheme="minorBidi"/>
          <w:kern w:val="2"/>
          <w:sz w:val="24"/>
          <w:szCs w:val="24"/>
          <w14:ligatures w14:val="standardContextual"/>
        </w:rPr>
      </w:pPr>
      <w:hyperlink w:anchor="_Toc225865623" w:history="1">
        <w:r w:rsidR="008A6FA2" w:rsidRPr="006B37BC">
          <w:rPr>
            <w:rStyle w:val="Hiperveza"/>
          </w:rPr>
          <w:t>8.3.1.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Izvješća tijela javne vlasti o postupcima savjetovanja s javnošću</w:t>
        </w:r>
        <w:r w:rsidR="008A6FA2">
          <w:rPr>
            <w:webHidden/>
          </w:rPr>
          <w:tab/>
        </w:r>
        <w:r w:rsidR="008A6FA2">
          <w:rPr>
            <w:webHidden/>
          </w:rPr>
          <w:fldChar w:fldCharType="begin"/>
        </w:r>
        <w:r w:rsidR="008A6FA2">
          <w:rPr>
            <w:webHidden/>
          </w:rPr>
          <w:instrText xml:space="preserve"> PAGEREF _Toc225865623 \h </w:instrText>
        </w:r>
        <w:r w:rsidR="008A6FA2">
          <w:rPr>
            <w:webHidden/>
          </w:rPr>
        </w:r>
        <w:r w:rsidR="008A6FA2">
          <w:rPr>
            <w:webHidden/>
          </w:rPr>
          <w:fldChar w:fldCharType="separate"/>
        </w:r>
        <w:r w:rsidR="0031412C">
          <w:rPr>
            <w:webHidden/>
          </w:rPr>
          <w:t>75</w:t>
        </w:r>
        <w:r w:rsidR="008A6FA2">
          <w:rPr>
            <w:webHidden/>
          </w:rPr>
          <w:fldChar w:fldCharType="end"/>
        </w:r>
      </w:hyperlink>
    </w:p>
    <w:p w14:paraId="39D93F8B" w14:textId="3A250A56" w:rsidR="008A6FA2" w:rsidRDefault="00000000">
      <w:pPr>
        <w:pStyle w:val="Sadraj3"/>
        <w:rPr>
          <w:rFonts w:asciiTheme="minorHAnsi" w:eastAsiaTheme="minorEastAsia" w:hAnsiTheme="minorHAnsi" w:cstheme="minorBidi"/>
          <w:kern w:val="2"/>
          <w:sz w:val="24"/>
          <w:szCs w:val="24"/>
          <w14:ligatures w14:val="standardContextual"/>
        </w:rPr>
      </w:pPr>
      <w:hyperlink w:anchor="_Toc225865624" w:history="1">
        <w:r w:rsidR="008A6FA2" w:rsidRPr="006B37BC">
          <w:rPr>
            <w:rStyle w:val="Hiperveza"/>
          </w:rPr>
          <w:t>8.3.2.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Praćenje provedbe savjetovanja s javnošću od strane Povjerenika</w:t>
        </w:r>
        <w:r w:rsidR="008A6FA2">
          <w:rPr>
            <w:webHidden/>
          </w:rPr>
          <w:tab/>
        </w:r>
        <w:r w:rsidR="008A6FA2">
          <w:rPr>
            <w:webHidden/>
          </w:rPr>
          <w:fldChar w:fldCharType="begin"/>
        </w:r>
        <w:r w:rsidR="008A6FA2">
          <w:rPr>
            <w:webHidden/>
          </w:rPr>
          <w:instrText xml:space="preserve"> PAGEREF _Toc225865624 \h </w:instrText>
        </w:r>
        <w:r w:rsidR="008A6FA2">
          <w:rPr>
            <w:webHidden/>
          </w:rPr>
        </w:r>
        <w:r w:rsidR="008A6FA2">
          <w:rPr>
            <w:webHidden/>
          </w:rPr>
          <w:fldChar w:fldCharType="separate"/>
        </w:r>
        <w:r w:rsidR="0031412C">
          <w:rPr>
            <w:webHidden/>
          </w:rPr>
          <w:t>79</w:t>
        </w:r>
        <w:r w:rsidR="008A6FA2">
          <w:rPr>
            <w:webHidden/>
          </w:rPr>
          <w:fldChar w:fldCharType="end"/>
        </w:r>
      </w:hyperlink>
    </w:p>
    <w:p w14:paraId="5E679D19" w14:textId="39228EFE" w:rsidR="008A6FA2" w:rsidRDefault="00000000">
      <w:pPr>
        <w:pStyle w:val="Sadraj3"/>
        <w:rPr>
          <w:rFonts w:asciiTheme="minorHAnsi" w:eastAsiaTheme="minorEastAsia" w:hAnsiTheme="minorHAnsi" w:cstheme="minorBidi"/>
          <w:kern w:val="2"/>
          <w:sz w:val="24"/>
          <w:szCs w:val="24"/>
          <w14:ligatures w14:val="standardContextual"/>
        </w:rPr>
      </w:pPr>
      <w:hyperlink w:anchor="_Toc225865625" w:history="1">
        <w:r w:rsidR="008A6FA2" w:rsidRPr="006B37BC">
          <w:rPr>
            <w:rStyle w:val="Hiperveza"/>
          </w:rPr>
          <w:t>8.3.3.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Analitička praćenja provedbe savjetovanja s javnošću</w:t>
        </w:r>
        <w:r w:rsidR="008A6FA2">
          <w:rPr>
            <w:webHidden/>
          </w:rPr>
          <w:tab/>
        </w:r>
        <w:r w:rsidR="008A6FA2">
          <w:rPr>
            <w:webHidden/>
          </w:rPr>
          <w:fldChar w:fldCharType="begin"/>
        </w:r>
        <w:r w:rsidR="008A6FA2">
          <w:rPr>
            <w:webHidden/>
          </w:rPr>
          <w:instrText xml:space="preserve"> PAGEREF _Toc225865625 \h </w:instrText>
        </w:r>
        <w:r w:rsidR="008A6FA2">
          <w:rPr>
            <w:webHidden/>
          </w:rPr>
        </w:r>
        <w:r w:rsidR="008A6FA2">
          <w:rPr>
            <w:webHidden/>
          </w:rPr>
          <w:fldChar w:fldCharType="separate"/>
        </w:r>
        <w:r w:rsidR="0031412C">
          <w:rPr>
            <w:webHidden/>
          </w:rPr>
          <w:t>80</w:t>
        </w:r>
        <w:r w:rsidR="008A6FA2">
          <w:rPr>
            <w:webHidden/>
          </w:rPr>
          <w:fldChar w:fldCharType="end"/>
        </w:r>
      </w:hyperlink>
    </w:p>
    <w:p w14:paraId="4802AD9C" w14:textId="5D465E91" w:rsidR="008A6FA2" w:rsidRDefault="00000000">
      <w:pPr>
        <w:pStyle w:val="Sadraj3"/>
        <w:rPr>
          <w:rFonts w:asciiTheme="minorHAnsi" w:eastAsiaTheme="minorEastAsia" w:hAnsiTheme="minorHAnsi" w:cstheme="minorBidi"/>
          <w:kern w:val="2"/>
          <w:sz w:val="24"/>
          <w:szCs w:val="24"/>
          <w14:ligatures w14:val="standardContextual"/>
        </w:rPr>
      </w:pPr>
      <w:hyperlink w:anchor="_Toc225865626" w:history="1">
        <w:r w:rsidR="008A6FA2" w:rsidRPr="006B37BC">
          <w:rPr>
            <w:rStyle w:val="Hiperveza"/>
          </w:rPr>
          <w:t>8.3.4.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Provedba savjetovanja putem portala e-Savjetovanja</w:t>
        </w:r>
        <w:r w:rsidR="008A6FA2">
          <w:rPr>
            <w:webHidden/>
          </w:rPr>
          <w:tab/>
        </w:r>
        <w:r w:rsidR="008A6FA2">
          <w:rPr>
            <w:webHidden/>
          </w:rPr>
          <w:fldChar w:fldCharType="begin"/>
        </w:r>
        <w:r w:rsidR="008A6FA2">
          <w:rPr>
            <w:webHidden/>
          </w:rPr>
          <w:instrText xml:space="preserve"> PAGEREF _Toc225865626 \h </w:instrText>
        </w:r>
        <w:r w:rsidR="008A6FA2">
          <w:rPr>
            <w:webHidden/>
          </w:rPr>
        </w:r>
        <w:r w:rsidR="008A6FA2">
          <w:rPr>
            <w:webHidden/>
          </w:rPr>
          <w:fldChar w:fldCharType="separate"/>
        </w:r>
        <w:r w:rsidR="0031412C">
          <w:rPr>
            <w:webHidden/>
          </w:rPr>
          <w:t>81</w:t>
        </w:r>
        <w:r w:rsidR="008A6FA2">
          <w:rPr>
            <w:webHidden/>
          </w:rPr>
          <w:fldChar w:fldCharType="end"/>
        </w:r>
      </w:hyperlink>
    </w:p>
    <w:p w14:paraId="29CB183C" w14:textId="6C25966A" w:rsidR="008A6FA2" w:rsidRDefault="00000000">
      <w:pPr>
        <w:pStyle w:val="Sadraj3"/>
        <w:rPr>
          <w:rFonts w:asciiTheme="minorHAnsi" w:eastAsiaTheme="minorEastAsia" w:hAnsiTheme="minorHAnsi" w:cstheme="minorBidi"/>
          <w:kern w:val="2"/>
          <w:sz w:val="24"/>
          <w:szCs w:val="24"/>
          <w14:ligatures w14:val="standardContextual"/>
        </w:rPr>
      </w:pPr>
      <w:hyperlink w:anchor="_Toc225865627" w:history="1">
        <w:r w:rsidR="008A6FA2" w:rsidRPr="006B37BC">
          <w:rPr>
            <w:rStyle w:val="Hiperveza"/>
          </w:rPr>
          <w:t>8.3.5.</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Davanje mišljenja tijelima javne vlasti o provedbi savjetovanja</w:t>
        </w:r>
        <w:r w:rsidR="008A6FA2">
          <w:rPr>
            <w:webHidden/>
          </w:rPr>
          <w:tab/>
        </w:r>
        <w:r w:rsidR="008A6FA2">
          <w:rPr>
            <w:webHidden/>
          </w:rPr>
          <w:fldChar w:fldCharType="begin"/>
        </w:r>
        <w:r w:rsidR="008A6FA2">
          <w:rPr>
            <w:webHidden/>
          </w:rPr>
          <w:instrText xml:space="preserve"> PAGEREF _Toc225865627 \h </w:instrText>
        </w:r>
        <w:r w:rsidR="008A6FA2">
          <w:rPr>
            <w:webHidden/>
          </w:rPr>
        </w:r>
        <w:r w:rsidR="008A6FA2">
          <w:rPr>
            <w:webHidden/>
          </w:rPr>
          <w:fldChar w:fldCharType="separate"/>
        </w:r>
        <w:r w:rsidR="0031412C">
          <w:rPr>
            <w:webHidden/>
          </w:rPr>
          <w:t>82</w:t>
        </w:r>
        <w:r w:rsidR="008A6FA2">
          <w:rPr>
            <w:webHidden/>
          </w:rPr>
          <w:fldChar w:fldCharType="end"/>
        </w:r>
      </w:hyperlink>
    </w:p>
    <w:p w14:paraId="6F6D721D" w14:textId="4DDB213F" w:rsidR="008A6FA2" w:rsidRDefault="00000000">
      <w:pPr>
        <w:pStyle w:val="Sadraj3"/>
        <w:rPr>
          <w:rFonts w:asciiTheme="minorHAnsi" w:eastAsiaTheme="minorEastAsia" w:hAnsiTheme="minorHAnsi" w:cstheme="minorBidi"/>
          <w:kern w:val="2"/>
          <w:sz w:val="24"/>
          <w:szCs w:val="24"/>
          <w14:ligatures w14:val="standardContextual"/>
        </w:rPr>
      </w:pPr>
      <w:hyperlink w:anchor="_Toc225865628" w:history="1">
        <w:r w:rsidR="008A6FA2" w:rsidRPr="006B37BC">
          <w:rPr>
            <w:rStyle w:val="Hiperveza"/>
          </w:rPr>
          <w:t>8.3.6.</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Sudska praksa</w:t>
        </w:r>
        <w:r w:rsidR="008A6FA2">
          <w:rPr>
            <w:webHidden/>
          </w:rPr>
          <w:tab/>
        </w:r>
        <w:r w:rsidR="008A6FA2">
          <w:rPr>
            <w:webHidden/>
          </w:rPr>
          <w:fldChar w:fldCharType="begin"/>
        </w:r>
        <w:r w:rsidR="008A6FA2">
          <w:rPr>
            <w:webHidden/>
          </w:rPr>
          <w:instrText xml:space="preserve"> PAGEREF _Toc225865628 \h </w:instrText>
        </w:r>
        <w:r w:rsidR="008A6FA2">
          <w:rPr>
            <w:webHidden/>
          </w:rPr>
        </w:r>
        <w:r w:rsidR="008A6FA2">
          <w:rPr>
            <w:webHidden/>
          </w:rPr>
          <w:fldChar w:fldCharType="separate"/>
        </w:r>
        <w:r w:rsidR="0031412C">
          <w:rPr>
            <w:webHidden/>
          </w:rPr>
          <w:t>83</w:t>
        </w:r>
        <w:r w:rsidR="008A6FA2">
          <w:rPr>
            <w:webHidden/>
          </w:rPr>
          <w:fldChar w:fldCharType="end"/>
        </w:r>
      </w:hyperlink>
    </w:p>
    <w:p w14:paraId="54BFA4D7" w14:textId="4BCC5808" w:rsidR="008A6FA2" w:rsidRDefault="00000000">
      <w:pPr>
        <w:pStyle w:val="Sadraj2"/>
        <w:rPr>
          <w:rFonts w:asciiTheme="minorHAnsi" w:eastAsiaTheme="minorEastAsia" w:hAnsiTheme="minorHAnsi" w:cstheme="minorBidi"/>
          <w:kern w:val="2"/>
          <w:sz w:val="24"/>
          <w:szCs w:val="24"/>
          <w14:ligatures w14:val="standardContextual"/>
        </w:rPr>
      </w:pPr>
      <w:hyperlink w:anchor="_Toc225865629" w:history="1">
        <w:r w:rsidR="008A6FA2" w:rsidRPr="006B37BC">
          <w:rPr>
            <w:rStyle w:val="Hiperveza"/>
            <w:rFonts w:ascii="Arial" w:hAnsi="Arial"/>
          </w:rPr>
          <w:t>8.4.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Javnost rada</w:t>
        </w:r>
        <w:r w:rsidR="008A6FA2">
          <w:rPr>
            <w:webHidden/>
          </w:rPr>
          <w:tab/>
        </w:r>
        <w:r w:rsidR="008A6FA2">
          <w:rPr>
            <w:webHidden/>
          </w:rPr>
          <w:fldChar w:fldCharType="begin"/>
        </w:r>
        <w:r w:rsidR="008A6FA2">
          <w:rPr>
            <w:webHidden/>
          </w:rPr>
          <w:instrText xml:space="preserve"> PAGEREF _Toc225865629 \h </w:instrText>
        </w:r>
        <w:r w:rsidR="008A6FA2">
          <w:rPr>
            <w:webHidden/>
          </w:rPr>
        </w:r>
        <w:r w:rsidR="008A6FA2">
          <w:rPr>
            <w:webHidden/>
          </w:rPr>
          <w:fldChar w:fldCharType="separate"/>
        </w:r>
        <w:r w:rsidR="0031412C">
          <w:rPr>
            <w:webHidden/>
          </w:rPr>
          <w:t>85</w:t>
        </w:r>
        <w:r w:rsidR="008A6FA2">
          <w:rPr>
            <w:webHidden/>
          </w:rPr>
          <w:fldChar w:fldCharType="end"/>
        </w:r>
      </w:hyperlink>
    </w:p>
    <w:p w14:paraId="5723B1EF" w14:textId="0CF0AB03" w:rsidR="008A6FA2" w:rsidRDefault="00000000">
      <w:pPr>
        <w:pStyle w:val="Sadraj2"/>
        <w:rPr>
          <w:rFonts w:asciiTheme="minorHAnsi" w:eastAsiaTheme="minorEastAsia" w:hAnsiTheme="minorHAnsi" w:cstheme="minorBidi"/>
          <w:kern w:val="2"/>
          <w:sz w:val="24"/>
          <w:szCs w:val="24"/>
          <w14:ligatures w14:val="standardContextual"/>
        </w:rPr>
      </w:pPr>
      <w:hyperlink w:anchor="_Toc225865630" w:history="1">
        <w:r w:rsidR="008A6FA2" w:rsidRPr="006B37BC">
          <w:rPr>
            <w:rStyle w:val="Hiperveza"/>
            <w:rFonts w:ascii="Arial" w:hAnsi="Arial"/>
          </w:rPr>
          <w:t>8.5.</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Analitička praćenja proaktivne objave informacija</w:t>
        </w:r>
        <w:r w:rsidR="008A6FA2">
          <w:rPr>
            <w:webHidden/>
          </w:rPr>
          <w:tab/>
        </w:r>
        <w:r w:rsidR="008A6FA2">
          <w:rPr>
            <w:webHidden/>
          </w:rPr>
          <w:fldChar w:fldCharType="begin"/>
        </w:r>
        <w:r w:rsidR="008A6FA2">
          <w:rPr>
            <w:webHidden/>
          </w:rPr>
          <w:instrText xml:space="preserve"> PAGEREF _Toc225865630 \h </w:instrText>
        </w:r>
        <w:r w:rsidR="008A6FA2">
          <w:rPr>
            <w:webHidden/>
          </w:rPr>
        </w:r>
        <w:r w:rsidR="008A6FA2">
          <w:rPr>
            <w:webHidden/>
          </w:rPr>
          <w:fldChar w:fldCharType="separate"/>
        </w:r>
        <w:r w:rsidR="0031412C">
          <w:rPr>
            <w:webHidden/>
          </w:rPr>
          <w:t>87</w:t>
        </w:r>
        <w:r w:rsidR="008A6FA2">
          <w:rPr>
            <w:webHidden/>
          </w:rPr>
          <w:fldChar w:fldCharType="end"/>
        </w:r>
      </w:hyperlink>
    </w:p>
    <w:p w14:paraId="0F6DF1E6" w14:textId="4E5B2201" w:rsidR="008A6FA2" w:rsidRDefault="00000000">
      <w:pPr>
        <w:pStyle w:val="Sadraj2"/>
        <w:rPr>
          <w:rFonts w:asciiTheme="minorHAnsi" w:eastAsiaTheme="minorEastAsia" w:hAnsiTheme="minorHAnsi" w:cstheme="minorBidi"/>
          <w:kern w:val="2"/>
          <w:sz w:val="24"/>
          <w:szCs w:val="24"/>
          <w14:ligatures w14:val="standardContextual"/>
        </w:rPr>
      </w:pPr>
      <w:hyperlink w:anchor="_Toc225865631" w:history="1">
        <w:r w:rsidR="008A6FA2" w:rsidRPr="006B37BC">
          <w:rPr>
            <w:rStyle w:val="Hiperveza"/>
            <w:rFonts w:ascii="Arial" w:hAnsi="Arial"/>
          </w:rPr>
          <w:t>8.6.</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Ponovna uporaba informacija</w:t>
        </w:r>
        <w:r w:rsidR="008A6FA2">
          <w:rPr>
            <w:webHidden/>
          </w:rPr>
          <w:tab/>
        </w:r>
        <w:r w:rsidR="008A6FA2">
          <w:rPr>
            <w:webHidden/>
          </w:rPr>
          <w:fldChar w:fldCharType="begin"/>
        </w:r>
        <w:r w:rsidR="008A6FA2">
          <w:rPr>
            <w:webHidden/>
          </w:rPr>
          <w:instrText xml:space="preserve"> PAGEREF _Toc225865631 \h </w:instrText>
        </w:r>
        <w:r w:rsidR="008A6FA2">
          <w:rPr>
            <w:webHidden/>
          </w:rPr>
        </w:r>
        <w:r w:rsidR="008A6FA2">
          <w:rPr>
            <w:webHidden/>
          </w:rPr>
          <w:fldChar w:fldCharType="separate"/>
        </w:r>
        <w:r w:rsidR="0031412C">
          <w:rPr>
            <w:webHidden/>
          </w:rPr>
          <w:t>88</w:t>
        </w:r>
        <w:r w:rsidR="008A6FA2">
          <w:rPr>
            <w:webHidden/>
          </w:rPr>
          <w:fldChar w:fldCharType="end"/>
        </w:r>
      </w:hyperlink>
    </w:p>
    <w:p w14:paraId="07E5B064" w14:textId="07A09823" w:rsidR="008A6FA2" w:rsidRDefault="00000000">
      <w:pPr>
        <w:pStyle w:val="Sadraj3"/>
        <w:rPr>
          <w:rFonts w:asciiTheme="minorHAnsi" w:eastAsiaTheme="minorEastAsia" w:hAnsiTheme="minorHAnsi" w:cstheme="minorBidi"/>
          <w:kern w:val="2"/>
          <w:sz w:val="24"/>
          <w:szCs w:val="24"/>
          <w14:ligatures w14:val="standardContextual"/>
        </w:rPr>
      </w:pPr>
      <w:hyperlink w:anchor="_Toc225865632" w:history="1">
        <w:r w:rsidR="008A6FA2" w:rsidRPr="006B37BC">
          <w:rPr>
            <w:rStyle w:val="Hiperveza"/>
          </w:rPr>
          <w:t>8.6.1.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Registri i evidencije tijela javne vlasti</w:t>
        </w:r>
        <w:r w:rsidR="008A6FA2">
          <w:rPr>
            <w:webHidden/>
          </w:rPr>
          <w:tab/>
        </w:r>
        <w:r w:rsidR="008A6FA2">
          <w:rPr>
            <w:webHidden/>
          </w:rPr>
          <w:fldChar w:fldCharType="begin"/>
        </w:r>
        <w:r w:rsidR="008A6FA2">
          <w:rPr>
            <w:webHidden/>
          </w:rPr>
          <w:instrText xml:space="preserve"> PAGEREF _Toc225865632 \h </w:instrText>
        </w:r>
        <w:r w:rsidR="008A6FA2">
          <w:rPr>
            <w:webHidden/>
          </w:rPr>
        </w:r>
        <w:r w:rsidR="008A6FA2">
          <w:rPr>
            <w:webHidden/>
          </w:rPr>
          <w:fldChar w:fldCharType="separate"/>
        </w:r>
        <w:r w:rsidR="0031412C">
          <w:rPr>
            <w:webHidden/>
          </w:rPr>
          <w:t>88</w:t>
        </w:r>
        <w:r w:rsidR="008A6FA2">
          <w:rPr>
            <w:webHidden/>
          </w:rPr>
          <w:fldChar w:fldCharType="end"/>
        </w:r>
      </w:hyperlink>
    </w:p>
    <w:p w14:paraId="11ACA9C6" w14:textId="0F786F9D" w:rsidR="008A6FA2" w:rsidRDefault="00000000">
      <w:pPr>
        <w:pStyle w:val="Sadraj3"/>
        <w:rPr>
          <w:rFonts w:asciiTheme="minorHAnsi" w:eastAsiaTheme="minorEastAsia" w:hAnsiTheme="minorHAnsi" w:cstheme="minorBidi"/>
          <w:kern w:val="2"/>
          <w:sz w:val="24"/>
          <w:szCs w:val="24"/>
          <w14:ligatures w14:val="standardContextual"/>
        </w:rPr>
      </w:pPr>
      <w:hyperlink w:anchor="_Toc225865633" w:history="1">
        <w:r w:rsidR="008A6FA2" w:rsidRPr="006B37BC">
          <w:rPr>
            <w:rStyle w:val="Hiperveza"/>
          </w:rPr>
          <w:t>8.6.2.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Objava otvorenih podataka i portali otvorenih podataka</w:t>
        </w:r>
        <w:r w:rsidR="008A6FA2">
          <w:rPr>
            <w:webHidden/>
          </w:rPr>
          <w:tab/>
        </w:r>
        <w:r w:rsidR="008A6FA2">
          <w:rPr>
            <w:webHidden/>
          </w:rPr>
          <w:fldChar w:fldCharType="begin"/>
        </w:r>
        <w:r w:rsidR="008A6FA2">
          <w:rPr>
            <w:webHidden/>
          </w:rPr>
          <w:instrText xml:space="preserve"> PAGEREF _Toc225865633 \h </w:instrText>
        </w:r>
        <w:r w:rsidR="008A6FA2">
          <w:rPr>
            <w:webHidden/>
          </w:rPr>
        </w:r>
        <w:r w:rsidR="008A6FA2">
          <w:rPr>
            <w:webHidden/>
          </w:rPr>
          <w:fldChar w:fldCharType="separate"/>
        </w:r>
        <w:r w:rsidR="0031412C">
          <w:rPr>
            <w:webHidden/>
          </w:rPr>
          <w:t>89</w:t>
        </w:r>
        <w:r w:rsidR="008A6FA2">
          <w:rPr>
            <w:webHidden/>
          </w:rPr>
          <w:fldChar w:fldCharType="end"/>
        </w:r>
      </w:hyperlink>
    </w:p>
    <w:p w14:paraId="27F9C24F" w14:textId="3ADA5012" w:rsidR="008A6FA2" w:rsidRDefault="00000000">
      <w:pPr>
        <w:pStyle w:val="Sadraj3"/>
        <w:rPr>
          <w:rFonts w:asciiTheme="minorHAnsi" w:eastAsiaTheme="minorEastAsia" w:hAnsiTheme="minorHAnsi" w:cstheme="minorBidi"/>
          <w:kern w:val="2"/>
          <w:sz w:val="24"/>
          <w:szCs w:val="24"/>
          <w14:ligatures w14:val="standardContextual"/>
        </w:rPr>
      </w:pPr>
      <w:hyperlink w:anchor="_Toc225865634" w:history="1">
        <w:r w:rsidR="008A6FA2" w:rsidRPr="006B37BC">
          <w:rPr>
            <w:rStyle w:val="Hiperveza"/>
          </w:rPr>
          <w:t>8.6.3.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Politika otvorenih podataka</w:t>
        </w:r>
        <w:r w:rsidR="008A6FA2">
          <w:rPr>
            <w:webHidden/>
          </w:rPr>
          <w:tab/>
        </w:r>
        <w:r w:rsidR="008A6FA2">
          <w:rPr>
            <w:webHidden/>
          </w:rPr>
          <w:fldChar w:fldCharType="begin"/>
        </w:r>
        <w:r w:rsidR="008A6FA2">
          <w:rPr>
            <w:webHidden/>
          </w:rPr>
          <w:instrText xml:space="preserve"> PAGEREF _Toc225865634 \h </w:instrText>
        </w:r>
        <w:r w:rsidR="008A6FA2">
          <w:rPr>
            <w:webHidden/>
          </w:rPr>
        </w:r>
        <w:r w:rsidR="008A6FA2">
          <w:rPr>
            <w:webHidden/>
          </w:rPr>
          <w:fldChar w:fldCharType="separate"/>
        </w:r>
        <w:r w:rsidR="0031412C">
          <w:rPr>
            <w:webHidden/>
          </w:rPr>
          <w:t>90</w:t>
        </w:r>
        <w:r w:rsidR="008A6FA2">
          <w:rPr>
            <w:webHidden/>
          </w:rPr>
          <w:fldChar w:fldCharType="end"/>
        </w:r>
      </w:hyperlink>
    </w:p>
    <w:p w14:paraId="33A01F13" w14:textId="4E89A35C" w:rsidR="008A6FA2" w:rsidRDefault="00000000">
      <w:pPr>
        <w:pStyle w:val="Sadraj3"/>
        <w:rPr>
          <w:rFonts w:asciiTheme="minorHAnsi" w:eastAsiaTheme="minorEastAsia" w:hAnsiTheme="minorHAnsi" w:cstheme="minorBidi"/>
          <w:kern w:val="2"/>
          <w:sz w:val="24"/>
          <w:szCs w:val="24"/>
          <w14:ligatures w14:val="standardContextual"/>
        </w:rPr>
      </w:pPr>
      <w:hyperlink w:anchor="_Toc225865635" w:history="1">
        <w:r w:rsidR="008A6FA2" w:rsidRPr="006B37BC">
          <w:rPr>
            <w:rStyle w:val="Hiperveza"/>
          </w:rPr>
          <w:t>8.6.4.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Zrelost otvorenih podataka</w:t>
        </w:r>
        <w:r w:rsidR="008A6FA2">
          <w:rPr>
            <w:webHidden/>
          </w:rPr>
          <w:tab/>
        </w:r>
        <w:r w:rsidR="008A6FA2">
          <w:rPr>
            <w:webHidden/>
          </w:rPr>
          <w:fldChar w:fldCharType="begin"/>
        </w:r>
        <w:r w:rsidR="008A6FA2">
          <w:rPr>
            <w:webHidden/>
          </w:rPr>
          <w:instrText xml:space="preserve"> PAGEREF _Toc225865635 \h </w:instrText>
        </w:r>
        <w:r w:rsidR="008A6FA2">
          <w:rPr>
            <w:webHidden/>
          </w:rPr>
        </w:r>
        <w:r w:rsidR="008A6FA2">
          <w:rPr>
            <w:webHidden/>
          </w:rPr>
          <w:fldChar w:fldCharType="separate"/>
        </w:r>
        <w:r w:rsidR="0031412C">
          <w:rPr>
            <w:webHidden/>
          </w:rPr>
          <w:t>90</w:t>
        </w:r>
        <w:r w:rsidR="008A6FA2">
          <w:rPr>
            <w:webHidden/>
          </w:rPr>
          <w:fldChar w:fldCharType="end"/>
        </w:r>
      </w:hyperlink>
    </w:p>
    <w:p w14:paraId="20D4F598" w14:textId="4FF024E3" w:rsidR="008A6FA2" w:rsidRDefault="00000000">
      <w:pPr>
        <w:pStyle w:val="Sadraj3"/>
        <w:rPr>
          <w:rFonts w:asciiTheme="minorHAnsi" w:eastAsiaTheme="minorEastAsia" w:hAnsiTheme="minorHAnsi" w:cstheme="minorBidi"/>
          <w:kern w:val="2"/>
          <w:sz w:val="24"/>
          <w:szCs w:val="24"/>
          <w14:ligatures w14:val="standardContextual"/>
        </w:rPr>
      </w:pPr>
      <w:hyperlink w:anchor="_Toc225865636" w:history="1">
        <w:r w:rsidR="008A6FA2" w:rsidRPr="006B37BC">
          <w:rPr>
            <w:rStyle w:val="Hiperveza"/>
          </w:rPr>
          <w:t>8.6.5.</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Poseban pravni režim ponovne uporabe informacija za knjižnice, muzeje i arhive</w:t>
        </w:r>
        <w:r w:rsidR="008A6FA2">
          <w:rPr>
            <w:webHidden/>
          </w:rPr>
          <w:tab/>
        </w:r>
        <w:r w:rsidR="008A6FA2">
          <w:rPr>
            <w:webHidden/>
          </w:rPr>
          <w:fldChar w:fldCharType="begin"/>
        </w:r>
        <w:r w:rsidR="008A6FA2">
          <w:rPr>
            <w:webHidden/>
          </w:rPr>
          <w:instrText xml:space="preserve"> PAGEREF _Toc225865636 \h </w:instrText>
        </w:r>
        <w:r w:rsidR="008A6FA2">
          <w:rPr>
            <w:webHidden/>
          </w:rPr>
        </w:r>
        <w:r w:rsidR="008A6FA2">
          <w:rPr>
            <w:webHidden/>
          </w:rPr>
          <w:fldChar w:fldCharType="separate"/>
        </w:r>
        <w:r w:rsidR="0031412C">
          <w:rPr>
            <w:webHidden/>
          </w:rPr>
          <w:t>91</w:t>
        </w:r>
        <w:r w:rsidR="008A6FA2">
          <w:rPr>
            <w:webHidden/>
          </w:rPr>
          <w:fldChar w:fldCharType="end"/>
        </w:r>
      </w:hyperlink>
    </w:p>
    <w:p w14:paraId="24DE8BF5" w14:textId="59367763"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37" w:history="1">
        <w:r w:rsidR="008A6FA2" w:rsidRPr="006B37BC">
          <w:rPr>
            <w:rStyle w:val="Hiperveza"/>
            <w:rFonts w:ascii="Arial" w:eastAsia="Times New Roman" w:hAnsi="Arial" w:cs="Arial"/>
          </w:rPr>
          <w:t>9.</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Promicanje prava na pristup informacijama</w:t>
        </w:r>
        <w:r w:rsidR="008A6FA2">
          <w:rPr>
            <w:webHidden/>
          </w:rPr>
          <w:tab/>
        </w:r>
        <w:r w:rsidR="008A6FA2">
          <w:rPr>
            <w:webHidden/>
          </w:rPr>
          <w:fldChar w:fldCharType="begin"/>
        </w:r>
        <w:r w:rsidR="008A6FA2">
          <w:rPr>
            <w:webHidden/>
          </w:rPr>
          <w:instrText xml:space="preserve"> PAGEREF _Toc225865637 \h </w:instrText>
        </w:r>
        <w:r w:rsidR="008A6FA2">
          <w:rPr>
            <w:webHidden/>
          </w:rPr>
        </w:r>
        <w:r w:rsidR="008A6FA2">
          <w:rPr>
            <w:webHidden/>
          </w:rPr>
          <w:fldChar w:fldCharType="separate"/>
        </w:r>
        <w:r w:rsidR="0031412C">
          <w:rPr>
            <w:webHidden/>
          </w:rPr>
          <w:t>93</w:t>
        </w:r>
        <w:r w:rsidR="008A6FA2">
          <w:rPr>
            <w:webHidden/>
          </w:rPr>
          <w:fldChar w:fldCharType="end"/>
        </w:r>
      </w:hyperlink>
    </w:p>
    <w:p w14:paraId="08ABF147" w14:textId="1D5C5548" w:rsidR="008A6FA2" w:rsidRDefault="00000000">
      <w:pPr>
        <w:pStyle w:val="Sadraj2"/>
        <w:rPr>
          <w:rFonts w:asciiTheme="minorHAnsi" w:eastAsiaTheme="minorEastAsia" w:hAnsiTheme="minorHAnsi" w:cstheme="minorBidi"/>
          <w:kern w:val="2"/>
          <w:sz w:val="24"/>
          <w:szCs w:val="24"/>
          <w14:ligatures w14:val="standardContextual"/>
        </w:rPr>
      </w:pPr>
      <w:hyperlink w:anchor="_Toc225865638" w:history="1">
        <w:r w:rsidR="008A6FA2" w:rsidRPr="006B37BC">
          <w:rPr>
            <w:rStyle w:val="Hiperveza"/>
            <w:rFonts w:ascii="Arial" w:hAnsi="Arial"/>
          </w:rPr>
          <w:t>9.1.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Edukacijske aktivnosti</w:t>
        </w:r>
        <w:r w:rsidR="008A6FA2">
          <w:rPr>
            <w:webHidden/>
          </w:rPr>
          <w:tab/>
        </w:r>
        <w:r w:rsidR="008A6FA2">
          <w:rPr>
            <w:webHidden/>
          </w:rPr>
          <w:fldChar w:fldCharType="begin"/>
        </w:r>
        <w:r w:rsidR="008A6FA2">
          <w:rPr>
            <w:webHidden/>
          </w:rPr>
          <w:instrText xml:space="preserve"> PAGEREF _Toc225865638 \h </w:instrText>
        </w:r>
        <w:r w:rsidR="008A6FA2">
          <w:rPr>
            <w:webHidden/>
          </w:rPr>
        </w:r>
        <w:r w:rsidR="008A6FA2">
          <w:rPr>
            <w:webHidden/>
          </w:rPr>
          <w:fldChar w:fldCharType="separate"/>
        </w:r>
        <w:r w:rsidR="0031412C">
          <w:rPr>
            <w:webHidden/>
          </w:rPr>
          <w:t>93</w:t>
        </w:r>
        <w:r w:rsidR="008A6FA2">
          <w:rPr>
            <w:webHidden/>
          </w:rPr>
          <w:fldChar w:fldCharType="end"/>
        </w:r>
      </w:hyperlink>
    </w:p>
    <w:p w14:paraId="4753D7E8" w14:textId="16918F74" w:rsidR="008A6FA2" w:rsidRDefault="00000000">
      <w:pPr>
        <w:pStyle w:val="Sadraj2"/>
        <w:rPr>
          <w:rFonts w:asciiTheme="minorHAnsi" w:eastAsiaTheme="minorEastAsia" w:hAnsiTheme="minorHAnsi" w:cstheme="minorBidi"/>
          <w:kern w:val="2"/>
          <w:sz w:val="24"/>
          <w:szCs w:val="24"/>
          <w14:ligatures w14:val="standardContextual"/>
        </w:rPr>
      </w:pPr>
      <w:hyperlink w:anchor="_Toc225865639" w:history="1">
        <w:r w:rsidR="008A6FA2" w:rsidRPr="006B37BC">
          <w:rPr>
            <w:rStyle w:val="Hiperveza"/>
            <w:rFonts w:ascii="Arial" w:hAnsi="Arial"/>
          </w:rPr>
          <w:t>9.2.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Godišnje savjetovanje službenika za informiranje</w:t>
        </w:r>
        <w:r w:rsidR="008A6FA2">
          <w:rPr>
            <w:webHidden/>
          </w:rPr>
          <w:tab/>
        </w:r>
        <w:r w:rsidR="008A6FA2">
          <w:rPr>
            <w:webHidden/>
          </w:rPr>
          <w:fldChar w:fldCharType="begin"/>
        </w:r>
        <w:r w:rsidR="008A6FA2">
          <w:rPr>
            <w:webHidden/>
          </w:rPr>
          <w:instrText xml:space="preserve"> PAGEREF _Toc225865639 \h </w:instrText>
        </w:r>
        <w:r w:rsidR="008A6FA2">
          <w:rPr>
            <w:webHidden/>
          </w:rPr>
        </w:r>
        <w:r w:rsidR="008A6FA2">
          <w:rPr>
            <w:webHidden/>
          </w:rPr>
          <w:fldChar w:fldCharType="separate"/>
        </w:r>
        <w:r w:rsidR="0031412C">
          <w:rPr>
            <w:webHidden/>
          </w:rPr>
          <w:t>95</w:t>
        </w:r>
        <w:r w:rsidR="008A6FA2">
          <w:rPr>
            <w:webHidden/>
          </w:rPr>
          <w:fldChar w:fldCharType="end"/>
        </w:r>
      </w:hyperlink>
    </w:p>
    <w:p w14:paraId="768EB213" w14:textId="4B6B6E50" w:rsidR="008A6FA2" w:rsidRDefault="00000000">
      <w:pPr>
        <w:pStyle w:val="Sadraj2"/>
        <w:rPr>
          <w:rFonts w:asciiTheme="minorHAnsi" w:eastAsiaTheme="minorEastAsia" w:hAnsiTheme="minorHAnsi" w:cstheme="minorBidi"/>
          <w:kern w:val="2"/>
          <w:sz w:val="24"/>
          <w:szCs w:val="24"/>
          <w14:ligatures w14:val="standardContextual"/>
        </w:rPr>
      </w:pPr>
      <w:hyperlink w:anchor="_Toc225865640" w:history="1">
        <w:r w:rsidR="008A6FA2" w:rsidRPr="006B37BC">
          <w:rPr>
            <w:rStyle w:val="Hiperveza"/>
            <w:rFonts w:ascii="Arial" w:hAnsi="Arial"/>
          </w:rPr>
          <w:t>9.3.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Promotivne aktivnosti i informiranje javnosti</w:t>
        </w:r>
        <w:r w:rsidR="008A6FA2">
          <w:rPr>
            <w:webHidden/>
          </w:rPr>
          <w:tab/>
        </w:r>
        <w:r w:rsidR="008A6FA2">
          <w:rPr>
            <w:webHidden/>
          </w:rPr>
          <w:fldChar w:fldCharType="begin"/>
        </w:r>
        <w:r w:rsidR="008A6FA2">
          <w:rPr>
            <w:webHidden/>
          </w:rPr>
          <w:instrText xml:space="preserve"> PAGEREF _Toc225865640 \h </w:instrText>
        </w:r>
        <w:r w:rsidR="008A6FA2">
          <w:rPr>
            <w:webHidden/>
          </w:rPr>
        </w:r>
        <w:r w:rsidR="008A6FA2">
          <w:rPr>
            <w:webHidden/>
          </w:rPr>
          <w:fldChar w:fldCharType="separate"/>
        </w:r>
        <w:r w:rsidR="0031412C">
          <w:rPr>
            <w:webHidden/>
          </w:rPr>
          <w:t>95</w:t>
        </w:r>
        <w:r w:rsidR="008A6FA2">
          <w:rPr>
            <w:webHidden/>
          </w:rPr>
          <w:fldChar w:fldCharType="end"/>
        </w:r>
      </w:hyperlink>
    </w:p>
    <w:p w14:paraId="5B527817" w14:textId="3C8E4B55" w:rsidR="008A6FA2" w:rsidRDefault="00000000">
      <w:pPr>
        <w:pStyle w:val="Sadraj2"/>
        <w:rPr>
          <w:rFonts w:asciiTheme="minorHAnsi" w:eastAsiaTheme="minorEastAsia" w:hAnsiTheme="minorHAnsi" w:cstheme="minorBidi"/>
          <w:kern w:val="2"/>
          <w:sz w:val="24"/>
          <w:szCs w:val="24"/>
          <w14:ligatures w14:val="standardContextual"/>
        </w:rPr>
      </w:pPr>
      <w:hyperlink w:anchor="_Toc225865641" w:history="1">
        <w:r w:rsidR="008A6FA2" w:rsidRPr="006B37BC">
          <w:rPr>
            <w:rStyle w:val="Hiperveza"/>
            <w:rFonts w:ascii="Arial" w:hAnsi="Arial"/>
          </w:rPr>
          <w:t>9.4.</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Sudjelovanje u izradi normativnih, strateških i planskih dokumenata</w:t>
        </w:r>
        <w:r w:rsidR="008A6FA2">
          <w:rPr>
            <w:webHidden/>
          </w:rPr>
          <w:tab/>
        </w:r>
        <w:r w:rsidR="008A6FA2">
          <w:rPr>
            <w:webHidden/>
          </w:rPr>
          <w:fldChar w:fldCharType="begin"/>
        </w:r>
        <w:r w:rsidR="008A6FA2">
          <w:rPr>
            <w:webHidden/>
          </w:rPr>
          <w:instrText xml:space="preserve"> PAGEREF _Toc225865641 \h </w:instrText>
        </w:r>
        <w:r w:rsidR="008A6FA2">
          <w:rPr>
            <w:webHidden/>
          </w:rPr>
        </w:r>
        <w:r w:rsidR="008A6FA2">
          <w:rPr>
            <w:webHidden/>
          </w:rPr>
          <w:fldChar w:fldCharType="separate"/>
        </w:r>
        <w:r w:rsidR="0031412C">
          <w:rPr>
            <w:webHidden/>
          </w:rPr>
          <w:t>97</w:t>
        </w:r>
        <w:r w:rsidR="008A6FA2">
          <w:rPr>
            <w:webHidden/>
          </w:rPr>
          <w:fldChar w:fldCharType="end"/>
        </w:r>
      </w:hyperlink>
    </w:p>
    <w:p w14:paraId="05D5E77F" w14:textId="4C825484" w:rsidR="008A6FA2" w:rsidRDefault="00000000">
      <w:pPr>
        <w:pStyle w:val="Sadraj2"/>
        <w:rPr>
          <w:rFonts w:asciiTheme="minorHAnsi" w:eastAsiaTheme="minorEastAsia" w:hAnsiTheme="minorHAnsi" w:cstheme="minorBidi"/>
          <w:kern w:val="2"/>
          <w:sz w:val="24"/>
          <w:szCs w:val="24"/>
          <w14:ligatures w14:val="standardContextual"/>
        </w:rPr>
      </w:pPr>
      <w:hyperlink w:anchor="_Toc225865642" w:history="1">
        <w:r w:rsidR="008A6FA2" w:rsidRPr="006B37BC">
          <w:rPr>
            <w:rStyle w:val="Hiperveza"/>
            <w:rFonts w:ascii="Arial" w:hAnsi="Arial"/>
          </w:rPr>
          <w:t>9.5.</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Međuinstitucionalna i međunarodna suradnja i projekti</w:t>
        </w:r>
        <w:r w:rsidR="008A6FA2">
          <w:rPr>
            <w:webHidden/>
          </w:rPr>
          <w:tab/>
        </w:r>
        <w:r w:rsidR="008A6FA2">
          <w:rPr>
            <w:webHidden/>
          </w:rPr>
          <w:fldChar w:fldCharType="begin"/>
        </w:r>
        <w:r w:rsidR="008A6FA2">
          <w:rPr>
            <w:webHidden/>
          </w:rPr>
          <w:instrText xml:space="preserve"> PAGEREF _Toc225865642 \h </w:instrText>
        </w:r>
        <w:r w:rsidR="008A6FA2">
          <w:rPr>
            <w:webHidden/>
          </w:rPr>
        </w:r>
        <w:r w:rsidR="008A6FA2">
          <w:rPr>
            <w:webHidden/>
          </w:rPr>
          <w:fldChar w:fldCharType="separate"/>
        </w:r>
        <w:r w:rsidR="0031412C">
          <w:rPr>
            <w:webHidden/>
          </w:rPr>
          <w:t>97</w:t>
        </w:r>
        <w:r w:rsidR="008A6FA2">
          <w:rPr>
            <w:webHidden/>
          </w:rPr>
          <w:fldChar w:fldCharType="end"/>
        </w:r>
      </w:hyperlink>
    </w:p>
    <w:p w14:paraId="7A1E9E24" w14:textId="46D8D0AC"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43" w:history="1">
        <w:r w:rsidR="008A6FA2" w:rsidRPr="006B37BC">
          <w:rPr>
            <w:rStyle w:val="Hiperveza"/>
          </w:rPr>
          <w:t>C)</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POSTUPANJE POVJERENIKA U DRUGIM PODRUČJIMA</w:t>
        </w:r>
        <w:r w:rsidR="008A6FA2">
          <w:rPr>
            <w:webHidden/>
          </w:rPr>
          <w:tab/>
        </w:r>
        <w:r w:rsidR="008A6FA2">
          <w:rPr>
            <w:webHidden/>
          </w:rPr>
          <w:fldChar w:fldCharType="begin"/>
        </w:r>
        <w:r w:rsidR="008A6FA2">
          <w:rPr>
            <w:webHidden/>
          </w:rPr>
          <w:instrText xml:space="preserve"> PAGEREF _Toc225865643 \h </w:instrText>
        </w:r>
        <w:r w:rsidR="008A6FA2">
          <w:rPr>
            <w:webHidden/>
          </w:rPr>
        </w:r>
        <w:r w:rsidR="008A6FA2">
          <w:rPr>
            <w:webHidden/>
          </w:rPr>
          <w:fldChar w:fldCharType="separate"/>
        </w:r>
        <w:r w:rsidR="0031412C">
          <w:rPr>
            <w:webHidden/>
          </w:rPr>
          <w:t>101</w:t>
        </w:r>
        <w:r w:rsidR="008A6FA2">
          <w:rPr>
            <w:webHidden/>
          </w:rPr>
          <w:fldChar w:fldCharType="end"/>
        </w:r>
      </w:hyperlink>
    </w:p>
    <w:p w14:paraId="03A5D553" w14:textId="174A9F34"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44" w:history="1">
        <w:r w:rsidR="008A6FA2" w:rsidRPr="006B37BC">
          <w:rPr>
            <w:rStyle w:val="Hiperveza"/>
            <w:rFonts w:ascii="Arial" w:hAnsi="Arial" w:cs="Arial"/>
          </w:rPr>
          <w:t>10.</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Postupanje Povjerenika u drugim područjima – okoliš, arhivi, digitalna pristupačnost</w:t>
        </w:r>
        <w:r w:rsidR="008A6FA2">
          <w:rPr>
            <w:webHidden/>
          </w:rPr>
          <w:tab/>
        </w:r>
        <w:r w:rsidR="008A6FA2">
          <w:rPr>
            <w:webHidden/>
          </w:rPr>
          <w:fldChar w:fldCharType="begin"/>
        </w:r>
        <w:r w:rsidR="008A6FA2">
          <w:rPr>
            <w:webHidden/>
          </w:rPr>
          <w:instrText xml:space="preserve"> PAGEREF _Toc225865644 \h </w:instrText>
        </w:r>
        <w:r w:rsidR="008A6FA2">
          <w:rPr>
            <w:webHidden/>
          </w:rPr>
        </w:r>
        <w:r w:rsidR="008A6FA2">
          <w:rPr>
            <w:webHidden/>
          </w:rPr>
          <w:fldChar w:fldCharType="separate"/>
        </w:r>
        <w:r w:rsidR="0031412C">
          <w:rPr>
            <w:webHidden/>
          </w:rPr>
          <w:t>101</w:t>
        </w:r>
        <w:r w:rsidR="008A6FA2">
          <w:rPr>
            <w:webHidden/>
          </w:rPr>
          <w:fldChar w:fldCharType="end"/>
        </w:r>
      </w:hyperlink>
    </w:p>
    <w:p w14:paraId="0BF58994" w14:textId="0137226C" w:rsidR="008A6FA2" w:rsidRDefault="00000000">
      <w:pPr>
        <w:pStyle w:val="Sadraj2"/>
        <w:rPr>
          <w:rFonts w:asciiTheme="minorHAnsi" w:eastAsiaTheme="minorEastAsia" w:hAnsiTheme="minorHAnsi" w:cstheme="minorBidi"/>
          <w:kern w:val="2"/>
          <w:sz w:val="24"/>
          <w:szCs w:val="24"/>
          <w14:ligatures w14:val="standardContextual"/>
        </w:rPr>
      </w:pPr>
      <w:hyperlink w:anchor="_Toc225865645" w:history="1">
        <w:r w:rsidR="008A6FA2" w:rsidRPr="006B37BC">
          <w:rPr>
            <w:rStyle w:val="Hiperveza"/>
            <w:rFonts w:ascii="Arial" w:hAnsi="Arial"/>
          </w:rPr>
          <w:t>10.1.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Dostupnost informacija o okolišu</w:t>
        </w:r>
        <w:r w:rsidR="008A6FA2">
          <w:rPr>
            <w:webHidden/>
          </w:rPr>
          <w:tab/>
        </w:r>
        <w:r w:rsidR="008A6FA2">
          <w:rPr>
            <w:webHidden/>
          </w:rPr>
          <w:fldChar w:fldCharType="begin"/>
        </w:r>
        <w:r w:rsidR="008A6FA2">
          <w:rPr>
            <w:webHidden/>
          </w:rPr>
          <w:instrText xml:space="preserve"> PAGEREF _Toc225865645 \h </w:instrText>
        </w:r>
        <w:r w:rsidR="008A6FA2">
          <w:rPr>
            <w:webHidden/>
          </w:rPr>
        </w:r>
        <w:r w:rsidR="008A6FA2">
          <w:rPr>
            <w:webHidden/>
          </w:rPr>
          <w:fldChar w:fldCharType="separate"/>
        </w:r>
        <w:r w:rsidR="0031412C">
          <w:rPr>
            <w:webHidden/>
          </w:rPr>
          <w:t>101</w:t>
        </w:r>
        <w:r w:rsidR="008A6FA2">
          <w:rPr>
            <w:webHidden/>
          </w:rPr>
          <w:fldChar w:fldCharType="end"/>
        </w:r>
      </w:hyperlink>
    </w:p>
    <w:p w14:paraId="65AB9D9F" w14:textId="46F7485F" w:rsidR="008A6FA2" w:rsidRDefault="00000000">
      <w:pPr>
        <w:pStyle w:val="Sadraj2"/>
        <w:rPr>
          <w:rFonts w:asciiTheme="minorHAnsi" w:eastAsiaTheme="minorEastAsia" w:hAnsiTheme="minorHAnsi" w:cstheme="minorBidi"/>
          <w:kern w:val="2"/>
          <w:sz w:val="24"/>
          <w:szCs w:val="24"/>
          <w14:ligatures w14:val="standardContextual"/>
        </w:rPr>
      </w:pPr>
      <w:hyperlink w:anchor="_Toc225865646" w:history="1">
        <w:r w:rsidR="008A6FA2" w:rsidRPr="006B37BC">
          <w:rPr>
            <w:rStyle w:val="Hiperveza"/>
            <w:rFonts w:ascii="Arial" w:hAnsi="Arial"/>
          </w:rPr>
          <w:t>10.2.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Dostupnost arhivskog gradiva</w:t>
        </w:r>
        <w:r w:rsidR="008A6FA2">
          <w:rPr>
            <w:webHidden/>
          </w:rPr>
          <w:tab/>
        </w:r>
        <w:r w:rsidR="008A6FA2">
          <w:rPr>
            <w:webHidden/>
          </w:rPr>
          <w:fldChar w:fldCharType="begin"/>
        </w:r>
        <w:r w:rsidR="008A6FA2">
          <w:rPr>
            <w:webHidden/>
          </w:rPr>
          <w:instrText xml:space="preserve"> PAGEREF _Toc225865646 \h </w:instrText>
        </w:r>
        <w:r w:rsidR="008A6FA2">
          <w:rPr>
            <w:webHidden/>
          </w:rPr>
        </w:r>
        <w:r w:rsidR="008A6FA2">
          <w:rPr>
            <w:webHidden/>
          </w:rPr>
          <w:fldChar w:fldCharType="separate"/>
        </w:r>
        <w:r w:rsidR="0031412C">
          <w:rPr>
            <w:webHidden/>
          </w:rPr>
          <w:t>102</w:t>
        </w:r>
        <w:r w:rsidR="008A6FA2">
          <w:rPr>
            <w:webHidden/>
          </w:rPr>
          <w:fldChar w:fldCharType="end"/>
        </w:r>
      </w:hyperlink>
    </w:p>
    <w:p w14:paraId="03CAD912" w14:textId="7C78D25A" w:rsidR="008A6FA2" w:rsidRDefault="00000000">
      <w:pPr>
        <w:pStyle w:val="Sadraj2"/>
        <w:rPr>
          <w:rFonts w:asciiTheme="minorHAnsi" w:eastAsiaTheme="minorEastAsia" w:hAnsiTheme="minorHAnsi" w:cstheme="minorBidi"/>
          <w:kern w:val="2"/>
          <w:sz w:val="24"/>
          <w:szCs w:val="24"/>
          <w14:ligatures w14:val="standardContextual"/>
        </w:rPr>
      </w:pPr>
      <w:hyperlink w:anchor="_Toc225865647" w:history="1">
        <w:r w:rsidR="008A6FA2" w:rsidRPr="006B37BC">
          <w:rPr>
            <w:rStyle w:val="Hiperveza"/>
            <w:rFonts w:ascii="Arial" w:hAnsi="Arial"/>
          </w:rPr>
          <w:t>10.3.</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Pristupačnost mrežnih stranica i programskih rješenja za pokretne uređaje</w:t>
        </w:r>
        <w:r w:rsidR="008A6FA2">
          <w:rPr>
            <w:webHidden/>
          </w:rPr>
          <w:tab/>
        </w:r>
        <w:r w:rsidR="008A6FA2">
          <w:rPr>
            <w:webHidden/>
          </w:rPr>
          <w:fldChar w:fldCharType="begin"/>
        </w:r>
        <w:r w:rsidR="008A6FA2">
          <w:rPr>
            <w:webHidden/>
          </w:rPr>
          <w:instrText xml:space="preserve"> PAGEREF _Toc225865647 \h </w:instrText>
        </w:r>
        <w:r w:rsidR="008A6FA2">
          <w:rPr>
            <w:webHidden/>
          </w:rPr>
        </w:r>
        <w:r w:rsidR="008A6FA2">
          <w:rPr>
            <w:webHidden/>
          </w:rPr>
          <w:fldChar w:fldCharType="separate"/>
        </w:r>
        <w:r w:rsidR="0031412C">
          <w:rPr>
            <w:webHidden/>
          </w:rPr>
          <w:t>103</w:t>
        </w:r>
        <w:r w:rsidR="008A6FA2">
          <w:rPr>
            <w:webHidden/>
          </w:rPr>
          <w:fldChar w:fldCharType="end"/>
        </w:r>
      </w:hyperlink>
    </w:p>
    <w:p w14:paraId="17F64821" w14:textId="7C9928AF"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48" w:history="1">
        <w:r w:rsidR="008A6FA2" w:rsidRPr="006B37BC">
          <w:rPr>
            <w:rStyle w:val="Hiperveza"/>
          </w:rPr>
          <w:t>D)</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URED POVJERENIKA</w:t>
        </w:r>
        <w:r w:rsidR="008A6FA2">
          <w:rPr>
            <w:webHidden/>
          </w:rPr>
          <w:tab/>
        </w:r>
        <w:r w:rsidR="008A6FA2">
          <w:rPr>
            <w:webHidden/>
          </w:rPr>
          <w:fldChar w:fldCharType="begin"/>
        </w:r>
        <w:r w:rsidR="008A6FA2">
          <w:rPr>
            <w:webHidden/>
          </w:rPr>
          <w:instrText xml:space="preserve"> PAGEREF _Toc225865648 \h </w:instrText>
        </w:r>
        <w:r w:rsidR="008A6FA2">
          <w:rPr>
            <w:webHidden/>
          </w:rPr>
        </w:r>
        <w:r w:rsidR="008A6FA2">
          <w:rPr>
            <w:webHidden/>
          </w:rPr>
          <w:fldChar w:fldCharType="separate"/>
        </w:r>
        <w:r w:rsidR="0031412C">
          <w:rPr>
            <w:webHidden/>
          </w:rPr>
          <w:t>105</w:t>
        </w:r>
        <w:r w:rsidR="008A6FA2">
          <w:rPr>
            <w:webHidden/>
          </w:rPr>
          <w:fldChar w:fldCharType="end"/>
        </w:r>
      </w:hyperlink>
    </w:p>
    <w:p w14:paraId="5E39E37E" w14:textId="06BA82DF"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49" w:history="1">
        <w:r w:rsidR="008A6FA2" w:rsidRPr="006B37BC">
          <w:rPr>
            <w:rStyle w:val="Hiperveza"/>
            <w:rFonts w:ascii="Arial" w:hAnsi="Arial" w:cs="Arial"/>
          </w:rPr>
          <w:t>11.</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Ured povjerenika</w:t>
        </w:r>
        <w:r w:rsidR="008A6FA2">
          <w:rPr>
            <w:webHidden/>
          </w:rPr>
          <w:tab/>
        </w:r>
        <w:r w:rsidR="008A6FA2">
          <w:rPr>
            <w:webHidden/>
          </w:rPr>
          <w:fldChar w:fldCharType="begin"/>
        </w:r>
        <w:r w:rsidR="008A6FA2">
          <w:rPr>
            <w:webHidden/>
          </w:rPr>
          <w:instrText xml:space="preserve"> PAGEREF _Toc225865649 \h </w:instrText>
        </w:r>
        <w:r w:rsidR="008A6FA2">
          <w:rPr>
            <w:webHidden/>
          </w:rPr>
        </w:r>
        <w:r w:rsidR="008A6FA2">
          <w:rPr>
            <w:webHidden/>
          </w:rPr>
          <w:fldChar w:fldCharType="separate"/>
        </w:r>
        <w:r w:rsidR="0031412C">
          <w:rPr>
            <w:webHidden/>
          </w:rPr>
          <w:t>105</w:t>
        </w:r>
        <w:r w:rsidR="008A6FA2">
          <w:rPr>
            <w:webHidden/>
          </w:rPr>
          <w:fldChar w:fldCharType="end"/>
        </w:r>
      </w:hyperlink>
    </w:p>
    <w:p w14:paraId="6DD939E1" w14:textId="4DFA8B58" w:rsidR="008A6FA2" w:rsidRDefault="00000000">
      <w:pPr>
        <w:pStyle w:val="Sadraj2"/>
        <w:rPr>
          <w:rFonts w:asciiTheme="minorHAnsi" w:eastAsiaTheme="minorEastAsia" w:hAnsiTheme="minorHAnsi" w:cstheme="minorBidi"/>
          <w:kern w:val="2"/>
          <w:sz w:val="24"/>
          <w:szCs w:val="24"/>
          <w14:ligatures w14:val="standardContextual"/>
        </w:rPr>
      </w:pPr>
      <w:hyperlink w:anchor="_Toc225865650" w:history="1">
        <w:r w:rsidR="008A6FA2" w:rsidRPr="006B37BC">
          <w:rPr>
            <w:rStyle w:val="Hiperveza"/>
            <w:rFonts w:ascii="Arial" w:hAnsi="Arial"/>
          </w:rPr>
          <w:t>11.1.</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Općenito o Uredu</w:t>
        </w:r>
        <w:r w:rsidR="008A6FA2">
          <w:rPr>
            <w:webHidden/>
          </w:rPr>
          <w:tab/>
        </w:r>
        <w:r w:rsidR="008A6FA2">
          <w:rPr>
            <w:webHidden/>
          </w:rPr>
          <w:fldChar w:fldCharType="begin"/>
        </w:r>
        <w:r w:rsidR="008A6FA2">
          <w:rPr>
            <w:webHidden/>
          </w:rPr>
          <w:instrText xml:space="preserve"> PAGEREF _Toc225865650 \h </w:instrText>
        </w:r>
        <w:r w:rsidR="008A6FA2">
          <w:rPr>
            <w:webHidden/>
          </w:rPr>
        </w:r>
        <w:r w:rsidR="008A6FA2">
          <w:rPr>
            <w:webHidden/>
          </w:rPr>
          <w:fldChar w:fldCharType="separate"/>
        </w:r>
        <w:r w:rsidR="0031412C">
          <w:rPr>
            <w:webHidden/>
          </w:rPr>
          <w:t>105</w:t>
        </w:r>
        <w:r w:rsidR="008A6FA2">
          <w:rPr>
            <w:webHidden/>
          </w:rPr>
          <w:fldChar w:fldCharType="end"/>
        </w:r>
      </w:hyperlink>
    </w:p>
    <w:p w14:paraId="418E562A" w14:textId="3BD0F665" w:rsidR="008A6FA2" w:rsidRDefault="00000000">
      <w:pPr>
        <w:pStyle w:val="Sadraj2"/>
        <w:rPr>
          <w:rFonts w:asciiTheme="minorHAnsi" w:eastAsiaTheme="minorEastAsia" w:hAnsiTheme="minorHAnsi" w:cstheme="minorBidi"/>
          <w:kern w:val="2"/>
          <w:sz w:val="24"/>
          <w:szCs w:val="24"/>
          <w14:ligatures w14:val="standardContextual"/>
        </w:rPr>
      </w:pPr>
      <w:hyperlink w:anchor="_Toc225865651" w:history="1">
        <w:r w:rsidR="008A6FA2" w:rsidRPr="006B37BC">
          <w:rPr>
            <w:rStyle w:val="Hiperveza"/>
            <w:rFonts w:ascii="Arial" w:hAnsi="Arial"/>
          </w:rPr>
          <w:t>11.2.</w:t>
        </w:r>
        <w:r w:rsidR="008A6FA2">
          <w:rPr>
            <w:rFonts w:asciiTheme="minorHAnsi" w:eastAsiaTheme="minorEastAsia" w:hAnsiTheme="minorHAnsi" w:cstheme="minorBidi"/>
            <w:kern w:val="2"/>
            <w:sz w:val="24"/>
            <w:szCs w:val="24"/>
            <w14:ligatures w14:val="standardContextual"/>
          </w:rPr>
          <w:tab/>
        </w:r>
        <w:r w:rsidR="008A6FA2" w:rsidRPr="006B37BC">
          <w:rPr>
            <w:rStyle w:val="Hiperveza"/>
          </w:rPr>
          <w:t>Financiranje Ureda</w:t>
        </w:r>
        <w:r w:rsidR="008A6FA2">
          <w:rPr>
            <w:webHidden/>
          </w:rPr>
          <w:tab/>
        </w:r>
        <w:r w:rsidR="008A6FA2">
          <w:rPr>
            <w:webHidden/>
          </w:rPr>
          <w:fldChar w:fldCharType="begin"/>
        </w:r>
        <w:r w:rsidR="008A6FA2">
          <w:rPr>
            <w:webHidden/>
          </w:rPr>
          <w:instrText xml:space="preserve"> PAGEREF _Toc225865651 \h </w:instrText>
        </w:r>
        <w:r w:rsidR="008A6FA2">
          <w:rPr>
            <w:webHidden/>
          </w:rPr>
        </w:r>
        <w:r w:rsidR="008A6FA2">
          <w:rPr>
            <w:webHidden/>
          </w:rPr>
          <w:fldChar w:fldCharType="separate"/>
        </w:r>
        <w:r w:rsidR="0031412C">
          <w:rPr>
            <w:webHidden/>
          </w:rPr>
          <w:t>105</w:t>
        </w:r>
        <w:r w:rsidR="008A6FA2">
          <w:rPr>
            <w:webHidden/>
          </w:rPr>
          <w:fldChar w:fldCharType="end"/>
        </w:r>
      </w:hyperlink>
    </w:p>
    <w:p w14:paraId="0C8C529E" w14:textId="5EBCAF1C"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52" w:history="1">
        <w:r w:rsidR="008A6FA2" w:rsidRPr="006B37BC">
          <w:rPr>
            <w:rStyle w:val="Hiperveza"/>
          </w:rPr>
          <w:t>E)</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OSVRT, PRIJEDLOZI I PREPORUKE ZA OTKLANJANJE NEDOSTATAKA I NEPRAVILNOSTI TE OKVIRNI PLAN DJELOVANJA POVJERENIKA I UREDA POVJERENIKA U 2026.</w:t>
        </w:r>
        <w:r w:rsidR="008A6FA2">
          <w:rPr>
            <w:webHidden/>
          </w:rPr>
          <w:tab/>
        </w:r>
        <w:r w:rsidR="008A6FA2">
          <w:rPr>
            <w:webHidden/>
          </w:rPr>
          <w:fldChar w:fldCharType="begin"/>
        </w:r>
        <w:r w:rsidR="008A6FA2">
          <w:rPr>
            <w:webHidden/>
          </w:rPr>
          <w:instrText xml:space="preserve"> PAGEREF _Toc225865652 \h </w:instrText>
        </w:r>
        <w:r w:rsidR="008A6FA2">
          <w:rPr>
            <w:webHidden/>
          </w:rPr>
        </w:r>
        <w:r w:rsidR="008A6FA2">
          <w:rPr>
            <w:webHidden/>
          </w:rPr>
          <w:fldChar w:fldCharType="separate"/>
        </w:r>
        <w:r w:rsidR="0031412C">
          <w:rPr>
            <w:webHidden/>
          </w:rPr>
          <w:t>108</w:t>
        </w:r>
        <w:r w:rsidR="008A6FA2">
          <w:rPr>
            <w:webHidden/>
          </w:rPr>
          <w:fldChar w:fldCharType="end"/>
        </w:r>
      </w:hyperlink>
    </w:p>
    <w:p w14:paraId="7E4A2434" w14:textId="37CC6E5C"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53" w:history="1">
        <w:r w:rsidR="008A6FA2" w:rsidRPr="006B37BC">
          <w:rPr>
            <w:rStyle w:val="Hiperveza"/>
            <w:rFonts w:ascii="Arial" w:hAnsi="Arial" w:cs="Arial"/>
            <w:lang w:eastAsia="en-US"/>
          </w:rPr>
          <w:t>12.</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Osvrt</w:t>
        </w:r>
        <w:r w:rsidR="008A6FA2" w:rsidRPr="006B37BC">
          <w:rPr>
            <w:rStyle w:val="Hiperveza"/>
            <w:lang w:eastAsia="en-US"/>
          </w:rPr>
          <w:t xml:space="preserve"> na </w:t>
        </w:r>
        <w:r w:rsidR="008A6FA2" w:rsidRPr="006B37BC">
          <w:rPr>
            <w:rStyle w:val="Hiperveza"/>
          </w:rPr>
          <w:t>prijedloge</w:t>
        </w:r>
        <w:r w:rsidR="008A6FA2" w:rsidRPr="006B37BC">
          <w:rPr>
            <w:rStyle w:val="Hiperveza"/>
            <w:lang w:eastAsia="en-US"/>
          </w:rPr>
          <w:t>, preporuke i aktivnosti Ureda povjerenika iz prošlogodišnjeg Izvješća</w:t>
        </w:r>
        <w:r w:rsidR="008A6FA2">
          <w:rPr>
            <w:webHidden/>
          </w:rPr>
          <w:tab/>
        </w:r>
        <w:r w:rsidR="008A6FA2">
          <w:rPr>
            <w:webHidden/>
          </w:rPr>
          <w:fldChar w:fldCharType="begin"/>
        </w:r>
        <w:r w:rsidR="008A6FA2">
          <w:rPr>
            <w:webHidden/>
          </w:rPr>
          <w:instrText xml:space="preserve"> PAGEREF _Toc225865653 \h </w:instrText>
        </w:r>
        <w:r w:rsidR="008A6FA2">
          <w:rPr>
            <w:webHidden/>
          </w:rPr>
        </w:r>
        <w:r w:rsidR="008A6FA2">
          <w:rPr>
            <w:webHidden/>
          </w:rPr>
          <w:fldChar w:fldCharType="separate"/>
        </w:r>
        <w:r w:rsidR="0031412C">
          <w:rPr>
            <w:webHidden/>
          </w:rPr>
          <w:t>108</w:t>
        </w:r>
        <w:r w:rsidR="008A6FA2">
          <w:rPr>
            <w:webHidden/>
          </w:rPr>
          <w:fldChar w:fldCharType="end"/>
        </w:r>
      </w:hyperlink>
    </w:p>
    <w:p w14:paraId="7D5BD08E" w14:textId="339DB452"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54" w:history="1">
        <w:r w:rsidR="008A6FA2" w:rsidRPr="006B37BC">
          <w:rPr>
            <w:rStyle w:val="Hiperveza"/>
            <w:rFonts w:ascii="Arial" w:hAnsi="Arial" w:cs="Arial"/>
          </w:rPr>
          <w:t>13.</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Preporuke i prijedlozi za otklanjanje nedostataka i nepravilnosti</w:t>
        </w:r>
        <w:r w:rsidR="008A6FA2">
          <w:rPr>
            <w:webHidden/>
          </w:rPr>
          <w:tab/>
        </w:r>
        <w:r w:rsidR="008A6FA2">
          <w:rPr>
            <w:webHidden/>
          </w:rPr>
          <w:fldChar w:fldCharType="begin"/>
        </w:r>
        <w:r w:rsidR="008A6FA2">
          <w:rPr>
            <w:webHidden/>
          </w:rPr>
          <w:instrText xml:space="preserve"> PAGEREF _Toc225865654 \h </w:instrText>
        </w:r>
        <w:r w:rsidR="008A6FA2">
          <w:rPr>
            <w:webHidden/>
          </w:rPr>
        </w:r>
        <w:r w:rsidR="008A6FA2">
          <w:rPr>
            <w:webHidden/>
          </w:rPr>
          <w:fldChar w:fldCharType="separate"/>
        </w:r>
        <w:r w:rsidR="0031412C">
          <w:rPr>
            <w:webHidden/>
          </w:rPr>
          <w:t>111</w:t>
        </w:r>
        <w:r w:rsidR="008A6FA2">
          <w:rPr>
            <w:webHidden/>
          </w:rPr>
          <w:fldChar w:fldCharType="end"/>
        </w:r>
      </w:hyperlink>
    </w:p>
    <w:p w14:paraId="465CC68E" w14:textId="6B3E0A8D" w:rsidR="008A6FA2" w:rsidRDefault="00000000">
      <w:pPr>
        <w:pStyle w:val="Sadraj1"/>
        <w:rPr>
          <w:rFonts w:asciiTheme="minorHAnsi" w:eastAsiaTheme="minorEastAsia" w:hAnsiTheme="minorHAnsi" w:cstheme="minorBidi"/>
          <w:b w:val="0"/>
          <w:kern w:val="2"/>
          <w:sz w:val="24"/>
          <w:szCs w:val="24"/>
          <w14:ligatures w14:val="standardContextual"/>
        </w:rPr>
      </w:pPr>
      <w:hyperlink w:anchor="_Toc225865655" w:history="1">
        <w:r w:rsidR="008A6FA2" w:rsidRPr="006B37BC">
          <w:rPr>
            <w:rStyle w:val="Hiperveza"/>
            <w:rFonts w:ascii="Arial" w:hAnsi="Arial" w:cs="Arial"/>
          </w:rPr>
          <w:t>14.</w:t>
        </w:r>
        <w:r w:rsidR="008A6FA2">
          <w:rPr>
            <w:rFonts w:asciiTheme="minorHAnsi" w:eastAsiaTheme="minorEastAsia" w:hAnsiTheme="minorHAnsi" w:cstheme="minorBidi"/>
            <w:b w:val="0"/>
            <w:kern w:val="2"/>
            <w:sz w:val="24"/>
            <w:szCs w:val="24"/>
            <w14:ligatures w14:val="standardContextual"/>
          </w:rPr>
          <w:tab/>
        </w:r>
        <w:r w:rsidR="008A6FA2" w:rsidRPr="006B37BC">
          <w:rPr>
            <w:rStyle w:val="Hiperveza"/>
          </w:rPr>
          <w:t>Okvirni plan djelovanja Ureda u 2026.</w:t>
        </w:r>
        <w:r w:rsidR="008A6FA2">
          <w:rPr>
            <w:webHidden/>
          </w:rPr>
          <w:tab/>
        </w:r>
        <w:r w:rsidR="008A6FA2">
          <w:rPr>
            <w:webHidden/>
          </w:rPr>
          <w:fldChar w:fldCharType="begin"/>
        </w:r>
        <w:r w:rsidR="008A6FA2">
          <w:rPr>
            <w:webHidden/>
          </w:rPr>
          <w:instrText xml:space="preserve"> PAGEREF _Toc225865655 \h </w:instrText>
        </w:r>
        <w:r w:rsidR="008A6FA2">
          <w:rPr>
            <w:webHidden/>
          </w:rPr>
        </w:r>
        <w:r w:rsidR="008A6FA2">
          <w:rPr>
            <w:webHidden/>
          </w:rPr>
          <w:fldChar w:fldCharType="separate"/>
        </w:r>
        <w:r w:rsidR="0031412C">
          <w:rPr>
            <w:webHidden/>
          </w:rPr>
          <w:t>114</w:t>
        </w:r>
        <w:r w:rsidR="008A6FA2">
          <w:rPr>
            <w:webHidden/>
          </w:rPr>
          <w:fldChar w:fldCharType="end"/>
        </w:r>
      </w:hyperlink>
    </w:p>
    <w:p w14:paraId="143BF580" w14:textId="703A0FDF" w:rsidR="00604114" w:rsidRDefault="00604114" w:rsidP="7D481D26">
      <w:pPr>
        <w:pStyle w:val="Sadraj1"/>
        <w:tabs>
          <w:tab w:val="clear" w:pos="9072"/>
          <w:tab w:val="left" w:pos="390"/>
          <w:tab w:val="right" w:leader="dot" w:pos="9060"/>
        </w:tabs>
        <w:rPr>
          <w:rFonts w:asciiTheme="minorHAnsi" w:eastAsiaTheme="minorEastAsia" w:hAnsiTheme="minorHAnsi" w:cstheme="minorBidi"/>
          <w:b w:val="0"/>
          <w:kern w:val="2"/>
          <w:sz w:val="24"/>
          <w:szCs w:val="24"/>
          <w:lang w:val="en-US" w:eastAsia="en-US"/>
          <w14:ligatures w14:val="standardContextual"/>
        </w:rPr>
      </w:pPr>
      <w:r>
        <w:fldChar w:fldCharType="end"/>
      </w:r>
    </w:p>
    <w:bookmarkEnd w:id="1"/>
    <w:p w14:paraId="2481382E" w14:textId="5B45FDCC" w:rsidR="001D77FC" w:rsidRPr="00F0315E" w:rsidRDefault="001D77FC" w:rsidP="005B2FB3">
      <w:pPr>
        <w:rPr>
          <w:rFonts w:cs="Arial"/>
          <w:sz w:val="23"/>
          <w:szCs w:val="23"/>
        </w:rPr>
      </w:pPr>
    </w:p>
    <w:p w14:paraId="0C550A91" w14:textId="08829670" w:rsidR="00AE6811" w:rsidRDefault="00AE6811" w:rsidP="005B2FB3">
      <w:pPr>
        <w:rPr>
          <w:rFonts w:cs="Arial"/>
          <w:sz w:val="23"/>
          <w:szCs w:val="23"/>
        </w:rPr>
      </w:pPr>
    </w:p>
    <w:p w14:paraId="5D19C26D" w14:textId="7429F12A" w:rsidR="00AE6811" w:rsidRDefault="00AE6811">
      <w:pPr>
        <w:spacing w:after="0" w:line="240" w:lineRule="auto"/>
        <w:jc w:val="left"/>
        <w:rPr>
          <w:rFonts w:cs="Arial"/>
          <w:sz w:val="23"/>
          <w:szCs w:val="23"/>
        </w:rPr>
      </w:pPr>
      <w:r>
        <w:rPr>
          <w:rFonts w:cs="Arial"/>
          <w:sz w:val="23"/>
          <w:szCs w:val="23"/>
        </w:rPr>
        <w:lastRenderedPageBreak/>
        <w:br w:type="page"/>
      </w:r>
    </w:p>
    <w:p w14:paraId="20571899" w14:textId="77777777" w:rsidR="0072067D" w:rsidRPr="00F0315E" w:rsidRDefault="0072067D" w:rsidP="005B2FB3">
      <w:pPr>
        <w:rPr>
          <w:rFonts w:cs="Arial"/>
          <w:sz w:val="23"/>
          <w:szCs w:val="23"/>
        </w:rPr>
        <w:sectPr w:rsidR="0072067D" w:rsidRPr="00F0315E" w:rsidSect="00D049EA">
          <w:headerReference w:type="default" r:id="rId14"/>
          <w:footerReference w:type="default" r:id="rId15"/>
          <w:pgSz w:w="11906" w:h="16838"/>
          <w:pgMar w:top="1417" w:right="1417" w:bottom="1417" w:left="1417" w:header="708" w:footer="708" w:gutter="0"/>
          <w:pgNumType w:start="1"/>
          <w:cols w:space="708"/>
          <w:docGrid w:linePitch="360"/>
        </w:sectPr>
      </w:pPr>
    </w:p>
    <w:p w14:paraId="57FE11FD" w14:textId="77777777" w:rsidR="00450B06" w:rsidRPr="00F0315E" w:rsidRDefault="00450B06" w:rsidP="00450B06">
      <w:pPr>
        <w:keepNext/>
        <w:tabs>
          <w:tab w:val="left" w:pos="-1843"/>
        </w:tabs>
        <w:spacing w:after="480"/>
        <w:jc w:val="center"/>
        <w:rPr>
          <w:rFonts w:cs="Arial"/>
          <w:b/>
        </w:rPr>
      </w:pPr>
    </w:p>
    <w:p w14:paraId="38531E37" w14:textId="4E8828D1" w:rsidR="00450B06" w:rsidRPr="00F0315E" w:rsidRDefault="00450B06" w:rsidP="00450B06">
      <w:pPr>
        <w:keepNext/>
        <w:tabs>
          <w:tab w:val="left" w:pos="-1843"/>
        </w:tabs>
        <w:spacing w:after="480"/>
        <w:jc w:val="center"/>
        <w:rPr>
          <w:rFonts w:cs="Arial"/>
          <w:b/>
        </w:rPr>
      </w:pPr>
      <w:r w:rsidRPr="00DF1683">
        <w:rPr>
          <w:rFonts w:cs="Arial"/>
          <w:b/>
        </w:rPr>
        <w:t>PROVEDBA ZPPI-ja ZA 202</w:t>
      </w:r>
      <w:r w:rsidR="00D65668" w:rsidRPr="00DF1683">
        <w:rPr>
          <w:rFonts w:cs="Arial"/>
          <w:b/>
        </w:rPr>
        <w:t>5</w:t>
      </w:r>
      <w:r w:rsidRPr="00DF1683">
        <w:rPr>
          <w:rFonts w:cs="Arial"/>
          <w:b/>
        </w:rPr>
        <w:t>. U BROJKAMA</w:t>
      </w:r>
    </w:p>
    <w:p w14:paraId="67BB0217" w14:textId="77777777" w:rsidR="00450B06" w:rsidRDefault="00450B06" w:rsidP="00450B06">
      <w:pPr>
        <w:keepNext/>
        <w:tabs>
          <w:tab w:val="left" w:pos="-1843"/>
        </w:tabs>
        <w:spacing w:after="360"/>
        <w:rPr>
          <w:rFonts w:cs="Arial"/>
          <w:b/>
        </w:rPr>
      </w:pPr>
      <w:r w:rsidRPr="00F0315E">
        <w:rPr>
          <w:rFonts w:cs="Arial"/>
          <w:b/>
        </w:rPr>
        <w:t>Postupanje prema podacima tijela javne vlasti</w:t>
      </w:r>
    </w:p>
    <w:p w14:paraId="6E6817A5" w14:textId="64A71076" w:rsidR="000C172A" w:rsidRDefault="000C172A" w:rsidP="00450B06">
      <w:pPr>
        <w:keepNext/>
        <w:tabs>
          <w:tab w:val="left" w:pos="-1843"/>
        </w:tabs>
        <w:spacing w:after="360"/>
        <w:rPr>
          <w:rFonts w:cs="Arial"/>
          <w:b/>
        </w:rPr>
      </w:pPr>
      <w:r w:rsidRPr="000C172A">
        <w:rPr>
          <w:noProof/>
        </w:rPr>
        <w:drawing>
          <wp:inline distT="0" distB="0" distL="0" distR="0" wp14:anchorId="6BAD2989" wp14:editId="45D75674">
            <wp:extent cx="5760720" cy="5861685"/>
            <wp:effectExtent l="0" t="0" r="0" b="5715"/>
            <wp:docPr id="3104602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861685"/>
                    </a:xfrm>
                    <a:prstGeom prst="rect">
                      <a:avLst/>
                    </a:prstGeom>
                    <a:noFill/>
                    <a:ln>
                      <a:noFill/>
                    </a:ln>
                  </pic:spPr>
                </pic:pic>
              </a:graphicData>
            </a:graphic>
          </wp:inline>
        </w:drawing>
      </w:r>
    </w:p>
    <w:p w14:paraId="7F9B3440" w14:textId="60198799" w:rsidR="009A6515" w:rsidRPr="00F0315E" w:rsidRDefault="009A6515" w:rsidP="00450B06">
      <w:pPr>
        <w:keepNext/>
        <w:tabs>
          <w:tab w:val="left" w:pos="-1843"/>
        </w:tabs>
        <w:spacing w:after="360"/>
        <w:rPr>
          <w:rFonts w:cs="Arial"/>
          <w:b/>
        </w:rPr>
      </w:pPr>
    </w:p>
    <w:p w14:paraId="0C4C0B98" w14:textId="20D7BDEF" w:rsidR="00450B06" w:rsidRPr="00F0315E" w:rsidRDefault="00450B06" w:rsidP="00450B06">
      <w:pPr>
        <w:keepNext/>
        <w:tabs>
          <w:tab w:val="left" w:pos="-1843"/>
        </w:tabs>
        <w:jc w:val="center"/>
        <w:rPr>
          <w:rFonts w:cs="Arial"/>
          <w:b/>
        </w:rPr>
      </w:pPr>
    </w:p>
    <w:p w14:paraId="5C657486" w14:textId="0B413ECA" w:rsidR="00AE6811" w:rsidRDefault="00450B06" w:rsidP="00450B06">
      <w:pPr>
        <w:spacing w:after="0" w:line="240" w:lineRule="auto"/>
        <w:jc w:val="left"/>
        <w:rPr>
          <w:rFonts w:cs="Arial"/>
          <w:b/>
        </w:rPr>
      </w:pPr>
      <w:r w:rsidRPr="00F0315E">
        <w:rPr>
          <w:rFonts w:cs="Arial"/>
          <w:b/>
        </w:rPr>
        <w:br w:type="page"/>
      </w:r>
    </w:p>
    <w:p w14:paraId="61128E11" w14:textId="77777777" w:rsidR="00AE6811" w:rsidRDefault="00AE6811">
      <w:pPr>
        <w:spacing w:after="0" w:line="240" w:lineRule="auto"/>
        <w:jc w:val="left"/>
        <w:rPr>
          <w:rFonts w:cs="Arial"/>
          <w:b/>
        </w:rPr>
      </w:pPr>
      <w:r>
        <w:rPr>
          <w:rFonts w:cs="Arial"/>
          <w:b/>
        </w:rPr>
        <w:lastRenderedPageBreak/>
        <w:br w:type="page"/>
      </w:r>
    </w:p>
    <w:p w14:paraId="59E3B565" w14:textId="77777777" w:rsidR="00450B06" w:rsidRPr="00F0315E" w:rsidRDefault="00450B06" w:rsidP="00D65668">
      <w:pPr>
        <w:keepNext/>
        <w:tabs>
          <w:tab w:val="left" w:pos="-1843"/>
        </w:tabs>
        <w:spacing w:after="480"/>
        <w:jc w:val="center"/>
        <w:rPr>
          <w:rFonts w:cs="Arial"/>
          <w:b/>
        </w:rPr>
      </w:pPr>
    </w:p>
    <w:p w14:paraId="5F47D8BA" w14:textId="2AA07A43" w:rsidR="00D65668" w:rsidRPr="00F0315E" w:rsidRDefault="00D65668" w:rsidP="00D65668">
      <w:pPr>
        <w:keepNext/>
        <w:tabs>
          <w:tab w:val="left" w:pos="-1843"/>
        </w:tabs>
        <w:spacing w:after="480"/>
        <w:jc w:val="center"/>
        <w:rPr>
          <w:rFonts w:cs="Arial"/>
          <w:b/>
        </w:rPr>
      </w:pPr>
      <w:r w:rsidRPr="00DF1683">
        <w:rPr>
          <w:rFonts w:cs="Arial"/>
          <w:b/>
        </w:rPr>
        <w:t>PROVEDBA ZPPI-ja ZA 2025. U BROJKAMA</w:t>
      </w:r>
    </w:p>
    <w:p w14:paraId="2D600E16" w14:textId="77777777" w:rsidR="00450B06" w:rsidRDefault="00450B06" w:rsidP="00450B06">
      <w:pPr>
        <w:keepNext/>
        <w:tabs>
          <w:tab w:val="left" w:pos="-1843"/>
        </w:tabs>
        <w:spacing w:after="360"/>
        <w:rPr>
          <w:rFonts w:cs="Arial"/>
          <w:b/>
        </w:rPr>
      </w:pPr>
      <w:r w:rsidRPr="00F0315E">
        <w:rPr>
          <w:rFonts w:cs="Arial"/>
          <w:b/>
        </w:rPr>
        <w:t>Provedba nadzorne funkcije Povjerenika i Ureda povjerenika</w:t>
      </w:r>
    </w:p>
    <w:p w14:paraId="61BA382F" w14:textId="65F81499" w:rsidR="000C172A" w:rsidRDefault="00E50FA1" w:rsidP="00450B06">
      <w:pPr>
        <w:keepNext/>
        <w:tabs>
          <w:tab w:val="left" w:pos="-1843"/>
        </w:tabs>
        <w:spacing w:after="360"/>
        <w:rPr>
          <w:rFonts w:cs="Arial"/>
          <w:b/>
        </w:rPr>
      </w:pPr>
      <w:r w:rsidRPr="00E50FA1">
        <w:rPr>
          <w:noProof/>
        </w:rPr>
        <w:drawing>
          <wp:inline distT="0" distB="0" distL="0" distR="0" wp14:anchorId="68386251" wp14:editId="260A4FCE">
            <wp:extent cx="5760720" cy="7113270"/>
            <wp:effectExtent l="0" t="0" r="0" b="0"/>
            <wp:docPr id="188882327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113270"/>
                    </a:xfrm>
                    <a:prstGeom prst="rect">
                      <a:avLst/>
                    </a:prstGeom>
                    <a:noFill/>
                    <a:ln>
                      <a:noFill/>
                    </a:ln>
                  </pic:spPr>
                </pic:pic>
              </a:graphicData>
            </a:graphic>
          </wp:inline>
        </w:drawing>
      </w:r>
    </w:p>
    <w:p w14:paraId="45D76B22" w14:textId="74A45E09" w:rsidR="009A6515" w:rsidRPr="00F0315E" w:rsidRDefault="009A6515" w:rsidP="00450B06">
      <w:pPr>
        <w:keepNext/>
        <w:tabs>
          <w:tab w:val="left" w:pos="-1843"/>
        </w:tabs>
        <w:spacing w:after="360"/>
        <w:rPr>
          <w:rFonts w:cs="Arial"/>
          <w:b/>
        </w:rPr>
      </w:pPr>
    </w:p>
    <w:p w14:paraId="59093A8E" w14:textId="4A3A729B" w:rsidR="00450B06" w:rsidRPr="00F0315E" w:rsidRDefault="00450B06" w:rsidP="00450B06">
      <w:pPr>
        <w:keepNext/>
        <w:tabs>
          <w:tab w:val="left" w:pos="-1843"/>
        </w:tabs>
        <w:jc w:val="center"/>
        <w:rPr>
          <w:rFonts w:cs="Arial"/>
          <w:b/>
        </w:rPr>
      </w:pPr>
    </w:p>
    <w:p w14:paraId="52184E40" w14:textId="2B7D2F0F" w:rsidR="00AE6811" w:rsidRDefault="00450B06" w:rsidP="00450B06">
      <w:pPr>
        <w:spacing w:after="0" w:line="240" w:lineRule="auto"/>
        <w:jc w:val="left"/>
        <w:rPr>
          <w:rFonts w:cs="Arial"/>
          <w:b/>
        </w:rPr>
      </w:pPr>
      <w:r w:rsidRPr="00F0315E">
        <w:rPr>
          <w:rFonts w:cs="Arial"/>
          <w:b/>
        </w:rPr>
        <w:br w:type="page"/>
      </w:r>
    </w:p>
    <w:p w14:paraId="17A2837B" w14:textId="77777777" w:rsidR="00450B06" w:rsidRPr="00F0315E" w:rsidRDefault="00450B06" w:rsidP="00D65668">
      <w:pPr>
        <w:keepNext/>
        <w:tabs>
          <w:tab w:val="left" w:pos="-1843"/>
        </w:tabs>
        <w:spacing w:after="480"/>
        <w:jc w:val="center"/>
        <w:rPr>
          <w:rFonts w:cs="Arial"/>
          <w:b/>
        </w:rPr>
      </w:pPr>
    </w:p>
    <w:p w14:paraId="6233C339" w14:textId="5B1DCF68" w:rsidR="00D65668" w:rsidRPr="00F0315E" w:rsidRDefault="00D65668" w:rsidP="00D65668">
      <w:pPr>
        <w:keepNext/>
        <w:tabs>
          <w:tab w:val="left" w:pos="-1843"/>
        </w:tabs>
        <w:spacing w:after="480"/>
        <w:jc w:val="center"/>
        <w:rPr>
          <w:rFonts w:cs="Arial"/>
          <w:b/>
        </w:rPr>
      </w:pPr>
      <w:r w:rsidRPr="00DF1683">
        <w:rPr>
          <w:rFonts w:cs="Arial"/>
          <w:b/>
        </w:rPr>
        <w:t xml:space="preserve">PROVEDBA ZPPI-ja ZA 2025. U BROJKAMA </w:t>
      </w:r>
    </w:p>
    <w:p w14:paraId="74628D51" w14:textId="77777777" w:rsidR="00450B06" w:rsidRPr="00F0315E" w:rsidRDefault="00450B06" w:rsidP="00450B06">
      <w:pPr>
        <w:keepNext/>
        <w:tabs>
          <w:tab w:val="left" w:pos="-1843"/>
        </w:tabs>
        <w:spacing w:after="360"/>
        <w:rPr>
          <w:rFonts w:cs="Arial"/>
          <w:b/>
        </w:rPr>
      </w:pPr>
      <w:r w:rsidRPr="00F0315E">
        <w:rPr>
          <w:rFonts w:cs="Arial"/>
          <w:b/>
        </w:rPr>
        <w:t>Provedba edukacijskih i ostalih aktivnosti Povjerenika i Ureda povjerenika</w:t>
      </w:r>
    </w:p>
    <w:p w14:paraId="1F6F889C" w14:textId="1424D1A6" w:rsidR="00E50FA1" w:rsidRPr="00F0315E" w:rsidRDefault="00132416" w:rsidP="00450B06">
      <w:pPr>
        <w:keepNext/>
        <w:tabs>
          <w:tab w:val="left" w:pos="-1843"/>
        </w:tabs>
        <w:spacing w:after="360"/>
        <w:rPr>
          <w:rFonts w:cs="Arial"/>
          <w:b/>
        </w:rPr>
      </w:pPr>
      <w:r w:rsidRPr="00132416">
        <w:rPr>
          <w:noProof/>
        </w:rPr>
        <w:drawing>
          <wp:inline distT="0" distB="0" distL="0" distR="0" wp14:anchorId="7D05D41A" wp14:editId="28E22DD4">
            <wp:extent cx="5760720" cy="6003290"/>
            <wp:effectExtent l="0" t="0" r="0" b="0"/>
            <wp:docPr id="186227106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6003290"/>
                    </a:xfrm>
                    <a:prstGeom prst="rect">
                      <a:avLst/>
                    </a:prstGeom>
                    <a:noFill/>
                    <a:ln>
                      <a:noFill/>
                    </a:ln>
                  </pic:spPr>
                </pic:pic>
              </a:graphicData>
            </a:graphic>
          </wp:inline>
        </w:drawing>
      </w:r>
    </w:p>
    <w:p w14:paraId="03D453CA" w14:textId="0804F35D" w:rsidR="00450B06" w:rsidRPr="00F0315E" w:rsidRDefault="00450B06" w:rsidP="00450B06">
      <w:pPr>
        <w:keepNext/>
        <w:tabs>
          <w:tab w:val="left" w:pos="-1843"/>
        </w:tabs>
        <w:jc w:val="center"/>
        <w:rPr>
          <w:rFonts w:cs="Arial"/>
          <w:b/>
        </w:rPr>
      </w:pPr>
    </w:p>
    <w:p w14:paraId="039F2D80" w14:textId="77777777" w:rsidR="00450B06" w:rsidRPr="00F0315E" w:rsidRDefault="00450B06" w:rsidP="00450B06">
      <w:pPr>
        <w:keepNext/>
        <w:tabs>
          <w:tab w:val="left" w:pos="-1843"/>
        </w:tabs>
        <w:jc w:val="center"/>
        <w:rPr>
          <w:rFonts w:cs="Arial"/>
          <w:b/>
        </w:rPr>
      </w:pPr>
    </w:p>
    <w:p w14:paraId="0CA1350F" w14:textId="77777777" w:rsidR="00450B06" w:rsidRPr="00F0315E" w:rsidRDefault="00450B06" w:rsidP="00450B06">
      <w:pPr>
        <w:keepNext/>
        <w:tabs>
          <w:tab w:val="left" w:pos="-1843"/>
        </w:tabs>
        <w:jc w:val="center"/>
        <w:rPr>
          <w:rFonts w:cs="Arial"/>
          <w:b/>
        </w:rPr>
      </w:pPr>
    </w:p>
    <w:p w14:paraId="1F7D44B6" w14:textId="350B78B7" w:rsidR="00AE6811" w:rsidRDefault="00AE6811" w:rsidP="00450B06">
      <w:pPr>
        <w:keepNext/>
        <w:tabs>
          <w:tab w:val="left" w:pos="-1843"/>
        </w:tabs>
        <w:rPr>
          <w:rFonts w:cs="Arial"/>
          <w:b/>
        </w:rPr>
      </w:pPr>
    </w:p>
    <w:p w14:paraId="1422CFA3" w14:textId="7BFDBC54" w:rsidR="00AE6811" w:rsidRDefault="00AE6811">
      <w:pPr>
        <w:spacing w:after="0" w:line="240" w:lineRule="auto"/>
        <w:jc w:val="left"/>
        <w:rPr>
          <w:rFonts w:cs="Arial"/>
          <w:b/>
        </w:rPr>
      </w:pPr>
    </w:p>
    <w:p w14:paraId="7F748B28" w14:textId="77777777" w:rsidR="00450B06" w:rsidRPr="00F0315E" w:rsidRDefault="00450B06" w:rsidP="00450B06">
      <w:pPr>
        <w:keepNext/>
        <w:tabs>
          <w:tab w:val="left" w:pos="-1843"/>
        </w:tabs>
        <w:rPr>
          <w:rFonts w:cs="Arial"/>
          <w:b/>
        </w:rPr>
      </w:pPr>
    </w:p>
    <w:p w14:paraId="23C1BFCD" w14:textId="77777777" w:rsidR="00450B06" w:rsidRPr="00F0315E" w:rsidRDefault="00450B06" w:rsidP="00450B06"/>
    <w:p w14:paraId="36E7EA9C" w14:textId="77777777" w:rsidR="00024E9C" w:rsidRPr="00F0315E" w:rsidRDefault="00024E9C" w:rsidP="00024E9C">
      <w:pPr>
        <w:keepLines/>
        <w:tabs>
          <w:tab w:val="left" w:pos="426"/>
          <w:tab w:val="right" w:leader="dot" w:pos="9072"/>
        </w:tabs>
        <w:spacing w:before="120" w:line="240" w:lineRule="auto"/>
        <w:ind w:left="284" w:hanging="284"/>
        <w:jc w:val="left"/>
        <w:rPr>
          <w:rFonts w:cs="Arial"/>
          <w:b/>
          <w:noProof/>
          <w:sz w:val="23"/>
          <w:szCs w:val="23"/>
        </w:rPr>
        <w:sectPr w:rsidR="00024E9C" w:rsidRPr="00F0315E" w:rsidSect="00D049EA">
          <w:pgSz w:w="11906" w:h="16838"/>
          <w:pgMar w:top="1417" w:right="1417" w:bottom="1417" w:left="1417" w:header="708" w:footer="708" w:gutter="0"/>
          <w:pgNumType w:start="1"/>
          <w:cols w:space="708"/>
          <w:docGrid w:linePitch="360"/>
        </w:sectPr>
      </w:pPr>
    </w:p>
    <w:p w14:paraId="02ABF2B4" w14:textId="034689E8" w:rsidR="004B08D3" w:rsidRPr="00F0315E" w:rsidRDefault="004B08D3" w:rsidP="00B129F7">
      <w:pPr>
        <w:pStyle w:val="Odlomakpopisa"/>
        <w:keepNext/>
        <w:numPr>
          <w:ilvl w:val="0"/>
          <w:numId w:val="7"/>
        </w:numPr>
        <w:spacing w:before="600" w:after="480"/>
        <w:ind w:left="907" w:hanging="340"/>
        <w:outlineLvl w:val="0"/>
        <w:rPr>
          <w:rFonts w:ascii="Roboto" w:hAnsi="Roboto"/>
          <w:b/>
          <w:bCs/>
          <w:kern w:val="32"/>
          <w:sz w:val="28"/>
          <w:szCs w:val="28"/>
        </w:rPr>
      </w:pPr>
      <w:bookmarkStart w:id="2" w:name="_Toc161838790"/>
      <w:bookmarkStart w:id="3" w:name="_Toc162445712"/>
      <w:bookmarkStart w:id="4" w:name="_Toc225865549"/>
      <w:r w:rsidRPr="00F0315E">
        <w:rPr>
          <w:rFonts w:ascii="Roboto" w:hAnsi="Roboto"/>
          <w:b/>
          <w:bCs/>
          <w:kern w:val="32"/>
          <w:sz w:val="28"/>
          <w:szCs w:val="28"/>
        </w:rPr>
        <w:lastRenderedPageBreak/>
        <w:t>Uvod</w:t>
      </w:r>
      <w:bookmarkEnd w:id="2"/>
      <w:bookmarkEnd w:id="3"/>
      <w:bookmarkEnd w:id="4"/>
    </w:p>
    <w:p w14:paraId="2AE61886" w14:textId="77777777" w:rsidR="00E626ED" w:rsidRPr="00E626ED" w:rsidRDefault="00E626ED" w:rsidP="00E626ED">
      <w:pPr>
        <w:rPr>
          <w:rFonts w:cs="Arial"/>
        </w:rPr>
      </w:pPr>
      <w:r w:rsidRPr="00E626ED">
        <w:rPr>
          <w:rFonts w:cs="Arial"/>
        </w:rPr>
        <w:t>Pravo na pristup informacijama javnog karaktera u posjedu tijela javne vlasti kao demokratsko pravo svih korisnika – građana i pravnih osoba, važno je sredstvo za osiguranje vladavine prava, dobrog upravljanja i ostvarivanje transparentnosti i otvorenosti u radu i odlučivanju.</w:t>
      </w:r>
    </w:p>
    <w:p w14:paraId="58479BA7" w14:textId="77777777" w:rsidR="00E626ED" w:rsidRPr="00E626ED" w:rsidRDefault="00E626ED" w:rsidP="00E626ED">
      <w:pPr>
        <w:rPr>
          <w:rFonts w:cs="Arial"/>
        </w:rPr>
      </w:pPr>
      <w:r w:rsidRPr="00E626ED">
        <w:rPr>
          <w:rFonts w:cs="Arial"/>
        </w:rPr>
        <w:t xml:space="preserve">Ovaj preventivni alat za borbu protiv korupcije doprinosi demokratskim vrijednostima suvremenih država, a obuhvaća dva mehanizma – dostupnost javnih informacija na internetskim stranicama tijela javne vlasti u propisanom opsegu, bez potrebe za podnošenjem zahtjeva za pristup istima (proaktivna objava) te učinkovitu zaštitu prava u slučaju njegove neprimjene ili kršenja u slučajevima kada se informacije zatraže zahtjevom. </w:t>
      </w:r>
    </w:p>
    <w:p w14:paraId="7AB9D0AA" w14:textId="4E2B40BD" w:rsidR="004B08D3" w:rsidRPr="00F0315E" w:rsidRDefault="00E626ED" w:rsidP="00E626ED">
      <w:pPr>
        <w:rPr>
          <w:rFonts w:cs="Arial"/>
        </w:rPr>
      </w:pPr>
      <w:r w:rsidRPr="00E626ED">
        <w:rPr>
          <w:rFonts w:cs="Arial"/>
        </w:rPr>
        <w:t>U širem smislu, pravo na pristup informacijama obuhvaća i pravo korisnika da sudjeluju u postupcima donošenja zakona, općih akata, strateških i planskih dokumenata kojima se utječe na njihove interese (savjetovanje s javnošću), kao i obvezu tijela javne vlasti da osigura uvid u rad na sjednicama svojih službenih tijela na kojima se donose važne odluke (javnost rada)</w:t>
      </w:r>
      <w:r w:rsidR="00D075F3" w:rsidRPr="00D075F3">
        <w:rPr>
          <w:rFonts w:cs="Arial"/>
        </w:rPr>
        <w:t>.</w:t>
      </w:r>
    </w:p>
    <w:p w14:paraId="45870D8F" w14:textId="77777777" w:rsidR="004B08D3" w:rsidRPr="00F0315E" w:rsidRDefault="004B08D3" w:rsidP="00811052">
      <w:pPr>
        <w:pStyle w:val="Naslov2"/>
        <w:ind w:left="1276" w:hanging="567"/>
      </w:pPr>
      <w:bookmarkStart w:id="5" w:name="_Toc225865550"/>
      <w:r>
        <w:t>Pravni okvir</w:t>
      </w:r>
      <w:bookmarkEnd w:id="5"/>
    </w:p>
    <w:p w14:paraId="47049AE5" w14:textId="77777777" w:rsidR="0012509E" w:rsidRPr="0012509E" w:rsidRDefault="0012509E" w:rsidP="0012509E">
      <w:pPr>
        <w:rPr>
          <w:rFonts w:cs="Arial"/>
        </w:rPr>
      </w:pPr>
      <w:r w:rsidRPr="0012509E">
        <w:rPr>
          <w:rFonts w:cs="Arial"/>
        </w:rPr>
        <w:t>U hrvatskom pravnom sustavu ovo pravo prvi puta cjelovito je uređeno Zakonom o pravu na pristup informacijama iz 2003. godine („Narodne novine“, broj 172/03), koji je s izmjenama i dopunama („Narodne novine“, broj 144/10, 37/11 – Odluka USRH i 77/11) bio na snazi do 2013. godine.</w:t>
      </w:r>
    </w:p>
    <w:p w14:paraId="16B71A56" w14:textId="77777777" w:rsidR="0012509E" w:rsidRPr="0012509E" w:rsidRDefault="0012509E" w:rsidP="0012509E">
      <w:pPr>
        <w:rPr>
          <w:rFonts w:cs="Arial"/>
        </w:rPr>
      </w:pPr>
      <w:r w:rsidRPr="0012509E">
        <w:rPr>
          <w:rFonts w:cs="Arial"/>
        </w:rPr>
        <w:t>Promjenom Ustava Republike Hrvatske iz 2010. godine („Narodne novine“, broj 76/10) zajamčeno je pravo na pristup informacijama koje posjeduju tijela javne vlasti, pri čemu ograničenja prava na pristup informacijama moraju biti razmjerna naravi potrebe za ograničenjem u svakom pojedinom slučaju te nužna u slobodnom i demokratskom društvu, a propisuju se zakonom (članak 38. stavak 4. Ustava Republike Hrvatske, „Narodne novine“, broj 56/90, 135/97, 8/98, 113/00, 124/00, 28/01, 41/01, 55/01, 76/10, 85/10 i 5/14).</w:t>
      </w:r>
    </w:p>
    <w:p w14:paraId="097A123D" w14:textId="77777777" w:rsidR="0012509E" w:rsidRPr="0012509E" w:rsidRDefault="0012509E" w:rsidP="0012509E">
      <w:pPr>
        <w:rPr>
          <w:rFonts w:cs="Arial"/>
        </w:rPr>
      </w:pPr>
      <w:r w:rsidRPr="0012509E">
        <w:rPr>
          <w:rFonts w:cs="Arial"/>
        </w:rPr>
        <w:t>Važećim Zakonom o pravu na pristup informacijama („Narodne novine“, broj 25/13, 85/15 i 69/22), 2013. godine ustrojeno je samostalno i neovisno tijelo koje štiti, prati i promiče pravo na pristup informacijama i pravo na ponovnu uporabu informacija - Povjerenik za informiranje.</w:t>
      </w:r>
    </w:p>
    <w:p w14:paraId="2B1A5C18" w14:textId="77777777" w:rsidR="0012509E" w:rsidRPr="0012509E" w:rsidRDefault="0012509E" w:rsidP="0012509E">
      <w:pPr>
        <w:rPr>
          <w:rFonts w:cs="Arial"/>
        </w:rPr>
      </w:pPr>
      <w:r w:rsidRPr="0012509E">
        <w:rPr>
          <w:rFonts w:cs="Arial"/>
        </w:rPr>
        <w:t xml:space="preserve">Zakonom iz 2013. je Republika Hrvatska preuzela Direktivu o ponovnoj uporabi informacija iz 2003. (2003/98/EZ), a njegovom prvom novelom iz 2015. („Narodne novine“, broj 85/15), preuzete su obveze iz izmijenjene Direktive iz 2013. (2013/37/EU) te je intervenirano u pojedine ključne zakonske definicije. Drugom novelom Zakona iz lipnja 2022. („Narodne novine“, broj 69/22) Zakon je ponovno izmijenjen i dopunjen radi usklađivanja s pravnom stečevinom Europske unije, odnosno transpozicije Direktive (EU) 2019/1024 Europskog parlamenta i Vijeća od 20. lipnja 2019. o otvorenim podacima i ponovnoj uporabi informacija javnog sektora (dalje: OD Direktiva). </w:t>
      </w:r>
    </w:p>
    <w:p w14:paraId="2D4BC575" w14:textId="35B134EB" w:rsidR="0012509E" w:rsidRPr="0012509E" w:rsidRDefault="0012509E" w:rsidP="0012509E">
      <w:pPr>
        <w:rPr>
          <w:rFonts w:cs="Arial"/>
        </w:rPr>
      </w:pPr>
      <w:r w:rsidRPr="0012509E">
        <w:rPr>
          <w:rFonts w:cs="Arial"/>
        </w:rPr>
        <w:lastRenderedPageBreak/>
        <w:t xml:space="preserve">Uz to, dostupnost informacija o raspolaganju javnim sredstvima bez provođenja testa razmjernosti i javnog interesa ograničena je na informacije koje se odnose na osobno ime ili naziv, iznos i namjenu sredstava, regulirana je obveznost izvršenja rješenja Povjerenika za informiranje i uređeno je pitanje privremenog zamjenjivanja </w:t>
      </w:r>
      <w:r w:rsidR="005E7D71">
        <w:rPr>
          <w:rFonts w:cs="Arial"/>
        </w:rPr>
        <w:t>P</w:t>
      </w:r>
      <w:r w:rsidRPr="0012509E">
        <w:rPr>
          <w:rFonts w:cs="Arial"/>
        </w:rPr>
        <w:t>ovjerenika.</w:t>
      </w:r>
    </w:p>
    <w:p w14:paraId="4EE2F0F2" w14:textId="77777777" w:rsidR="0012509E" w:rsidRPr="0012509E" w:rsidRDefault="0012509E" w:rsidP="0012509E">
      <w:pPr>
        <w:rPr>
          <w:rFonts w:cs="Arial"/>
        </w:rPr>
      </w:pPr>
      <w:r w:rsidRPr="0012509E">
        <w:rPr>
          <w:rFonts w:cs="Arial"/>
        </w:rPr>
        <w:t>U primjeni Zakona o pravu na pristup informacijama (dalje: Zakon, ZPPI) relevantne su i odredbe niza drugih propisa, od materijalnih propisa koji uređuju posebne vrste informacija (kao što su osobni podaci, poslovna tajna, klasificirane informacije, arhivsko gradivo, zaštita okoliša, službena statistika, intelektualno vlasništvo itd.) do Zakona o općem upravnom postupku („Narodne novine“, broj 47/09 i 110/21), kao općeg postupovnog zakona koji se primjenjuje na sva upravna postupanja, osim onih koja su drukčije propisana posebnim propisom.</w:t>
      </w:r>
    </w:p>
    <w:p w14:paraId="73424CC7" w14:textId="39B4D526" w:rsidR="0012509E" w:rsidRPr="0012509E" w:rsidRDefault="0012509E" w:rsidP="0012509E">
      <w:pPr>
        <w:rPr>
          <w:rFonts w:cs="Arial"/>
        </w:rPr>
      </w:pPr>
      <w:r w:rsidRPr="0012509E">
        <w:rPr>
          <w:rFonts w:cs="Arial"/>
        </w:rPr>
        <w:t>Važeći podzakonski akti doneseni temeljem ZPPI-ja uključuju Uredbu o troškovima ponovne uporabe informacija („Narodne novine“, broj 87/18), Kriterije za određivanje visine naknade stvarnih materijalnih troškova i troškova dostave informacije („Narodne novine“, broj 12/14, 15/14 , 141/22 i 96/24 – presuda Visokog upravnog suda Republike Hrvatske), Pravilnik o ustroju, sadržaju i načinu vođenja službenog upisnika o ostvarivanju prava na pristup informacijama i ponovnu uporabu informacija („Narodne novine“, broj 83/14), Pravilnik o Središnjem katalogu službenih dokumenata Republike Hrvatske („Narodne novine“, broj 123/22), Pravilnik o sadržaju i načinu vođenja evidencije isključivih prava na ponovnu uporabu informacija („Narodne novine“, broj 20/16) te Pravilnik o vrstama i sadržaju dozvola kojima se utvrđuju uvjeti ponovne uporabe informacija („Narodne novine“, broj 67/17).</w:t>
      </w:r>
    </w:p>
    <w:p w14:paraId="1F1BDB6A" w14:textId="5B3304AC" w:rsidR="00D075F3" w:rsidRPr="009E4D2F" w:rsidRDefault="0012509E" w:rsidP="00F034E5">
      <w:pPr>
        <w:rPr>
          <w:rFonts w:cs="Arial"/>
        </w:rPr>
      </w:pPr>
      <w:r w:rsidRPr="0012509E">
        <w:rPr>
          <w:rFonts w:cs="Arial"/>
        </w:rPr>
        <w:t>U ovom Izvješću daje se prikaz stanja u ostvarivanju prava na pristup informacijama u 202</w:t>
      </w:r>
      <w:r>
        <w:rPr>
          <w:rFonts w:cs="Arial"/>
        </w:rPr>
        <w:t>5</w:t>
      </w:r>
      <w:r w:rsidRPr="0012509E">
        <w:rPr>
          <w:rFonts w:cs="Arial"/>
        </w:rPr>
        <w:t>. godini, temeljem podataka dostavljenih od tijela javne vlasti te podataka Ureda povjerenika</w:t>
      </w:r>
      <w:r w:rsidR="00D075F3" w:rsidRPr="009E4D2F">
        <w:rPr>
          <w:rFonts w:cs="Arial"/>
        </w:rPr>
        <w:t>.</w:t>
      </w:r>
    </w:p>
    <w:p w14:paraId="4C9D7E69" w14:textId="77777777" w:rsidR="004B08D3" w:rsidRPr="00F0315E" w:rsidRDefault="004B08D3" w:rsidP="00811052">
      <w:pPr>
        <w:pStyle w:val="Naslov2"/>
        <w:ind w:left="1276" w:hanging="567"/>
      </w:pPr>
      <w:bookmarkStart w:id="6" w:name="_Toc36308912"/>
      <w:bookmarkStart w:id="7" w:name="_Toc65833409"/>
      <w:bookmarkStart w:id="8" w:name="_Toc162445714"/>
      <w:bookmarkStart w:id="9" w:name="_Toc225865551"/>
      <w:r>
        <w:t>Primjena i provedba Zakona o pravu na pristup informacijama</w:t>
      </w:r>
      <w:bookmarkEnd w:id="6"/>
      <w:bookmarkEnd w:id="7"/>
      <w:bookmarkEnd w:id="8"/>
      <w:bookmarkEnd w:id="9"/>
    </w:p>
    <w:p w14:paraId="51075F81" w14:textId="77777777" w:rsidR="004B08D3" w:rsidRPr="00F0315E" w:rsidRDefault="004B08D3" w:rsidP="00E6376E">
      <w:pPr>
        <w:spacing w:after="0"/>
        <w:rPr>
          <w:rFonts w:cs="Arial"/>
        </w:rPr>
      </w:pPr>
      <w:r w:rsidRPr="00F0315E">
        <w:rPr>
          <w:rFonts w:cs="Arial"/>
        </w:rPr>
        <w:t xml:space="preserve">Obveznici primjene ZPPI-ja su tijela javne vlasti (dalje: tijela javne vlasti, tijela, TJV), i to: </w:t>
      </w:r>
    </w:p>
    <w:p w14:paraId="22E7BE24" w14:textId="77777777" w:rsidR="004B08D3" w:rsidRPr="00F0315E" w:rsidRDefault="004B08D3" w:rsidP="005F0EC0">
      <w:pPr>
        <w:numPr>
          <w:ilvl w:val="0"/>
          <w:numId w:val="2"/>
        </w:numPr>
        <w:spacing w:after="0"/>
        <w:ind w:left="993" w:hanging="357"/>
        <w:contextualSpacing/>
        <w:rPr>
          <w:rFonts w:cs="Arial"/>
        </w:rPr>
      </w:pPr>
      <w:r w:rsidRPr="00F0315E">
        <w:rPr>
          <w:rFonts w:cs="Arial"/>
        </w:rPr>
        <w:t>tijela državne uprave</w:t>
      </w:r>
    </w:p>
    <w:p w14:paraId="2F764299" w14:textId="77777777" w:rsidR="004B08D3" w:rsidRPr="00F0315E" w:rsidRDefault="004B08D3" w:rsidP="005F0EC0">
      <w:pPr>
        <w:numPr>
          <w:ilvl w:val="0"/>
          <w:numId w:val="2"/>
        </w:numPr>
        <w:spacing w:after="0"/>
        <w:ind w:left="993" w:hanging="357"/>
        <w:contextualSpacing/>
        <w:rPr>
          <w:rFonts w:cs="Arial"/>
        </w:rPr>
      </w:pPr>
      <w:r w:rsidRPr="00F0315E">
        <w:rPr>
          <w:rFonts w:cs="Arial"/>
        </w:rPr>
        <w:t>druga državna tijela</w:t>
      </w:r>
    </w:p>
    <w:p w14:paraId="66E5A10D" w14:textId="77777777" w:rsidR="004B08D3" w:rsidRPr="00F0315E" w:rsidRDefault="004B08D3" w:rsidP="005F0EC0">
      <w:pPr>
        <w:numPr>
          <w:ilvl w:val="0"/>
          <w:numId w:val="2"/>
        </w:numPr>
        <w:spacing w:after="0"/>
        <w:ind w:left="993" w:hanging="357"/>
        <w:contextualSpacing/>
        <w:rPr>
          <w:rFonts w:cs="Arial"/>
        </w:rPr>
      </w:pPr>
      <w:r w:rsidRPr="00F0315E">
        <w:rPr>
          <w:rFonts w:cs="Arial"/>
        </w:rPr>
        <w:t>jedinice lokalne i područne (regionalne) samouprave (dalje: JLP(R)S)</w:t>
      </w:r>
    </w:p>
    <w:p w14:paraId="126055C7" w14:textId="77777777" w:rsidR="004B08D3" w:rsidRPr="00F0315E" w:rsidRDefault="004B08D3" w:rsidP="005F0EC0">
      <w:pPr>
        <w:numPr>
          <w:ilvl w:val="0"/>
          <w:numId w:val="2"/>
        </w:numPr>
        <w:spacing w:after="0"/>
        <w:ind w:left="993" w:hanging="357"/>
        <w:contextualSpacing/>
        <w:rPr>
          <w:rFonts w:cs="Arial"/>
        </w:rPr>
      </w:pPr>
      <w:r w:rsidRPr="00F0315E">
        <w:rPr>
          <w:rFonts w:cs="Arial"/>
        </w:rPr>
        <w:t>pravne osobe i druga tijela koja imaju javne ovlasti</w:t>
      </w:r>
    </w:p>
    <w:p w14:paraId="14C775E8" w14:textId="77777777" w:rsidR="004B08D3" w:rsidRPr="00F0315E" w:rsidRDefault="004B08D3" w:rsidP="005F0EC0">
      <w:pPr>
        <w:numPr>
          <w:ilvl w:val="0"/>
          <w:numId w:val="2"/>
        </w:numPr>
        <w:spacing w:after="0"/>
        <w:ind w:left="993" w:hanging="357"/>
        <w:contextualSpacing/>
        <w:rPr>
          <w:rFonts w:cs="Arial"/>
        </w:rPr>
      </w:pPr>
      <w:r w:rsidRPr="00F0315E">
        <w:rPr>
          <w:rFonts w:cs="Arial"/>
        </w:rPr>
        <w:t>pravne osobe čiji je osnivač Republika Hrvatska ili JLP(R)S</w:t>
      </w:r>
    </w:p>
    <w:p w14:paraId="43030B1D" w14:textId="77777777" w:rsidR="004B08D3" w:rsidRPr="00F0315E" w:rsidRDefault="004B08D3" w:rsidP="005F0EC0">
      <w:pPr>
        <w:numPr>
          <w:ilvl w:val="0"/>
          <w:numId w:val="2"/>
        </w:numPr>
        <w:spacing w:after="0"/>
        <w:ind w:left="993" w:hanging="357"/>
        <w:contextualSpacing/>
        <w:rPr>
          <w:rFonts w:cs="Arial"/>
        </w:rPr>
      </w:pPr>
      <w:r w:rsidRPr="00F0315E">
        <w:rPr>
          <w:rFonts w:cs="Arial"/>
        </w:rPr>
        <w:t xml:space="preserve">pravne osobe koje obavljaju javnu službu </w:t>
      </w:r>
    </w:p>
    <w:p w14:paraId="66CE3C76" w14:textId="77777777" w:rsidR="004B08D3" w:rsidRPr="00F0315E" w:rsidRDefault="004B08D3" w:rsidP="005F0EC0">
      <w:pPr>
        <w:numPr>
          <w:ilvl w:val="0"/>
          <w:numId w:val="2"/>
        </w:numPr>
        <w:spacing w:after="0"/>
        <w:ind w:left="993" w:hanging="357"/>
        <w:contextualSpacing/>
        <w:rPr>
          <w:rFonts w:cs="Arial"/>
        </w:rPr>
      </w:pPr>
      <w:r w:rsidRPr="00F0315E">
        <w:rPr>
          <w:rFonts w:cs="Arial"/>
        </w:rPr>
        <w:t>pravne osobe koje se temeljem propisa financiraju pretežito ili u cijelosti iz državnog ili iz proračuna JLP(R)S, odnosno iz javnih sredstava</w:t>
      </w:r>
    </w:p>
    <w:p w14:paraId="43E41A3E" w14:textId="5FF293E8" w:rsidR="00551B84" w:rsidRPr="00F0315E" w:rsidRDefault="004B08D3" w:rsidP="005F0EC0">
      <w:pPr>
        <w:numPr>
          <w:ilvl w:val="0"/>
          <w:numId w:val="2"/>
        </w:numPr>
        <w:ind w:left="992" w:hanging="357"/>
        <w:rPr>
          <w:rFonts w:cs="Arial"/>
        </w:rPr>
      </w:pPr>
      <w:r w:rsidRPr="00F0315E">
        <w:rPr>
          <w:rFonts w:cs="Arial"/>
        </w:rPr>
        <w:t>trgovačka društva u kojima Republika Hrvatska i JLP(R)S imaju zasebno ili zajedno većinsko vlasništvo</w:t>
      </w:r>
      <w:r w:rsidR="007D1D1B" w:rsidRPr="00F0315E">
        <w:rPr>
          <w:rFonts w:cs="Arial"/>
        </w:rPr>
        <w:t>.</w:t>
      </w:r>
    </w:p>
    <w:p w14:paraId="3F826911" w14:textId="77777777" w:rsidR="004B08D3" w:rsidRPr="00F0315E" w:rsidRDefault="004B08D3" w:rsidP="00F034E5">
      <w:pPr>
        <w:spacing w:after="0"/>
        <w:rPr>
          <w:rFonts w:cs="Arial"/>
        </w:rPr>
      </w:pPr>
      <w:r w:rsidRPr="00F0315E">
        <w:rPr>
          <w:rFonts w:cs="Arial"/>
        </w:rPr>
        <w:t>Tijela su dužna ispunjavati niz obveza u svrhu ostvarenja transparentnosti i otvorenosti u radu i odlučivanju:</w:t>
      </w:r>
    </w:p>
    <w:p w14:paraId="0905907D" w14:textId="77777777" w:rsidR="004B08D3" w:rsidRPr="00F0315E" w:rsidRDefault="004B08D3" w:rsidP="005F0EC0">
      <w:pPr>
        <w:numPr>
          <w:ilvl w:val="0"/>
          <w:numId w:val="2"/>
        </w:numPr>
        <w:spacing w:after="0"/>
        <w:ind w:left="993" w:hanging="357"/>
        <w:contextualSpacing/>
        <w:rPr>
          <w:rFonts w:cs="Arial"/>
        </w:rPr>
      </w:pPr>
      <w:r w:rsidRPr="00F0315E">
        <w:rPr>
          <w:rFonts w:cs="Arial"/>
        </w:rPr>
        <w:t xml:space="preserve">objavljivati informacije na internetskim stranicama - proaktivna objava </w:t>
      </w:r>
    </w:p>
    <w:p w14:paraId="3584C0AF" w14:textId="77777777" w:rsidR="004B08D3" w:rsidRPr="00F0315E" w:rsidRDefault="004B08D3" w:rsidP="005F0EC0">
      <w:pPr>
        <w:numPr>
          <w:ilvl w:val="0"/>
          <w:numId w:val="2"/>
        </w:numPr>
        <w:spacing w:after="0"/>
        <w:ind w:left="993" w:hanging="357"/>
        <w:contextualSpacing/>
        <w:rPr>
          <w:rFonts w:cs="Arial"/>
        </w:rPr>
      </w:pPr>
      <w:r w:rsidRPr="00F0315E">
        <w:rPr>
          <w:rFonts w:cs="Arial"/>
        </w:rPr>
        <w:t xml:space="preserve">dostavljati određene dokumente u Središnji katalog službenih dokumenata </w:t>
      </w:r>
    </w:p>
    <w:p w14:paraId="40E0D908" w14:textId="77777777" w:rsidR="004B08D3" w:rsidRPr="00F0315E" w:rsidRDefault="004B08D3" w:rsidP="005F0EC0">
      <w:pPr>
        <w:numPr>
          <w:ilvl w:val="0"/>
          <w:numId w:val="2"/>
        </w:numPr>
        <w:spacing w:after="0"/>
        <w:ind w:left="993" w:hanging="357"/>
        <w:contextualSpacing/>
        <w:rPr>
          <w:rFonts w:cs="Arial"/>
        </w:rPr>
      </w:pPr>
      <w:r w:rsidRPr="00F0315E">
        <w:rPr>
          <w:rFonts w:cs="Arial"/>
        </w:rPr>
        <w:t xml:space="preserve">provoditi savjetovanja s javnošću </w:t>
      </w:r>
    </w:p>
    <w:p w14:paraId="0CF2F17C" w14:textId="77777777" w:rsidR="004B08D3" w:rsidRPr="00F0315E" w:rsidRDefault="004B08D3" w:rsidP="005F0EC0">
      <w:pPr>
        <w:numPr>
          <w:ilvl w:val="0"/>
          <w:numId w:val="2"/>
        </w:numPr>
        <w:spacing w:after="0"/>
        <w:ind w:left="993" w:hanging="357"/>
        <w:contextualSpacing/>
        <w:rPr>
          <w:rFonts w:cs="Arial"/>
        </w:rPr>
      </w:pPr>
      <w:r w:rsidRPr="00F0315E">
        <w:rPr>
          <w:rFonts w:cs="Arial"/>
        </w:rPr>
        <w:lastRenderedPageBreak/>
        <w:t>osigurati javnost rada na sjednicama</w:t>
      </w:r>
    </w:p>
    <w:p w14:paraId="5F26D2E6" w14:textId="415C1727" w:rsidR="004B08D3" w:rsidRPr="00F0315E" w:rsidRDefault="004B08D3" w:rsidP="005F0EC0">
      <w:pPr>
        <w:numPr>
          <w:ilvl w:val="0"/>
          <w:numId w:val="2"/>
        </w:numPr>
        <w:spacing w:after="0"/>
        <w:ind w:left="993" w:hanging="357"/>
        <w:contextualSpacing/>
        <w:rPr>
          <w:rFonts w:cs="Arial"/>
        </w:rPr>
      </w:pPr>
      <w:r w:rsidRPr="00F0315E">
        <w:rPr>
          <w:rFonts w:cs="Arial"/>
        </w:rPr>
        <w:t xml:space="preserve">odrediti službenika za informiranje i upoznati javnost sa službenim podacima službenika te dostaviti Povjereniku odluku </w:t>
      </w:r>
      <w:r w:rsidR="00FA77C8" w:rsidRPr="00F0315E">
        <w:rPr>
          <w:rFonts w:cs="Arial"/>
        </w:rPr>
        <w:t xml:space="preserve">o određivanju službenika za informiranje </w:t>
      </w:r>
      <w:r w:rsidRPr="00F0315E">
        <w:rPr>
          <w:rFonts w:cs="Arial"/>
        </w:rPr>
        <w:t>u roku od mjesec dana od dana donošenja odluke</w:t>
      </w:r>
    </w:p>
    <w:p w14:paraId="6F75ABE0" w14:textId="77777777" w:rsidR="004B08D3" w:rsidRPr="00F0315E" w:rsidRDefault="004B08D3" w:rsidP="005F0EC0">
      <w:pPr>
        <w:numPr>
          <w:ilvl w:val="0"/>
          <w:numId w:val="2"/>
        </w:numPr>
        <w:spacing w:after="0"/>
        <w:ind w:left="993" w:hanging="357"/>
        <w:contextualSpacing/>
        <w:rPr>
          <w:rFonts w:cs="Arial"/>
        </w:rPr>
      </w:pPr>
      <w:r w:rsidRPr="00F0315E">
        <w:rPr>
          <w:rFonts w:cs="Arial"/>
        </w:rPr>
        <w:t>voditi službeni upisnik o zaprimljenim zahtjevima</w:t>
      </w:r>
    </w:p>
    <w:p w14:paraId="104FA6EA" w14:textId="77777777" w:rsidR="004B08D3" w:rsidRPr="00F0315E" w:rsidRDefault="004B08D3" w:rsidP="005F0EC0">
      <w:pPr>
        <w:numPr>
          <w:ilvl w:val="0"/>
          <w:numId w:val="2"/>
        </w:numPr>
        <w:spacing w:after="0"/>
        <w:ind w:left="993" w:hanging="357"/>
        <w:contextualSpacing/>
        <w:rPr>
          <w:rFonts w:cs="Arial"/>
        </w:rPr>
      </w:pPr>
      <w:r w:rsidRPr="00F0315E">
        <w:rPr>
          <w:rFonts w:cs="Arial"/>
        </w:rPr>
        <w:t>rješavati zahtjeve za pristup i ponovnu uporabu informacija</w:t>
      </w:r>
    </w:p>
    <w:p w14:paraId="0AB9D8ED" w14:textId="20E23EE8" w:rsidR="004B08D3" w:rsidRPr="00F0315E" w:rsidRDefault="004B08D3" w:rsidP="005F0EC0">
      <w:pPr>
        <w:numPr>
          <w:ilvl w:val="0"/>
          <w:numId w:val="2"/>
        </w:numPr>
        <w:spacing w:after="0"/>
        <w:ind w:left="993" w:hanging="357"/>
        <w:contextualSpacing/>
        <w:rPr>
          <w:rFonts w:cs="Arial"/>
        </w:rPr>
      </w:pPr>
      <w:r w:rsidRPr="00F0315E">
        <w:rPr>
          <w:rFonts w:cs="Arial"/>
        </w:rPr>
        <w:t>dostavljati izvješća o provedbi Zakona Povjereniku.</w:t>
      </w:r>
    </w:p>
    <w:p w14:paraId="16C3B81E" w14:textId="77777777" w:rsidR="004B08D3" w:rsidRPr="00F0315E" w:rsidRDefault="004B08D3" w:rsidP="00811052">
      <w:pPr>
        <w:pStyle w:val="Naslov2"/>
        <w:ind w:left="1276" w:hanging="567"/>
      </w:pPr>
      <w:bookmarkStart w:id="10" w:name="_Toc225865552"/>
      <w:r>
        <w:t>Popis tijela javne vlasti</w:t>
      </w:r>
      <w:bookmarkEnd w:id="10"/>
    </w:p>
    <w:p w14:paraId="3CF6778D" w14:textId="77777777" w:rsidR="00416B10" w:rsidRPr="00416B10" w:rsidRDefault="00416B10" w:rsidP="00416B10">
      <w:pPr>
        <w:rPr>
          <w:rFonts w:cs="Arial"/>
        </w:rPr>
      </w:pPr>
      <w:r w:rsidRPr="00416B10">
        <w:rPr>
          <w:rFonts w:cs="Arial"/>
        </w:rPr>
        <w:t>U svrhu osiguranja primjene ZPPI-ja i lakšeg ostvarivanja prava korisnika, Povjerenik vodi instruktivni Popis tijela javne vlasti (dalje: Popis), koji je pomoćna evidencija Povjerenika, a sadrži i podatke o službenicima za informiranje. Popis je dostupan u obliku pretražive aplikacije (tjv.pristupinfo.hr) povezane s online aplikacijom za dostavu godišnjih izvješća i iz koje se podaci mogu preuzeti u cijelosti ili djelomično, u otvorenom CSV formatu.</w:t>
      </w:r>
    </w:p>
    <w:p w14:paraId="565538D5" w14:textId="1FFF70E6" w:rsidR="00416B10" w:rsidRPr="00416B10" w:rsidRDefault="00416B10" w:rsidP="00416B10">
      <w:pPr>
        <w:rPr>
          <w:rFonts w:cs="Arial"/>
        </w:rPr>
      </w:pPr>
      <w:r w:rsidRPr="00416B10">
        <w:rPr>
          <w:rFonts w:cs="Arial"/>
          <w:b/>
          <w:bCs/>
        </w:rPr>
        <w:t>Popis je instruktivnog karaktera</w:t>
      </w:r>
      <w:r w:rsidRPr="00416B10">
        <w:rPr>
          <w:rFonts w:cs="Arial"/>
        </w:rPr>
        <w:t xml:space="preserve">, što znači da i druga tijela koja nisu navedena na Popisu </w:t>
      </w:r>
      <w:r w:rsidR="00AB2DF7">
        <w:rPr>
          <w:rFonts w:cs="Arial"/>
        </w:rPr>
        <w:t xml:space="preserve">mogu biti obveznici </w:t>
      </w:r>
      <w:r w:rsidR="0048241D">
        <w:rPr>
          <w:rFonts w:cs="Arial"/>
        </w:rPr>
        <w:t>primjene</w:t>
      </w:r>
      <w:r w:rsidRPr="00416B10">
        <w:rPr>
          <w:rFonts w:cs="Arial"/>
        </w:rPr>
        <w:t xml:space="preserve"> Zakona. Popis tijela javne </w:t>
      </w:r>
      <w:r w:rsidRPr="00416B10">
        <w:rPr>
          <w:rFonts w:cs="Arial"/>
          <w:b/>
          <w:bCs/>
        </w:rPr>
        <w:t>vlasti nije zatvoren, niti konačan, već se kontinuirano ažurira, sukladno uočenim i utvrđenim izmjenama i promjenama vezanima za pravni status, osnivača/vlasnika i dr</w:t>
      </w:r>
      <w:r w:rsidRPr="00416B10">
        <w:rPr>
          <w:rFonts w:cs="Arial"/>
        </w:rPr>
        <w:t xml:space="preserve">. </w:t>
      </w:r>
    </w:p>
    <w:p w14:paraId="1E7230B4" w14:textId="77777777" w:rsidR="00416B10" w:rsidRPr="00416B10" w:rsidRDefault="00416B10" w:rsidP="00416B10">
      <w:pPr>
        <w:rPr>
          <w:rFonts w:cs="Arial"/>
        </w:rPr>
      </w:pPr>
      <w:r w:rsidRPr="00416B10">
        <w:rPr>
          <w:rFonts w:cs="Arial"/>
          <w:b/>
          <w:bCs/>
        </w:rPr>
        <w:t>Tijelo javne vlasti stječe status obveznika primjene Zakona udovoljavanjem jednom ili više kriterija iz članka 5. stavka 1. točke 2. Zakona, a ne upisom u Popis tijela javne vlasti</w:t>
      </w:r>
      <w:r w:rsidRPr="00416B10">
        <w:rPr>
          <w:rFonts w:cs="Arial"/>
        </w:rPr>
        <w:t>, što je i stajalište Visokog upravnog suda Republike Hrvatske (dalje u tekstu: Visoki upravni sud) izneseno u presudi poslovni broj: UsII-45/2023-7 od 17. prosinca 2024. godine, u točki 19.: „</w:t>
      </w:r>
      <w:r w:rsidRPr="00416B10">
        <w:rPr>
          <w:rFonts w:cs="Arial"/>
          <w:i/>
          <w:iCs/>
        </w:rPr>
        <w:t xml:space="preserve">19. lmajući u vidu sve naprijed navedeno, a posebno presudu Suda Europske unije broj: C- 336i23 od 21. studenoga 2024. pozivanje tužitelja na neke druge odluke ovog suda nije odlučno. Napominje se da osnovano tuženik u odgovoru na tužbu ističe da brisanje s Popisa tijela javne vlasti ne znači da tijelo javne vlasti automatski prestaje biti tijelo javne vlasti ako i dalje ispunjava kriterije iz naprijed citirane odredbe članka 5. stavka 1. točka 2. ZPPl-ja. </w:t>
      </w:r>
      <w:r w:rsidRPr="00416B10">
        <w:rPr>
          <w:rFonts w:cs="Arial"/>
          <w:b/>
          <w:bCs/>
          <w:i/>
          <w:iCs/>
        </w:rPr>
        <w:t>Popis je instruktivne naravi pa činjenica nalazi li se određeno tijelo na tom Popisu nije odlučna za prosuđivanje je li ono dužno postupati po odredbama ZPPI-ja ili ne.</w:t>
      </w:r>
      <w:r w:rsidRPr="00416B10">
        <w:rPr>
          <w:rFonts w:cs="Arial"/>
          <w:i/>
          <w:iCs/>
        </w:rPr>
        <w:t xml:space="preserve"> Stoga Sud zaključuje da osporenom obaviješću, uz obrazloženje kakvo je njome dano, nije povrijeđen zakon na štetu tužitelja.</w:t>
      </w:r>
      <w:r w:rsidRPr="00416B10">
        <w:rPr>
          <w:rFonts w:cs="Arial"/>
        </w:rPr>
        <w:t>“.</w:t>
      </w:r>
    </w:p>
    <w:p w14:paraId="59DB5312" w14:textId="77777777" w:rsidR="00416B10" w:rsidRDefault="00416B10" w:rsidP="00416B10">
      <w:pPr>
        <w:rPr>
          <w:rFonts w:cs="Arial"/>
        </w:rPr>
      </w:pPr>
      <w:r w:rsidRPr="00416B10">
        <w:rPr>
          <w:rFonts w:cs="Arial"/>
        </w:rPr>
        <w:t>Kod pojedinih tijela javne vlasti koja se nalaze na Popisu kontinuirano su prisutni problemi u primjeni Zakona na razini tijela manjih kapaciteta, poglavito u slučajevima kada im je osnivač privatna pravna ili fizička osoba, ali predstavljaju tijela javne vlasti zbog dodijeljenih javnih ovlasti ili obavljanja javne službe. Primjerice, na Popisu se nalazi otprilike 130 veterinarskih stanica i ambulanti koje, iako su trgovačka društva u privatnom vlasništvu, zbog dodijeljenih javnih ovlasti (cijepljenje životinja) predstavljaju tijela javne vlasti, a nemaju kapaciteta za ispunjenje svih propisanih obveza niti je uočen javni interes za informacijama u njihovom posjedu.</w:t>
      </w:r>
    </w:p>
    <w:p w14:paraId="693D92A5" w14:textId="29A4ACA1" w:rsidR="004B08D3" w:rsidRPr="00F0315E" w:rsidRDefault="00D075F3" w:rsidP="00416B10">
      <w:pPr>
        <w:rPr>
          <w:rFonts w:cs="Arial"/>
        </w:rPr>
      </w:pPr>
      <w:r w:rsidRPr="009E4D2F">
        <w:rPr>
          <w:rFonts w:cs="Arial"/>
        </w:rPr>
        <w:t>Na Popisu se u trenutku obrade dostavljenih izvješća o provedbi Zakona za 202</w:t>
      </w:r>
      <w:r w:rsidR="00416B10">
        <w:rPr>
          <w:rFonts w:cs="Arial"/>
        </w:rPr>
        <w:t>5</w:t>
      </w:r>
      <w:r w:rsidRPr="009E4D2F">
        <w:rPr>
          <w:rFonts w:cs="Arial"/>
        </w:rPr>
        <w:t xml:space="preserve">. (17. veljače 2026.) nalazilo </w:t>
      </w:r>
      <w:r w:rsidRPr="009E4D2F">
        <w:rPr>
          <w:rFonts w:cs="Arial"/>
          <w:b/>
          <w:bCs/>
        </w:rPr>
        <w:t>5.740 tijela javne vlasti</w:t>
      </w:r>
      <w:r w:rsidRPr="009E4D2F">
        <w:rPr>
          <w:rFonts w:cs="Arial"/>
        </w:rPr>
        <w:t>, koja su obveznici podnošenja izvješća (godinu ranije bilo ih je 5.811).</w:t>
      </w:r>
      <w:r w:rsidR="00601B14" w:rsidRPr="00F0315E">
        <w:rPr>
          <w:rFonts w:cs="Arial"/>
        </w:rPr>
        <w:t xml:space="preserve"> </w:t>
      </w:r>
    </w:p>
    <w:p w14:paraId="117F7F6A" w14:textId="77777777" w:rsidR="004B08D3" w:rsidRPr="00F0315E" w:rsidRDefault="004B08D3" w:rsidP="00811052">
      <w:pPr>
        <w:pStyle w:val="Naslov2"/>
        <w:ind w:left="1276" w:hanging="567"/>
      </w:pPr>
      <w:bookmarkStart w:id="11" w:name="_Toc225865553"/>
      <w:r>
        <w:lastRenderedPageBreak/>
        <w:t>Službenik za informiranje - provedba Zakona u tijelima javne vlasti</w:t>
      </w:r>
      <w:bookmarkEnd w:id="11"/>
    </w:p>
    <w:p w14:paraId="6347CA11" w14:textId="0A00D191" w:rsidR="004B08D3" w:rsidRPr="00F0315E" w:rsidRDefault="004B08D3" w:rsidP="00E6376E">
      <w:pPr>
        <w:rPr>
          <w:rFonts w:cs="Arial"/>
        </w:rPr>
      </w:pPr>
      <w:r w:rsidRPr="00F0315E">
        <w:rPr>
          <w:rFonts w:cs="Arial"/>
        </w:rPr>
        <w:t xml:space="preserve">Službenik za informiranje je osoba u tijelu javne vlasti </w:t>
      </w:r>
      <w:r w:rsidR="00D96250" w:rsidRPr="00F0315E">
        <w:rPr>
          <w:rFonts w:cs="Arial"/>
        </w:rPr>
        <w:t>određena</w:t>
      </w:r>
      <w:r w:rsidRPr="00F0315E">
        <w:rPr>
          <w:rFonts w:cs="Arial"/>
        </w:rPr>
        <w:t xml:space="preserve"> za rješavanje ostvarivanja prava na pristup informacijama. </w:t>
      </w:r>
    </w:p>
    <w:p w14:paraId="3FFB3A89" w14:textId="77777777" w:rsidR="00D075F3" w:rsidRDefault="00D075F3" w:rsidP="00440AFC">
      <w:pPr>
        <w:keepNext/>
        <w:widowControl w:val="0"/>
        <w:spacing w:before="240"/>
        <w:rPr>
          <w:rFonts w:cs="Arial"/>
        </w:rPr>
      </w:pPr>
      <w:r w:rsidRPr="009E4D2F">
        <w:rPr>
          <w:rFonts w:cs="Arial"/>
        </w:rPr>
        <w:t xml:space="preserve">U trenutku obrade izvješća, od ukupnog broja tijela na Popisu njih 208 (3,6%) nije imalo podatke o službeniku za informiranje. Time su nastavljeni </w:t>
      </w:r>
      <w:r w:rsidRPr="009E4D2F">
        <w:rPr>
          <w:rFonts w:cs="Arial"/>
          <w:b/>
          <w:bCs/>
        </w:rPr>
        <w:t>pozitivni pomaci</w:t>
      </w:r>
      <w:r w:rsidRPr="009E4D2F">
        <w:rPr>
          <w:rFonts w:cs="Arial"/>
        </w:rPr>
        <w:t xml:space="preserve"> u izvršavanju ove temeljne zakonske obveze tijela u odnosu na prethodne godine (2024. 233 ili 4%).</w:t>
      </w:r>
    </w:p>
    <w:p w14:paraId="637125CD" w14:textId="7CA423B8" w:rsidR="004B08D3" w:rsidRDefault="00AA0D9D" w:rsidP="00440AFC">
      <w:pPr>
        <w:keepNext/>
        <w:widowControl w:val="0"/>
        <w:spacing w:before="240"/>
        <w:rPr>
          <w:rFonts w:cs="Arial"/>
          <w:sz w:val="18"/>
          <w:szCs w:val="18"/>
        </w:rPr>
      </w:pPr>
      <w:r w:rsidRPr="00F0315E">
        <w:rPr>
          <w:rFonts w:cs="Arial"/>
          <w:sz w:val="18"/>
          <w:szCs w:val="18"/>
        </w:rPr>
        <w:t xml:space="preserve">Slika 1.1. </w:t>
      </w:r>
      <w:r w:rsidR="004F3F40" w:rsidRPr="00F0315E">
        <w:rPr>
          <w:rFonts w:cs="Arial"/>
          <w:sz w:val="18"/>
          <w:szCs w:val="18"/>
        </w:rPr>
        <w:t>Udio tijela javne vlasti bez službenika za informiranje</w:t>
      </w:r>
    </w:p>
    <w:p w14:paraId="1D11ADFE" w14:textId="4A4CA225" w:rsidR="00D075F3" w:rsidRPr="00F0315E" w:rsidRDefault="00D075F3" w:rsidP="00440AFC">
      <w:pPr>
        <w:keepNext/>
        <w:widowControl w:val="0"/>
        <w:spacing w:before="240"/>
        <w:rPr>
          <w:rFonts w:cs="Arial"/>
          <w:sz w:val="18"/>
          <w:szCs w:val="18"/>
        </w:rPr>
      </w:pPr>
      <w:r w:rsidRPr="009E4D2F">
        <w:rPr>
          <w:rFonts w:cs="Arial"/>
          <w:noProof/>
        </w:rPr>
        <w:drawing>
          <wp:inline distT="0" distB="0" distL="0" distR="0" wp14:anchorId="78F53A1B" wp14:editId="2A67722F">
            <wp:extent cx="5760720" cy="2657475"/>
            <wp:effectExtent l="0" t="0" r="11430" b="9525"/>
            <wp:docPr id="298810970" name="Grafikon 1">
              <a:extLst xmlns:a="http://schemas.openxmlformats.org/drawingml/2006/main">
                <a:ext uri="{FF2B5EF4-FFF2-40B4-BE49-F238E27FC236}">
                  <a16:creationId xmlns:a16="http://schemas.microsoft.com/office/drawing/2014/main" id="{8B7434B1-F2F9-BE80-6F9F-B6B35AA8E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87FC13" w14:textId="38EF6BCA" w:rsidR="004B08D3" w:rsidRPr="00F0315E" w:rsidRDefault="0006106D" w:rsidP="00E6376E">
      <w:pPr>
        <w:rPr>
          <w:rFonts w:cs="Arial"/>
        </w:rPr>
      </w:pPr>
      <w:r w:rsidRPr="0006106D">
        <w:rPr>
          <w:rFonts w:cs="Arial"/>
        </w:rPr>
        <w:t xml:space="preserve">Iako je došlo do smanjenja broja tijela bez imenovanog službenika po pojedinim kategorijama tijela javne vlasti, još uvijek najveći broj otpada na vatrogasne </w:t>
      </w:r>
      <w:r w:rsidRPr="00560A7B">
        <w:rPr>
          <w:rFonts w:cs="Arial"/>
        </w:rPr>
        <w:t>zajednice</w:t>
      </w:r>
      <w:r w:rsidR="00560A7B" w:rsidRPr="00560A7B">
        <w:rPr>
          <w:rFonts w:cs="Arial"/>
        </w:rPr>
        <w:t xml:space="preserve"> i postrojbe</w:t>
      </w:r>
      <w:r w:rsidRPr="0006106D">
        <w:rPr>
          <w:rFonts w:cs="Arial"/>
        </w:rPr>
        <w:t xml:space="preserve"> (110), veterinarske ambulante (18), trgovačka društva u vlasništvu JLP(R)S - pretežito komunalna društva (15), dječje vrtiće (11), knjižnice (9), turističke zajednice (8), nacionalne sportske saveze (5), domove za starije i nemoćne (4) te manji broj škola, centara za kulturu, muzeja i drugih ustanova (3-7 po kategoriji)</w:t>
      </w:r>
      <w:r w:rsidR="004B08D3" w:rsidRPr="00F0315E">
        <w:rPr>
          <w:rFonts w:cs="Arial"/>
        </w:rPr>
        <w:t>.</w:t>
      </w:r>
    </w:p>
    <w:p w14:paraId="54DE208B" w14:textId="77777777" w:rsidR="004B08D3" w:rsidRPr="00F0315E" w:rsidRDefault="004B08D3" w:rsidP="00811052">
      <w:pPr>
        <w:pStyle w:val="Naslov2"/>
        <w:ind w:left="1276" w:hanging="567"/>
      </w:pPr>
      <w:bookmarkStart w:id="12" w:name="_Toc225865554"/>
      <w:r>
        <w:t>Povjerenik za informiranje – neovisni nadzor nad provedbom Zakona</w:t>
      </w:r>
      <w:bookmarkEnd w:id="12"/>
    </w:p>
    <w:p w14:paraId="049A67DE" w14:textId="60C4BA87" w:rsidR="008D10E1" w:rsidRPr="009E4D2F" w:rsidRDefault="00523E29" w:rsidP="008D10E1">
      <w:pPr>
        <w:spacing w:before="120"/>
        <w:rPr>
          <w:rFonts w:cs="Arial"/>
        </w:rPr>
      </w:pPr>
      <w:r w:rsidRPr="00523E29">
        <w:rPr>
          <w:rFonts w:cs="Arial"/>
        </w:rPr>
        <w:t>Povjerenik je neovisno državno tijelo koje štiti, prati i promiče pravo na pristup i ponovnu uporabu informacija. Povjerenika, temeljem javnog poziva, bira Hrvatski sabor na vrijeme od pet godina, uz mogućnost ponovnog izbora</w:t>
      </w:r>
      <w:r w:rsidR="008D10E1" w:rsidRPr="009E4D2F">
        <w:rPr>
          <w:rFonts w:cs="Arial"/>
        </w:rPr>
        <w:t>.</w:t>
      </w:r>
    </w:p>
    <w:p w14:paraId="551A2AC0" w14:textId="5BF30655" w:rsidR="00AB2DF7" w:rsidRDefault="006A7E06" w:rsidP="008D10E1">
      <w:pPr>
        <w:spacing w:before="120"/>
        <w:rPr>
          <w:rFonts w:cs="Arial"/>
        </w:rPr>
      </w:pPr>
      <w:r w:rsidRPr="006A7E06">
        <w:rPr>
          <w:rFonts w:cs="Arial"/>
        </w:rPr>
        <w:t xml:space="preserve">Osnovni zadaci Povjerenika odnose se na praćenje proaktivne objave informacija na internetskim stranicama tijela javne vlasti, provedbu drugostupanjskog postupka u postupcima ostvarivanja prava na pristup informacijama i ponovne uporabe informacija, inspekcijski nadzor i nadzor nad provedbom zakona, promicanje prava na pristup informacijama, predlaganje mjera i programa za usavršavanje u području prava na pristup </w:t>
      </w:r>
      <w:r w:rsidRPr="006A7E06">
        <w:rPr>
          <w:rFonts w:cs="Arial"/>
        </w:rPr>
        <w:lastRenderedPageBreak/>
        <w:t>informacijama</w:t>
      </w:r>
      <w:r w:rsidR="008D10E1" w:rsidRPr="009E4D2F">
        <w:rPr>
          <w:rFonts w:cs="Arial"/>
        </w:rPr>
        <w:t xml:space="preserve">. </w:t>
      </w:r>
      <w:r w:rsidR="00AB2DF7">
        <w:rPr>
          <w:rFonts w:cs="Arial"/>
        </w:rPr>
        <w:t xml:space="preserve">Ujedno, </w:t>
      </w:r>
      <w:r w:rsidR="0051343A">
        <w:rPr>
          <w:rFonts w:cs="Arial"/>
        </w:rPr>
        <w:t>zadaća</w:t>
      </w:r>
      <w:r w:rsidR="00C64E1A">
        <w:rPr>
          <w:rFonts w:cs="Arial"/>
        </w:rPr>
        <w:t xml:space="preserve"> Povjerenika </w:t>
      </w:r>
      <w:r w:rsidR="0051343A">
        <w:rPr>
          <w:rFonts w:cs="Arial"/>
        </w:rPr>
        <w:t>je</w:t>
      </w:r>
      <w:r w:rsidR="00C64E1A">
        <w:rPr>
          <w:rFonts w:cs="Arial"/>
        </w:rPr>
        <w:t xml:space="preserve"> i </w:t>
      </w:r>
      <w:r w:rsidR="00AB2DF7" w:rsidRPr="00AB2DF7">
        <w:rPr>
          <w:rFonts w:cs="Arial"/>
        </w:rPr>
        <w:t>uspostavljanje međunarodne suradnje i suradnje s tijelima Europske unije te domaće stručne suradnje i suradnje s tijelima javne vlasti</w:t>
      </w:r>
      <w:r w:rsidR="00313116">
        <w:rPr>
          <w:rFonts w:cs="Arial"/>
        </w:rPr>
        <w:t>.</w:t>
      </w:r>
    </w:p>
    <w:p w14:paraId="40706498" w14:textId="0025150F" w:rsidR="008D10E1" w:rsidRPr="009E4D2F" w:rsidRDefault="001C06CF" w:rsidP="008D10E1">
      <w:pPr>
        <w:spacing w:before="120"/>
        <w:rPr>
          <w:rFonts w:cs="Arial"/>
        </w:rPr>
      </w:pPr>
      <w:r w:rsidRPr="001C06CF">
        <w:rPr>
          <w:rFonts w:cs="Arial"/>
        </w:rPr>
        <w:t xml:space="preserve">Povjerenik prati primjenu Zakona od strane gotovo 6.000 tijela, </w:t>
      </w:r>
      <w:r w:rsidRPr="00EB63AF">
        <w:rPr>
          <w:rFonts w:cs="Arial"/>
        </w:rPr>
        <w:t>vodi instruktivni</w:t>
      </w:r>
      <w:r w:rsidRPr="001C06CF">
        <w:rPr>
          <w:rFonts w:cs="Arial"/>
        </w:rPr>
        <w:t xml:space="preserve"> Popis tijela javne vlasti</w:t>
      </w:r>
      <w:r w:rsidR="006B26FF">
        <w:rPr>
          <w:rFonts w:cs="Arial"/>
        </w:rPr>
        <w:t xml:space="preserve"> u </w:t>
      </w:r>
      <w:r w:rsidR="00C16ADC">
        <w:rPr>
          <w:rFonts w:cs="Arial"/>
        </w:rPr>
        <w:t>okviru</w:t>
      </w:r>
      <w:r w:rsidR="00EB63AF">
        <w:rPr>
          <w:rFonts w:cs="Arial"/>
        </w:rPr>
        <w:t xml:space="preserve"> kojeg se nalazi evidencija službenika za informiranje</w:t>
      </w:r>
      <w:r w:rsidRPr="001C06CF">
        <w:rPr>
          <w:rFonts w:cs="Arial"/>
        </w:rPr>
        <w:t>, provodi edukacije i radionice za službenike za informiranje i korisnike, prikuplja izvješća o provedbi Zakona, daje mišljenja i odgovara na upite tijela i korisnika</w:t>
      </w:r>
      <w:r w:rsidR="008D10E1" w:rsidRPr="009E4D2F">
        <w:rPr>
          <w:rFonts w:cs="Arial"/>
        </w:rPr>
        <w:t xml:space="preserve">. </w:t>
      </w:r>
    </w:p>
    <w:p w14:paraId="7D6D155E" w14:textId="04C663B2" w:rsidR="000466D9" w:rsidRPr="00384D0F" w:rsidRDefault="008D10E1" w:rsidP="00384D0F">
      <w:pPr>
        <w:spacing w:before="120"/>
        <w:rPr>
          <w:rFonts w:cs="Arial"/>
          <w:sz w:val="23"/>
          <w:szCs w:val="23"/>
        </w:rPr>
      </w:pPr>
      <w:r w:rsidRPr="009E4D2F">
        <w:rPr>
          <w:rFonts w:cs="Arial"/>
        </w:rPr>
        <w:t>Povjerenik je u svom radu samostalan i neovisan te za svoj rad odgovara Hrvatskom saboru.</w:t>
      </w:r>
    </w:p>
    <w:p w14:paraId="0F5B1F7B" w14:textId="0B6F9E74" w:rsidR="004B08D3" w:rsidRPr="00F0315E" w:rsidRDefault="004B08D3" w:rsidP="007B4CE1">
      <w:pPr>
        <w:pStyle w:val="Naslov1"/>
      </w:pPr>
      <w:bookmarkStart w:id="13" w:name="_Toc162445715"/>
      <w:bookmarkStart w:id="14" w:name="_Toc225865555"/>
      <w:r>
        <w:t>Godišnj</w:t>
      </w:r>
      <w:r w:rsidR="00500860">
        <w:t>e</w:t>
      </w:r>
      <w:r>
        <w:t xml:space="preserve"> izvješć</w:t>
      </w:r>
      <w:r w:rsidR="00500860">
        <w:t>e</w:t>
      </w:r>
      <w:r>
        <w:t xml:space="preserve"> o provedbi Zakona</w:t>
      </w:r>
      <w:bookmarkEnd w:id="13"/>
      <w:bookmarkEnd w:id="14"/>
    </w:p>
    <w:p w14:paraId="28EF47CA" w14:textId="77777777" w:rsidR="00BC5D5A" w:rsidRPr="00BC5D5A" w:rsidRDefault="00BC5D5A" w:rsidP="00BC5D5A">
      <w:pPr>
        <w:rPr>
          <w:rFonts w:cs="Arial"/>
        </w:rPr>
      </w:pPr>
      <w:r w:rsidRPr="00BC5D5A">
        <w:rPr>
          <w:rFonts w:cs="Arial"/>
        </w:rPr>
        <w:t xml:space="preserve">Kao i svake godine, za potrebe izrade ovog Izvješća, prikupljeni su podaci o primjeni ZPPI-ja od tijela javne vlasti putem aplikacije </w:t>
      </w:r>
      <w:r w:rsidRPr="00A11394">
        <w:rPr>
          <w:rFonts w:cs="Arial"/>
        </w:rPr>
        <w:t>Pristupinfo</w:t>
      </w:r>
      <w:r w:rsidRPr="00BC5D5A">
        <w:rPr>
          <w:rFonts w:cs="Arial"/>
        </w:rPr>
        <w:t xml:space="preserve">, ali i podaci o provedbi pojedinih odredbi ZPPI-ja prikupljeni od Ustavnog suda Republike Hrvatske (dalje: Ustavni sud), Ureda Vijeća za nacionalnu sigurnost (dalje: UVNS), Ministarstva pravosuđa, uprave i digitalne transformacije (dalje: MPUDT), Ureda za zakonodavstvo Vlade Republike Hrvatske (dalje: Ured za zakonodavstvo) te Nacionalne i sveučilišne knjižnice u Zagrebu (dalje: NSK). </w:t>
      </w:r>
    </w:p>
    <w:p w14:paraId="7EA1D311" w14:textId="77777777" w:rsidR="00BC5D5A" w:rsidRPr="00BC5D5A" w:rsidRDefault="00BC5D5A" w:rsidP="00BC5D5A">
      <w:pPr>
        <w:rPr>
          <w:rFonts w:cs="Arial"/>
        </w:rPr>
      </w:pPr>
      <w:r w:rsidRPr="00BC5D5A">
        <w:rPr>
          <w:rFonts w:cs="Arial"/>
        </w:rPr>
        <w:t xml:space="preserve">Osim navedenih podataka, u izradi izvješća korišteni su i podaci iz vlastitih evidencija i provedenih aktivnosti te su sistematizirani i analizirani podaci o postupanju Povjerenika po žalbama i predstavkama, inspekcijskom nadzoru i prekršajima, davanju mišljenja i odgovora na upite, provedbi edukativnih i promotivnih aktivnosti te provedenim praćenjima stanja u odnosu na pojedine zakonske odredbe i obveze tijela javne vlasti. </w:t>
      </w:r>
    </w:p>
    <w:p w14:paraId="4DB1FB71" w14:textId="5D8623CF" w:rsidR="00D82E56" w:rsidRPr="00560A7B" w:rsidRDefault="00DB46D6" w:rsidP="00BC5D5A">
      <w:pPr>
        <w:rPr>
          <w:rFonts w:cs="Arial"/>
        </w:rPr>
      </w:pPr>
      <w:r w:rsidRPr="00560A7B">
        <w:rPr>
          <w:rFonts w:cs="Arial"/>
        </w:rPr>
        <w:t>Sukladno odredbi članka 60. stavka 5. ZPPI-ja</w:t>
      </w:r>
      <w:r w:rsidR="00C0277F" w:rsidRPr="00560A7B">
        <w:rPr>
          <w:rFonts w:cs="Arial"/>
        </w:rPr>
        <w:t xml:space="preserve"> i članka 19. Poslovnika </w:t>
      </w:r>
      <w:r w:rsidR="00451921" w:rsidRPr="00560A7B">
        <w:rPr>
          <w:rFonts w:cs="Arial"/>
        </w:rPr>
        <w:t>Povjerenika za informiranje („Narodne novine“, broj 41/16)</w:t>
      </w:r>
      <w:r w:rsidRPr="00560A7B">
        <w:rPr>
          <w:rFonts w:cs="Arial"/>
        </w:rPr>
        <w:t xml:space="preserve">, </w:t>
      </w:r>
      <w:r w:rsidR="00B2282F" w:rsidRPr="00560A7B">
        <w:rPr>
          <w:rFonts w:cs="Arial"/>
        </w:rPr>
        <w:t>s</w:t>
      </w:r>
      <w:r w:rsidRPr="00560A7B">
        <w:rPr>
          <w:rFonts w:cs="Arial"/>
        </w:rPr>
        <w:t xml:space="preserve">astavni dio izvješća čine analiza i ocjena </w:t>
      </w:r>
      <w:r w:rsidR="00980145" w:rsidRPr="00560A7B">
        <w:rPr>
          <w:rFonts w:cs="Arial"/>
        </w:rPr>
        <w:t>postupanj</w:t>
      </w:r>
      <w:r w:rsidR="005A37B3" w:rsidRPr="00560A7B">
        <w:rPr>
          <w:rFonts w:cs="Arial"/>
        </w:rPr>
        <w:t>a</w:t>
      </w:r>
      <w:r w:rsidR="00980145" w:rsidRPr="00560A7B">
        <w:rPr>
          <w:rFonts w:cs="Arial"/>
        </w:rPr>
        <w:t xml:space="preserve"> tijela i Povjerenika po zahtjevima korisnika i zaštita prava na pristup informacijama</w:t>
      </w:r>
      <w:r w:rsidR="00391B58" w:rsidRPr="00560A7B">
        <w:rPr>
          <w:rFonts w:cs="Arial"/>
        </w:rPr>
        <w:t xml:space="preserve"> te </w:t>
      </w:r>
      <w:r w:rsidR="00D82E56" w:rsidRPr="00560A7B">
        <w:rPr>
          <w:rFonts w:cs="Arial"/>
        </w:rPr>
        <w:t xml:space="preserve">podaci vezani uz </w:t>
      </w:r>
      <w:r w:rsidR="00980145" w:rsidRPr="00560A7B">
        <w:rPr>
          <w:rFonts w:cs="Arial"/>
        </w:rPr>
        <w:t>praćenj</w:t>
      </w:r>
      <w:r w:rsidR="00B42C8D" w:rsidRPr="00560A7B">
        <w:rPr>
          <w:rFonts w:cs="Arial"/>
        </w:rPr>
        <w:t>e</w:t>
      </w:r>
      <w:r w:rsidR="00980145" w:rsidRPr="00560A7B">
        <w:rPr>
          <w:rFonts w:cs="Arial"/>
        </w:rPr>
        <w:t xml:space="preserve"> i promicanj</w:t>
      </w:r>
      <w:r w:rsidR="00B42C8D" w:rsidRPr="00560A7B">
        <w:rPr>
          <w:rFonts w:cs="Arial"/>
        </w:rPr>
        <w:t>e</w:t>
      </w:r>
      <w:r w:rsidR="00980145" w:rsidRPr="00560A7B">
        <w:rPr>
          <w:rFonts w:cs="Arial"/>
        </w:rPr>
        <w:t xml:space="preserve"> prava na pristup informacijama</w:t>
      </w:r>
      <w:r w:rsidR="00391B58" w:rsidRPr="00560A7B">
        <w:rPr>
          <w:rFonts w:cs="Arial"/>
        </w:rPr>
        <w:t xml:space="preserve">. </w:t>
      </w:r>
    </w:p>
    <w:p w14:paraId="62A34ADF" w14:textId="77777777" w:rsidR="0092458C" w:rsidRPr="00560A7B" w:rsidRDefault="00D82E56" w:rsidP="00BC5D5A">
      <w:pPr>
        <w:rPr>
          <w:rFonts w:cs="Arial"/>
        </w:rPr>
      </w:pPr>
      <w:r w:rsidRPr="00560A7B">
        <w:rPr>
          <w:rFonts w:cs="Arial"/>
        </w:rPr>
        <w:t xml:space="preserve">Izvješće sadrži i </w:t>
      </w:r>
      <w:r w:rsidR="004125E2" w:rsidRPr="00560A7B">
        <w:rPr>
          <w:rFonts w:cs="Arial"/>
        </w:rPr>
        <w:t>analizu postupanja Povjerenika u drugim područjima</w:t>
      </w:r>
      <w:r w:rsidR="00545A3B" w:rsidRPr="00560A7B">
        <w:rPr>
          <w:rFonts w:cs="Arial"/>
        </w:rPr>
        <w:t xml:space="preserve"> </w:t>
      </w:r>
      <w:r w:rsidR="00AD3DED" w:rsidRPr="00560A7B">
        <w:rPr>
          <w:rFonts w:cs="Arial"/>
        </w:rPr>
        <w:t xml:space="preserve">jer je </w:t>
      </w:r>
      <w:r w:rsidR="007B14B4" w:rsidRPr="00560A7B">
        <w:rPr>
          <w:rFonts w:cs="Arial"/>
        </w:rPr>
        <w:t>Povjerenik nadležan i za postupanje u žalbenim postupcima po žalbama sukladno posebnim propisima kojima se uređuje dostupnost informacija o okolišu i javnog arhivskog gradiva, dok propisi u području digitalne pristupačnosti utvrđuju nadležnost Povjerenika za provedbu inspekcijskog nadzora</w:t>
      </w:r>
      <w:r w:rsidR="00AD3DED" w:rsidRPr="00560A7B">
        <w:rPr>
          <w:rFonts w:cs="Arial"/>
        </w:rPr>
        <w:t>.</w:t>
      </w:r>
      <w:r w:rsidR="0092458C" w:rsidRPr="00560A7B">
        <w:rPr>
          <w:rFonts w:cs="Arial"/>
        </w:rPr>
        <w:t xml:space="preserve"> </w:t>
      </w:r>
    </w:p>
    <w:p w14:paraId="691CB761" w14:textId="4EBFDBF2" w:rsidR="008D10E1" w:rsidRDefault="0092458C" w:rsidP="00BC5D5A">
      <w:pPr>
        <w:rPr>
          <w:rFonts w:cs="Arial"/>
        </w:rPr>
      </w:pPr>
      <w:r w:rsidRPr="00560A7B">
        <w:rPr>
          <w:rFonts w:cs="Arial"/>
        </w:rPr>
        <w:t>Izvješće sadrži i prijedloge i preporuke za otklanjanje nedostataka i nepravilnosti, uključujući osvrt na preporuke iz prošlogodišnjeg izvješća i plan aktivnosti Ureda povjerenice za informiranje u 2026. godini.</w:t>
      </w:r>
    </w:p>
    <w:p w14:paraId="7C45809E" w14:textId="77777777" w:rsidR="00414C05" w:rsidRPr="00414C05" w:rsidRDefault="00414C05" w:rsidP="005F0EC0">
      <w:pPr>
        <w:numPr>
          <w:ilvl w:val="0"/>
          <w:numId w:val="11"/>
        </w:numPr>
        <w:spacing w:before="240" w:after="240"/>
        <w:ind w:left="714" w:hanging="357"/>
        <w:rPr>
          <w:rFonts w:cs="Arial"/>
          <w:i/>
          <w:iCs/>
        </w:rPr>
      </w:pPr>
      <w:r w:rsidRPr="00414C05">
        <w:rPr>
          <w:rFonts w:cs="Arial"/>
          <w:i/>
          <w:iCs/>
        </w:rPr>
        <w:t>Godišnja izvješća tijela javne vlasti</w:t>
      </w:r>
    </w:p>
    <w:p w14:paraId="0DB40259" w14:textId="77777777" w:rsidR="008D10E1" w:rsidRPr="009E4D2F" w:rsidRDefault="008D10E1" w:rsidP="00477EFE">
      <w:pPr>
        <w:pBdr>
          <w:top w:val="single" w:sz="4" w:space="1" w:color="auto"/>
          <w:left w:val="single" w:sz="4" w:space="4" w:color="auto"/>
          <w:bottom w:val="single" w:sz="4" w:space="1" w:color="auto"/>
          <w:right w:val="single" w:sz="4" w:space="4" w:color="auto"/>
        </w:pBdr>
        <w:rPr>
          <w:rFonts w:cs="Arial"/>
          <w:bCs/>
        </w:rPr>
      </w:pPr>
      <w:r w:rsidRPr="009E4D2F">
        <w:rPr>
          <w:rFonts w:cs="Arial"/>
        </w:rPr>
        <w:t xml:space="preserve">Izvješće o provedbi Zakona za 2025. </w:t>
      </w:r>
      <w:r w:rsidRPr="00477EFE">
        <w:rPr>
          <w:rFonts w:cs="Arial"/>
          <w:bCs/>
        </w:rPr>
        <w:t>dostavilo je 5.280 ili 92% od ukupno 5.740 tijela</w:t>
      </w:r>
      <w:r w:rsidRPr="009E4D2F">
        <w:rPr>
          <w:rFonts w:cs="Arial"/>
          <w:b/>
        </w:rPr>
        <w:t xml:space="preserve"> </w:t>
      </w:r>
      <w:r w:rsidRPr="009E4D2F">
        <w:rPr>
          <w:rFonts w:cs="Arial"/>
          <w:bCs/>
        </w:rPr>
        <w:t xml:space="preserve">koja su se u trenutku obrade podataka (17. veljače 2026.) nalazila na Popisu. </w:t>
      </w:r>
    </w:p>
    <w:p w14:paraId="4DCAB858" w14:textId="41E7A383" w:rsidR="008D10E1" w:rsidRPr="009E4D2F" w:rsidRDefault="008D10E1" w:rsidP="008D10E1">
      <w:pPr>
        <w:rPr>
          <w:rFonts w:cs="Arial"/>
          <w:bCs/>
        </w:rPr>
      </w:pPr>
      <w:r w:rsidRPr="009E4D2F">
        <w:rPr>
          <w:rFonts w:cs="Arial"/>
          <w:bCs/>
        </w:rPr>
        <w:lastRenderedPageBreak/>
        <w:t>Od njih 460 (8%) koji nisu ispunili zakonsku obvezu dostave izvješća za 202</w:t>
      </w:r>
      <w:r w:rsidR="00414C05">
        <w:rPr>
          <w:rFonts w:cs="Arial"/>
          <w:bCs/>
        </w:rPr>
        <w:t>5</w:t>
      </w:r>
      <w:r w:rsidRPr="009E4D2F">
        <w:rPr>
          <w:rFonts w:cs="Arial"/>
          <w:bCs/>
        </w:rPr>
        <w:t xml:space="preserve">. godinu, njih 30 započelo je s ispunjavanjem izvješća, ali nisu dostavljeni odgovori na sva pitanja do isteka roka i trenutka zatvaranja aplikacije. </w:t>
      </w:r>
    </w:p>
    <w:p w14:paraId="750EE1A8" w14:textId="77777777" w:rsidR="008D10E1" w:rsidRDefault="008D10E1" w:rsidP="008D10E1">
      <w:pPr>
        <w:rPr>
          <w:rFonts w:cs="Arial"/>
          <w:bCs/>
        </w:rPr>
      </w:pPr>
      <w:r w:rsidRPr="009E4D2F">
        <w:rPr>
          <w:rFonts w:cs="Arial"/>
          <w:bCs/>
        </w:rPr>
        <w:t>Kao i svake godine, bilježi se blagi porast udjela tijela (Slika 1.1) u odnosu na ukupan broj tijela s Popisa koja dostavljaju godišnje izvješće (prošle godine je to učinilo 91,7% tijela s Popisa).</w:t>
      </w:r>
    </w:p>
    <w:p w14:paraId="209B4B03" w14:textId="7B849208" w:rsidR="005435D5" w:rsidRDefault="005435D5" w:rsidP="005435D5">
      <w:pPr>
        <w:keepNext/>
        <w:widowControl w:val="0"/>
        <w:spacing w:before="240"/>
        <w:rPr>
          <w:rFonts w:cs="Arial"/>
          <w:sz w:val="18"/>
          <w:szCs w:val="18"/>
        </w:rPr>
      </w:pPr>
      <w:r w:rsidRPr="00F0315E">
        <w:rPr>
          <w:rFonts w:cs="Arial"/>
          <w:sz w:val="18"/>
          <w:szCs w:val="18"/>
        </w:rPr>
        <w:t>Slika 2.1. Udio tijela javne vlasti koja su dostavila izvješća 202</w:t>
      </w:r>
      <w:r w:rsidR="00261863">
        <w:rPr>
          <w:rFonts w:cs="Arial"/>
          <w:sz w:val="18"/>
          <w:szCs w:val="18"/>
        </w:rPr>
        <w:t>1</w:t>
      </w:r>
      <w:r w:rsidRPr="00F0315E">
        <w:rPr>
          <w:rFonts w:cs="Arial"/>
          <w:sz w:val="18"/>
          <w:szCs w:val="18"/>
        </w:rPr>
        <w:t>.-202</w:t>
      </w:r>
      <w:r w:rsidR="00261863">
        <w:rPr>
          <w:rFonts w:cs="Arial"/>
          <w:sz w:val="18"/>
          <w:szCs w:val="18"/>
        </w:rPr>
        <w:t>5</w:t>
      </w:r>
      <w:r w:rsidRPr="00F0315E">
        <w:rPr>
          <w:rFonts w:cs="Arial"/>
          <w:sz w:val="18"/>
          <w:szCs w:val="18"/>
        </w:rPr>
        <w:t>.</w:t>
      </w:r>
    </w:p>
    <w:p w14:paraId="2F5F83EA" w14:textId="2B0685EA" w:rsidR="005435D5" w:rsidRPr="009E4D2F" w:rsidRDefault="005435D5" w:rsidP="008D10E1">
      <w:pPr>
        <w:rPr>
          <w:rFonts w:cs="Arial"/>
        </w:rPr>
      </w:pPr>
      <w:r w:rsidRPr="009E4D2F">
        <w:rPr>
          <w:rFonts w:asciiTheme="minorHAnsi" w:eastAsiaTheme="minorHAnsi" w:hAnsiTheme="minorHAnsi" w:cstheme="minorBidi"/>
          <w:noProof/>
          <w:lang w:eastAsia="en-US"/>
        </w:rPr>
        <w:drawing>
          <wp:inline distT="0" distB="0" distL="0" distR="0" wp14:anchorId="344C3A59" wp14:editId="7AD4E4DD">
            <wp:extent cx="5760720" cy="2876550"/>
            <wp:effectExtent l="0" t="0" r="11430" b="0"/>
            <wp:docPr id="1198073513" name="Grafikon 1">
              <a:extLst xmlns:a="http://schemas.openxmlformats.org/drawingml/2006/main">
                <a:ext uri="{FF2B5EF4-FFF2-40B4-BE49-F238E27FC236}">
                  <a16:creationId xmlns:a16="http://schemas.microsoft.com/office/drawing/2014/main" id="{4F328EA5-BBCE-919D-8F04-8A273D12B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93AE8D" w14:textId="7D179E88" w:rsidR="005435D5" w:rsidRPr="007B3E23" w:rsidRDefault="005435D5" w:rsidP="009128B3">
      <w:pPr>
        <w:spacing w:before="240"/>
        <w:rPr>
          <w:rFonts w:cs="Arial"/>
        </w:rPr>
      </w:pPr>
      <w:r w:rsidRPr="009E4D2F">
        <w:rPr>
          <w:rFonts w:cs="Arial"/>
        </w:rPr>
        <w:t xml:space="preserve">Prikaz tijela javne vlasti </w:t>
      </w:r>
      <w:r w:rsidRPr="007B3E23">
        <w:rPr>
          <w:rFonts w:cs="Arial"/>
        </w:rPr>
        <w:t>prema pravnom statusu (</w:t>
      </w:r>
      <w:r w:rsidRPr="00A11394">
        <w:rPr>
          <w:rFonts w:cs="Arial"/>
        </w:rPr>
        <w:t>Tablica 2.1.),</w:t>
      </w:r>
      <w:r w:rsidRPr="007B3E23">
        <w:rPr>
          <w:rFonts w:cs="Arial"/>
        </w:rPr>
        <w:t xml:space="preserve"> pokazuje kako su sva državna tijela (22), tijela državne uprave (27), jedin</w:t>
      </w:r>
      <w:r w:rsidR="0017544B">
        <w:rPr>
          <w:rFonts w:cs="Arial"/>
        </w:rPr>
        <w:t>i</w:t>
      </w:r>
      <w:r w:rsidRPr="007B3E23">
        <w:rPr>
          <w:rFonts w:cs="Arial"/>
        </w:rPr>
        <w:t>ce lokalne i područne (regionalne) samouprave (576), sudovi i pravosudna tijela (109) te agencije i druge pravne osobe s javnim ovlastima (51) dostavili izvješće o provedbi ZPPI-ja za 2025. godinu.</w:t>
      </w:r>
    </w:p>
    <w:p w14:paraId="695AE684" w14:textId="076F1547" w:rsidR="00A21412" w:rsidRPr="007B3E23" w:rsidRDefault="005435D5" w:rsidP="005435D5">
      <w:pPr>
        <w:rPr>
          <w:rFonts w:cs="Arial"/>
          <w:sz w:val="23"/>
          <w:szCs w:val="23"/>
        </w:rPr>
      </w:pPr>
      <w:r w:rsidRPr="007B3E23">
        <w:rPr>
          <w:rFonts w:cs="Arial"/>
        </w:rPr>
        <w:t>Općina Raša dostavila je izvješće nakon proteka svih rokova</w:t>
      </w:r>
      <w:r w:rsidR="00C64979" w:rsidRPr="007B3E23">
        <w:rPr>
          <w:rFonts w:cs="Arial"/>
        </w:rPr>
        <w:t xml:space="preserve"> </w:t>
      </w:r>
      <w:r w:rsidR="00C64979" w:rsidRPr="00A11394">
        <w:rPr>
          <w:rFonts w:cs="Arial"/>
        </w:rPr>
        <w:t>i zatvaranja aplikacije</w:t>
      </w:r>
      <w:r w:rsidRPr="00A11394">
        <w:rPr>
          <w:rFonts w:cs="Arial"/>
        </w:rPr>
        <w:t>,</w:t>
      </w:r>
      <w:r w:rsidRPr="007B3E23">
        <w:rPr>
          <w:rFonts w:cs="Arial"/>
        </w:rPr>
        <w:t xml:space="preserve"> stoga podaci</w:t>
      </w:r>
      <w:r w:rsidR="00DB20C3">
        <w:rPr>
          <w:rFonts w:cs="Arial"/>
        </w:rPr>
        <w:t xml:space="preserve"> te</w:t>
      </w:r>
      <w:r w:rsidRPr="007B3E23">
        <w:rPr>
          <w:rFonts w:cs="Arial"/>
        </w:rPr>
        <w:t xml:space="preserve"> Općine nisu obrađeni u ovom izvješću</w:t>
      </w:r>
    </w:p>
    <w:p w14:paraId="385D5D8B" w14:textId="50ACAF5F" w:rsidR="004B08D3" w:rsidRPr="00F0315E" w:rsidRDefault="004B08D3" w:rsidP="00F0315E">
      <w:pPr>
        <w:keepNext/>
        <w:widowControl w:val="0"/>
        <w:spacing w:before="240"/>
        <w:rPr>
          <w:rFonts w:cs="Arial"/>
          <w:sz w:val="18"/>
          <w:szCs w:val="18"/>
        </w:rPr>
      </w:pPr>
      <w:r w:rsidRPr="00F0315E">
        <w:rPr>
          <w:rFonts w:cs="Arial"/>
          <w:sz w:val="18"/>
          <w:szCs w:val="18"/>
        </w:rPr>
        <w:t xml:space="preserve">Tablica </w:t>
      </w:r>
      <w:r w:rsidR="00220F0E" w:rsidRPr="00F0315E">
        <w:rPr>
          <w:rFonts w:cs="Arial"/>
          <w:sz w:val="18"/>
          <w:szCs w:val="18"/>
        </w:rPr>
        <w:t>2</w:t>
      </w:r>
      <w:r w:rsidRPr="00F0315E">
        <w:rPr>
          <w:rFonts w:cs="Arial"/>
          <w:sz w:val="18"/>
          <w:szCs w:val="18"/>
        </w:rPr>
        <w:t>.1. Dostavljena izvješća za 202</w:t>
      </w:r>
      <w:r w:rsidR="00261863">
        <w:rPr>
          <w:rFonts w:cs="Arial"/>
          <w:sz w:val="18"/>
          <w:szCs w:val="18"/>
        </w:rPr>
        <w:t>5</w:t>
      </w:r>
      <w:r w:rsidRPr="00F0315E">
        <w:rPr>
          <w:rFonts w:cs="Arial"/>
          <w:sz w:val="18"/>
          <w:szCs w:val="18"/>
        </w:rPr>
        <w:t xml:space="preserve">. prema pravnom statusu tijela </w:t>
      </w:r>
    </w:p>
    <w:tbl>
      <w:tblPr>
        <w:tblW w:w="5051" w:type="pct"/>
        <w:jc w:val="center"/>
        <w:tblCellMar>
          <w:top w:w="15" w:type="dxa"/>
          <w:left w:w="15" w:type="dxa"/>
          <w:bottom w:w="15" w:type="dxa"/>
          <w:right w:w="15" w:type="dxa"/>
        </w:tblCellMar>
        <w:tblLook w:val="04A0" w:firstRow="1" w:lastRow="0" w:firstColumn="1" w:lastColumn="0" w:noHBand="0" w:noVBand="1"/>
      </w:tblPr>
      <w:tblGrid>
        <w:gridCol w:w="4412"/>
        <w:gridCol w:w="3279"/>
        <w:gridCol w:w="1474"/>
      </w:tblGrid>
      <w:tr w:rsidR="004B08D3" w:rsidRPr="00F0315E" w14:paraId="0CAAF048" w14:textId="77777777" w:rsidTr="000463DD">
        <w:trPr>
          <w:trHeight w:val="340"/>
          <w:jc w:val="center"/>
        </w:trPr>
        <w:tc>
          <w:tcPr>
            <w:tcW w:w="2407" w:type="pct"/>
            <w:tcBorders>
              <w:top w:val="single" w:sz="8" w:space="0" w:color="4F81BD"/>
              <w:bottom w:val="single" w:sz="8" w:space="0" w:color="4472C4" w:themeColor="accent1"/>
            </w:tcBorders>
            <w:tcMar>
              <w:top w:w="0" w:type="dxa"/>
              <w:left w:w="115" w:type="dxa"/>
              <w:bottom w:w="0" w:type="dxa"/>
              <w:right w:w="115" w:type="dxa"/>
            </w:tcMar>
            <w:vAlign w:val="center"/>
            <w:hideMark/>
          </w:tcPr>
          <w:p w14:paraId="70DA5FBB" w14:textId="77777777" w:rsidR="004B08D3" w:rsidRPr="00F0315E" w:rsidRDefault="004B08D3" w:rsidP="005A279B">
            <w:pPr>
              <w:snapToGrid w:val="0"/>
              <w:spacing w:before="60" w:after="60"/>
              <w:rPr>
                <w:rFonts w:cs="Arial"/>
                <w:sz w:val="18"/>
                <w:szCs w:val="18"/>
              </w:rPr>
            </w:pPr>
            <w:r w:rsidRPr="00F0315E">
              <w:rPr>
                <w:rFonts w:cs="Arial"/>
                <w:b/>
                <w:bCs/>
                <w:sz w:val="18"/>
                <w:szCs w:val="18"/>
              </w:rPr>
              <w:t>Pravni status tijela</w:t>
            </w:r>
          </w:p>
        </w:tc>
        <w:tc>
          <w:tcPr>
            <w:tcW w:w="1789" w:type="pct"/>
            <w:tcBorders>
              <w:top w:val="single" w:sz="8" w:space="0" w:color="4F81BD"/>
              <w:bottom w:val="single" w:sz="8" w:space="0" w:color="4F81BD"/>
            </w:tcBorders>
            <w:tcMar>
              <w:top w:w="0" w:type="dxa"/>
              <w:left w:w="115" w:type="dxa"/>
              <w:bottom w:w="0" w:type="dxa"/>
              <w:right w:w="115" w:type="dxa"/>
            </w:tcMar>
            <w:vAlign w:val="center"/>
            <w:hideMark/>
          </w:tcPr>
          <w:p w14:paraId="049778A8" w14:textId="7566CBCA" w:rsidR="004B08D3" w:rsidRPr="00F0315E" w:rsidRDefault="004B08D3" w:rsidP="008C4DB4">
            <w:pPr>
              <w:spacing w:before="60" w:after="60"/>
              <w:jc w:val="center"/>
              <w:rPr>
                <w:rFonts w:cs="Arial"/>
                <w:sz w:val="18"/>
                <w:szCs w:val="18"/>
              </w:rPr>
            </w:pPr>
            <w:r w:rsidRPr="00F0315E">
              <w:rPr>
                <w:rFonts w:cs="Arial"/>
                <w:b/>
                <w:bCs/>
                <w:sz w:val="18"/>
                <w:szCs w:val="18"/>
              </w:rPr>
              <w:t>Broj dostavljenih izvješća</w:t>
            </w:r>
            <w:r w:rsidR="00A21412" w:rsidRPr="00F0315E">
              <w:rPr>
                <w:rFonts w:cs="Arial"/>
                <w:b/>
                <w:bCs/>
                <w:sz w:val="18"/>
                <w:szCs w:val="18"/>
              </w:rPr>
              <w:t>/broj tijela</w:t>
            </w:r>
          </w:p>
        </w:tc>
        <w:tc>
          <w:tcPr>
            <w:tcW w:w="804" w:type="pct"/>
            <w:tcBorders>
              <w:top w:val="single" w:sz="8" w:space="0" w:color="4F81BD"/>
              <w:bottom w:val="single" w:sz="8" w:space="0" w:color="4F81BD"/>
            </w:tcBorders>
            <w:tcMar>
              <w:top w:w="0" w:type="dxa"/>
              <w:left w:w="115" w:type="dxa"/>
              <w:bottom w:w="0" w:type="dxa"/>
              <w:right w:w="115" w:type="dxa"/>
            </w:tcMar>
            <w:vAlign w:val="center"/>
            <w:hideMark/>
          </w:tcPr>
          <w:p w14:paraId="41FC71EA" w14:textId="77777777" w:rsidR="004B08D3" w:rsidRPr="00F0315E" w:rsidRDefault="004B08D3" w:rsidP="008C4DB4">
            <w:pPr>
              <w:spacing w:before="60" w:after="60"/>
              <w:jc w:val="center"/>
              <w:rPr>
                <w:rFonts w:cs="Arial"/>
                <w:sz w:val="18"/>
                <w:szCs w:val="18"/>
              </w:rPr>
            </w:pPr>
            <w:r w:rsidRPr="00F0315E">
              <w:rPr>
                <w:rFonts w:cs="Arial"/>
                <w:b/>
                <w:bCs/>
                <w:sz w:val="18"/>
                <w:szCs w:val="18"/>
              </w:rPr>
              <w:t>%</w:t>
            </w:r>
          </w:p>
        </w:tc>
      </w:tr>
      <w:tr w:rsidR="005435D5" w:rsidRPr="00F0315E" w14:paraId="63CBFD96" w14:textId="77777777" w:rsidTr="000463DD">
        <w:trPr>
          <w:trHeight w:val="340"/>
          <w:jc w:val="center"/>
        </w:trPr>
        <w:tc>
          <w:tcPr>
            <w:tcW w:w="2407" w:type="pct"/>
            <w:tcBorders>
              <w:top w:val="single" w:sz="8" w:space="0" w:color="4472C4" w:themeColor="accent1"/>
            </w:tcBorders>
            <w:shd w:val="clear" w:color="auto" w:fill="D9E2F3"/>
            <w:tcMar>
              <w:top w:w="0" w:type="dxa"/>
              <w:left w:w="115" w:type="dxa"/>
              <w:bottom w:w="0" w:type="dxa"/>
              <w:right w:w="115" w:type="dxa"/>
            </w:tcMar>
            <w:vAlign w:val="center"/>
            <w:hideMark/>
          </w:tcPr>
          <w:p w14:paraId="14D0BE92" w14:textId="77777777" w:rsidR="005435D5" w:rsidRPr="00F0315E" w:rsidRDefault="005435D5" w:rsidP="005435D5">
            <w:pPr>
              <w:spacing w:before="20" w:after="20"/>
              <w:rPr>
                <w:rFonts w:cs="Arial"/>
                <w:sz w:val="18"/>
                <w:szCs w:val="18"/>
              </w:rPr>
            </w:pPr>
            <w:r w:rsidRPr="00F0315E">
              <w:rPr>
                <w:rFonts w:cs="Arial"/>
                <w:sz w:val="18"/>
                <w:szCs w:val="18"/>
              </w:rPr>
              <w:t>Državna tijela</w:t>
            </w:r>
          </w:p>
        </w:tc>
        <w:tc>
          <w:tcPr>
            <w:tcW w:w="1789" w:type="pct"/>
            <w:tcBorders>
              <w:top w:val="single" w:sz="8" w:space="0" w:color="4F81BD"/>
            </w:tcBorders>
            <w:shd w:val="clear" w:color="auto" w:fill="D9E2F3"/>
            <w:tcMar>
              <w:top w:w="0" w:type="dxa"/>
              <w:left w:w="115" w:type="dxa"/>
              <w:bottom w:w="0" w:type="dxa"/>
              <w:right w:w="115" w:type="dxa"/>
            </w:tcMar>
            <w:hideMark/>
          </w:tcPr>
          <w:p w14:paraId="272B944C" w14:textId="1221D0A0" w:rsidR="005435D5" w:rsidRPr="00F0315E" w:rsidRDefault="005435D5" w:rsidP="005435D5">
            <w:pPr>
              <w:spacing w:before="20" w:after="20"/>
              <w:jc w:val="center"/>
              <w:rPr>
                <w:rFonts w:cs="Arial"/>
                <w:sz w:val="18"/>
                <w:szCs w:val="18"/>
              </w:rPr>
            </w:pPr>
            <w:r w:rsidRPr="009E4D2F">
              <w:rPr>
                <w:rFonts w:cs="Arial"/>
                <w:sz w:val="18"/>
                <w:szCs w:val="18"/>
              </w:rPr>
              <w:t>22/22</w:t>
            </w:r>
          </w:p>
        </w:tc>
        <w:tc>
          <w:tcPr>
            <w:tcW w:w="804" w:type="pct"/>
            <w:tcBorders>
              <w:top w:val="single" w:sz="8" w:space="0" w:color="4F81BD"/>
            </w:tcBorders>
            <w:shd w:val="clear" w:color="auto" w:fill="D9E2F3"/>
            <w:tcMar>
              <w:top w:w="0" w:type="dxa"/>
              <w:left w:w="115" w:type="dxa"/>
              <w:bottom w:w="0" w:type="dxa"/>
              <w:right w:w="115" w:type="dxa"/>
            </w:tcMar>
            <w:vAlign w:val="center"/>
            <w:hideMark/>
          </w:tcPr>
          <w:p w14:paraId="4DE4F65C" w14:textId="5A30239D" w:rsidR="005435D5" w:rsidRPr="00F0315E" w:rsidRDefault="005435D5" w:rsidP="005435D5">
            <w:pPr>
              <w:spacing w:before="20" w:after="20"/>
              <w:jc w:val="center"/>
              <w:rPr>
                <w:rFonts w:cs="Arial"/>
                <w:sz w:val="18"/>
                <w:szCs w:val="18"/>
              </w:rPr>
            </w:pPr>
            <w:r w:rsidRPr="009E4D2F">
              <w:rPr>
                <w:rFonts w:cs="Arial"/>
                <w:sz w:val="18"/>
                <w:szCs w:val="18"/>
              </w:rPr>
              <w:t>100</w:t>
            </w:r>
          </w:p>
        </w:tc>
      </w:tr>
      <w:tr w:rsidR="005435D5" w:rsidRPr="00F0315E" w14:paraId="7B7A1263" w14:textId="77777777" w:rsidTr="000463DD">
        <w:trPr>
          <w:trHeight w:val="340"/>
          <w:jc w:val="center"/>
        </w:trPr>
        <w:tc>
          <w:tcPr>
            <w:tcW w:w="2407" w:type="pct"/>
            <w:tcMar>
              <w:top w:w="0" w:type="dxa"/>
              <w:left w:w="115" w:type="dxa"/>
              <w:bottom w:w="0" w:type="dxa"/>
              <w:right w:w="115" w:type="dxa"/>
            </w:tcMar>
            <w:vAlign w:val="center"/>
            <w:hideMark/>
          </w:tcPr>
          <w:p w14:paraId="23CC5F5A" w14:textId="77777777" w:rsidR="005435D5" w:rsidRPr="00F0315E" w:rsidRDefault="005435D5" w:rsidP="005435D5">
            <w:pPr>
              <w:spacing w:before="20" w:after="20"/>
              <w:rPr>
                <w:rFonts w:cs="Arial"/>
                <w:sz w:val="18"/>
                <w:szCs w:val="18"/>
              </w:rPr>
            </w:pPr>
            <w:r w:rsidRPr="00F0315E">
              <w:rPr>
                <w:rFonts w:cs="Arial"/>
                <w:sz w:val="18"/>
                <w:szCs w:val="18"/>
              </w:rPr>
              <w:t>Tijela državne uprave</w:t>
            </w:r>
          </w:p>
        </w:tc>
        <w:tc>
          <w:tcPr>
            <w:tcW w:w="1789" w:type="pct"/>
            <w:tcMar>
              <w:top w:w="0" w:type="dxa"/>
              <w:left w:w="115" w:type="dxa"/>
              <w:bottom w:w="0" w:type="dxa"/>
              <w:right w:w="115" w:type="dxa"/>
            </w:tcMar>
            <w:hideMark/>
          </w:tcPr>
          <w:p w14:paraId="7272BCD6" w14:textId="4C918AFF" w:rsidR="005435D5" w:rsidRPr="00F0315E" w:rsidRDefault="005435D5" w:rsidP="005435D5">
            <w:pPr>
              <w:spacing w:before="20" w:after="20"/>
              <w:jc w:val="center"/>
              <w:rPr>
                <w:rFonts w:cs="Arial"/>
                <w:sz w:val="18"/>
                <w:szCs w:val="18"/>
              </w:rPr>
            </w:pPr>
            <w:r w:rsidRPr="009E4D2F">
              <w:rPr>
                <w:rFonts w:cs="Arial"/>
                <w:sz w:val="18"/>
                <w:szCs w:val="18"/>
              </w:rPr>
              <w:t>27/27</w:t>
            </w:r>
          </w:p>
        </w:tc>
        <w:tc>
          <w:tcPr>
            <w:tcW w:w="804" w:type="pct"/>
            <w:tcMar>
              <w:top w:w="0" w:type="dxa"/>
              <w:left w:w="115" w:type="dxa"/>
              <w:bottom w:w="0" w:type="dxa"/>
              <w:right w:w="115" w:type="dxa"/>
            </w:tcMar>
            <w:vAlign w:val="center"/>
            <w:hideMark/>
          </w:tcPr>
          <w:p w14:paraId="36C33FF9" w14:textId="578678AC" w:rsidR="005435D5" w:rsidRPr="00F0315E" w:rsidRDefault="005435D5" w:rsidP="005435D5">
            <w:pPr>
              <w:spacing w:before="20" w:after="20"/>
              <w:jc w:val="center"/>
              <w:rPr>
                <w:rFonts w:cs="Arial"/>
                <w:sz w:val="18"/>
                <w:szCs w:val="18"/>
              </w:rPr>
            </w:pPr>
            <w:r w:rsidRPr="009E4D2F">
              <w:rPr>
                <w:rFonts w:cs="Arial"/>
                <w:sz w:val="18"/>
                <w:szCs w:val="18"/>
              </w:rPr>
              <w:t>100</w:t>
            </w:r>
          </w:p>
        </w:tc>
      </w:tr>
      <w:tr w:rsidR="005435D5" w:rsidRPr="00F0315E" w14:paraId="1918C69F" w14:textId="77777777" w:rsidTr="000463DD">
        <w:trPr>
          <w:trHeight w:val="340"/>
          <w:jc w:val="center"/>
        </w:trPr>
        <w:tc>
          <w:tcPr>
            <w:tcW w:w="2407" w:type="pct"/>
            <w:shd w:val="clear" w:color="auto" w:fill="D9E2F3"/>
            <w:tcMar>
              <w:top w:w="0" w:type="dxa"/>
              <w:left w:w="115" w:type="dxa"/>
              <w:bottom w:w="0" w:type="dxa"/>
              <w:right w:w="115" w:type="dxa"/>
            </w:tcMar>
            <w:vAlign w:val="center"/>
            <w:hideMark/>
          </w:tcPr>
          <w:p w14:paraId="1520657D" w14:textId="77777777" w:rsidR="005435D5" w:rsidRPr="00F0315E" w:rsidRDefault="005435D5" w:rsidP="005435D5">
            <w:pPr>
              <w:spacing w:before="20" w:after="20"/>
              <w:rPr>
                <w:rFonts w:cs="Arial"/>
                <w:sz w:val="18"/>
                <w:szCs w:val="18"/>
              </w:rPr>
            </w:pPr>
            <w:r w:rsidRPr="00F0315E">
              <w:rPr>
                <w:rFonts w:cs="Arial"/>
                <w:sz w:val="18"/>
                <w:szCs w:val="18"/>
              </w:rPr>
              <w:t>JLP(R)S</w:t>
            </w:r>
          </w:p>
        </w:tc>
        <w:tc>
          <w:tcPr>
            <w:tcW w:w="1789" w:type="pct"/>
            <w:shd w:val="clear" w:color="auto" w:fill="D9E2F3"/>
            <w:tcMar>
              <w:top w:w="0" w:type="dxa"/>
              <w:left w:w="115" w:type="dxa"/>
              <w:bottom w:w="0" w:type="dxa"/>
              <w:right w:w="115" w:type="dxa"/>
            </w:tcMar>
            <w:hideMark/>
          </w:tcPr>
          <w:p w14:paraId="16E23A43" w14:textId="1816854A" w:rsidR="005435D5" w:rsidRPr="00F0315E" w:rsidRDefault="005435D5" w:rsidP="005435D5">
            <w:pPr>
              <w:spacing w:before="20" w:after="20"/>
              <w:jc w:val="center"/>
              <w:rPr>
                <w:rFonts w:cs="Arial"/>
                <w:sz w:val="18"/>
                <w:szCs w:val="18"/>
              </w:rPr>
            </w:pPr>
            <w:r w:rsidRPr="009E4D2F">
              <w:rPr>
                <w:rFonts w:cs="Arial"/>
                <w:sz w:val="18"/>
                <w:szCs w:val="18"/>
              </w:rPr>
              <w:t>576/576</w:t>
            </w:r>
          </w:p>
        </w:tc>
        <w:tc>
          <w:tcPr>
            <w:tcW w:w="804" w:type="pct"/>
            <w:shd w:val="clear" w:color="auto" w:fill="D9E2F3"/>
            <w:tcMar>
              <w:top w:w="0" w:type="dxa"/>
              <w:left w:w="115" w:type="dxa"/>
              <w:bottom w:w="0" w:type="dxa"/>
              <w:right w:w="115" w:type="dxa"/>
            </w:tcMar>
            <w:vAlign w:val="center"/>
            <w:hideMark/>
          </w:tcPr>
          <w:p w14:paraId="7FE1EB9C" w14:textId="3ABA3D93" w:rsidR="005435D5" w:rsidRPr="00F0315E" w:rsidRDefault="005435D5" w:rsidP="005435D5">
            <w:pPr>
              <w:spacing w:before="20" w:after="20"/>
              <w:jc w:val="center"/>
              <w:rPr>
                <w:rFonts w:cs="Arial"/>
                <w:sz w:val="18"/>
                <w:szCs w:val="18"/>
              </w:rPr>
            </w:pPr>
            <w:r w:rsidRPr="009E4D2F">
              <w:rPr>
                <w:rFonts w:cs="Arial"/>
                <w:sz w:val="18"/>
                <w:szCs w:val="18"/>
              </w:rPr>
              <w:t>100</w:t>
            </w:r>
          </w:p>
        </w:tc>
      </w:tr>
      <w:tr w:rsidR="005435D5" w:rsidRPr="00F0315E" w14:paraId="56941BFC" w14:textId="77777777" w:rsidTr="000463DD">
        <w:trPr>
          <w:trHeight w:val="340"/>
          <w:jc w:val="center"/>
        </w:trPr>
        <w:tc>
          <w:tcPr>
            <w:tcW w:w="2407" w:type="pct"/>
            <w:tcMar>
              <w:top w:w="0" w:type="dxa"/>
              <w:left w:w="115" w:type="dxa"/>
              <w:bottom w:w="0" w:type="dxa"/>
              <w:right w:w="115" w:type="dxa"/>
            </w:tcMar>
            <w:vAlign w:val="center"/>
            <w:hideMark/>
          </w:tcPr>
          <w:p w14:paraId="66887A7B" w14:textId="77777777" w:rsidR="005435D5" w:rsidRPr="00F0315E" w:rsidRDefault="005435D5" w:rsidP="005435D5">
            <w:pPr>
              <w:spacing w:before="20" w:after="20"/>
              <w:rPr>
                <w:rFonts w:cs="Arial"/>
                <w:sz w:val="18"/>
                <w:szCs w:val="18"/>
              </w:rPr>
            </w:pPr>
            <w:r w:rsidRPr="00F0315E">
              <w:rPr>
                <w:rFonts w:cs="Arial"/>
                <w:sz w:val="18"/>
                <w:szCs w:val="18"/>
              </w:rPr>
              <w:t>Sudovi i pravosudna tijela</w:t>
            </w:r>
          </w:p>
        </w:tc>
        <w:tc>
          <w:tcPr>
            <w:tcW w:w="1789" w:type="pct"/>
            <w:tcMar>
              <w:top w:w="0" w:type="dxa"/>
              <w:left w:w="115" w:type="dxa"/>
              <w:bottom w:w="0" w:type="dxa"/>
              <w:right w:w="115" w:type="dxa"/>
            </w:tcMar>
            <w:hideMark/>
          </w:tcPr>
          <w:p w14:paraId="1CCFADC8" w14:textId="3FF665F5" w:rsidR="005435D5" w:rsidRPr="00F0315E" w:rsidRDefault="005435D5" w:rsidP="005435D5">
            <w:pPr>
              <w:spacing w:before="20" w:after="20"/>
              <w:jc w:val="center"/>
              <w:rPr>
                <w:rFonts w:cs="Arial"/>
                <w:sz w:val="18"/>
                <w:szCs w:val="18"/>
              </w:rPr>
            </w:pPr>
            <w:r w:rsidRPr="009E4D2F">
              <w:rPr>
                <w:rFonts w:cs="Arial"/>
                <w:sz w:val="18"/>
                <w:szCs w:val="18"/>
              </w:rPr>
              <w:t>109/109</w:t>
            </w:r>
          </w:p>
        </w:tc>
        <w:tc>
          <w:tcPr>
            <w:tcW w:w="804" w:type="pct"/>
            <w:tcMar>
              <w:top w:w="0" w:type="dxa"/>
              <w:left w:w="115" w:type="dxa"/>
              <w:bottom w:w="0" w:type="dxa"/>
              <w:right w:w="115" w:type="dxa"/>
            </w:tcMar>
            <w:vAlign w:val="center"/>
            <w:hideMark/>
          </w:tcPr>
          <w:p w14:paraId="664A971D" w14:textId="43031757" w:rsidR="005435D5" w:rsidRPr="00F0315E" w:rsidRDefault="005435D5" w:rsidP="005435D5">
            <w:pPr>
              <w:spacing w:before="20" w:after="20"/>
              <w:jc w:val="center"/>
              <w:rPr>
                <w:rFonts w:cs="Arial"/>
                <w:sz w:val="18"/>
                <w:szCs w:val="18"/>
              </w:rPr>
            </w:pPr>
            <w:r w:rsidRPr="009E4D2F">
              <w:rPr>
                <w:rFonts w:cs="Arial"/>
                <w:sz w:val="18"/>
                <w:szCs w:val="18"/>
              </w:rPr>
              <w:t>100</w:t>
            </w:r>
          </w:p>
        </w:tc>
      </w:tr>
      <w:tr w:rsidR="005435D5" w:rsidRPr="00F0315E" w14:paraId="4918E71A" w14:textId="77777777" w:rsidTr="000463DD">
        <w:trPr>
          <w:trHeight w:val="340"/>
          <w:jc w:val="center"/>
        </w:trPr>
        <w:tc>
          <w:tcPr>
            <w:tcW w:w="2407" w:type="pct"/>
            <w:shd w:val="clear" w:color="auto" w:fill="D9E2F3"/>
            <w:tcMar>
              <w:top w:w="0" w:type="dxa"/>
              <w:left w:w="115" w:type="dxa"/>
              <w:bottom w:w="0" w:type="dxa"/>
              <w:right w:w="115" w:type="dxa"/>
            </w:tcMar>
            <w:vAlign w:val="center"/>
            <w:hideMark/>
          </w:tcPr>
          <w:p w14:paraId="0B027455" w14:textId="77777777" w:rsidR="005435D5" w:rsidRPr="00F0315E" w:rsidRDefault="005435D5" w:rsidP="005435D5">
            <w:pPr>
              <w:spacing w:before="20" w:after="20"/>
              <w:rPr>
                <w:rFonts w:cs="Arial"/>
                <w:sz w:val="18"/>
                <w:szCs w:val="18"/>
              </w:rPr>
            </w:pPr>
            <w:r w:rsidRPr="00F0315E">
              <w:rPr>
                <w:rFonts w:cs="Arial"/>
                <w:sz w:val="18"/>
                <w:szCs w:val="18"/>
              </w:rPr>
              <w:t xml:space="preserve">Agencije i druge pravne osobe s javnim ovlastima </w:t>
            </w:r>
          </w:p>
        </w:tc>
        <w:tc>
          <w:tcPr>
            <w:tcW w:w="1789" w:type="pct"/>
            <w:shd w:val="clear" w:color="auto" w:fill="D9E2F3"/>
            <w:tcMar>
              <w:top w:w="0" w:type="dxa"/>
              <w:left w:w="115" w:type="dxa"/>
              <w:bottom w:w="0" w:type="dxa"/>
              <w:right w:w="115" w:type="dxa"/>
            </w:tcMar>
            <w:hideMark/>
          </w:tcPr>
          <w:p w14:paraId="783595ED" w14:textId="50FFAAE3" w:rsidR="005435D5" w:rsidRPr="00F0315E" w:rsidRDefault="005435D5" w:rsidP="005435D5">
            <w:pPr>
              <w:spacing w:before="20" w:after="20"/>
              <w:jc w:val="center"/>
              <w:rPr>
                <w:rFonts w:cs="Arial"/>
                <w:sz w:val="18"/>
                <w:szCs w:val="18"/>
              </w:rPr>
            </w:pPr>
            <w:r w:rsidRPr="009E4D2F">
              <w:rPr>
                <w:rFonts w:cs="Arial"/>
                <w:sz w:val="18"/>
                <w:szCs w:val="18"/>
              </w:rPr>
              <w:t>51/51</w:t>
            </w:r>
          </w:p>
        </w:tc>
        <w:tc>
          <w:tcPr>
            <w:tcW w:w="804" w:type="pct"/>
            <w:shd w:val="clear" w:color="auto" w:fill="D9E2F3"/>
            <w:tcMar>
              <w:top w:w="0" w:type="dxa"/>
              <w:left w:w="115" w:type="dxa"/>
              <w:bottom w:w="0" w:type="dxa"/>
              <w:right w:w="115" w:type="dxa"/>
            </w:tcMar>
            <w:vAlign w:val="center"/>
            <w:hideMark/>
          </w:tcPr>
          <w:p w14:paraId="3AC59604" w14:textId="5B51798E" w:rsidR="005435D5" w:rsidRPr="00F0315E" w:rsidRDefault="005435D5" w:rsidP="005435D5">
            <w:pPr>
              <w:spacing w:before="20" w:after="20"/>
              <w:jc w:val="center"/>
              <w:rPr>
                <w:rFonts w:cs="Arial"/>
                <w:sz w:val="18"/>
                <w:szCs w:val="18"/>
              </w:rPr>
            </w:pPr>
            <w:r w:rsidRPr="009E4D2F">
              <w:rPr>
                <w:rFonts w:cs="Arial"/>
                <w:sz w:val="18"/>
                <w:szCs w:val="18"/>
              </w:rPr>
              <w:t>100</w:t>
            </w:r>
          </w:p>
        </w:tc>
      </w:tr>
      <w:tr w:rsidR="005435D5" w:rsidRPr="00F0315E" w14:paraId="28340FBF" w14:textId="77777777" w:rsidTr="000463DD">
        <w:trPr>
          <w:trHeight w:val="340"/>
          <w:jc w:val="center"/>
        </w:trPr>
        <w:tc>
          <w:tcPr>
            <w:tcW w:w="2407" w:type="pct"/>
            <w:tcMar>
              <w:top w:w="0" w:type="dxa"/>
              <w:left w:w="115" w:type="dxa"/>
              <w:bottom w:w="0" w:type="dxa"/>
              <w:right w:w="115" w:type="dxa"/>
            </w:tcMar>
            <w:vAlign w:val="center"/>
            <w:hideMark/>
          </w:tcPr>
          <w:p w14:paraId="5B66AD81" w14:textId="77777777" w:rsidR="005435D5" w:rsidRPr="00F0315E" w:rsidRDefault="005435D5" w:rsidP="005435D5">
            <w:pPr>
              <w:spacing w:before="20" w:after="20"/>
              <w:rPr>
                <w:rFonts w:cs="Arial"/>
                <w:sz w:val="18"/>
                <w:szCs w:val="18"/>
              </w:rPr>
            </w:pPr>
            <w:r w:rsidRPr="00F0315E">
              <w:rPr>
                <w:rFonts w:cs="Arial"/>
                <w:sz w:val="18"/>
                <w:szCs w:val="18"/>
              </w:rPr>
              <w:t>Ustanove</w:t>
            </w:r>
          </w:p>
        </w:tc>
        <w:tc>
          <w:tcPr>
            <w:tcW w:w="1789" w:type="pct"/>
            <w:tcMar>
              <w:top w:w="0" w:type="dxa"/>
              <w:left w:w="115" w:type="dxa"/>
              <w:bottom w:w="0" w:type="dxa"/>
              <w:right w:w="115" w:type="dxa"/>
            </w:tcMar>
            <w:hideMark/>
          </w:tcPr>
          <w:p w14:paraId="0D1B1EA2" w14:textId="1D91362F" w:rsidR="005435D5" w:rsidRPr="00F0315E" w:rsidRDefault="005435D5" w:rsidP="005435D5">
            <w:pPr>
              <w:spacing w:before="20" w:after="20"/>
              <w:jc w:val="center"/>
              <w:rPr>
                <w:rFonts w:cs="Arial"/>
                <w:sz w:val="18"/>
                <w:szCs w:val="18"/>
              </w:rPr>
            </w:pPr>
            <w:r w:rsidRPr="009E4D2F">
              <w:rPr>
                <w:rFonts w:cs="Arial"/>
                <w:sz w:val="18"/>
                <w:szCs w:val="18"/>
              </w:rPr>
              <w:t>3.169/3.339</w:t>
            </w:r>
          </w:p>
        </w:tc>
        <w:tc>
          <w:tcPr>
            <w:tcW w:w="804" w:type="pct"/>
            <w:tcMar>
              <w:top w:w="0" w:type="dxa"/>
              <w:left w:w="115" w:type="dxa"/>
              <w:bottom w:w="0" w:type="dxa"/>
              <w:right w:w="115" w:type="dxa"/>
            </w:tcMar>
            <w:hideMark/>
          </w:tcPr>
          <w:p w14:paraId="6472EE7D" w14:textId="2C1FD272" w:rsidR="005435D5" w:rsidRPr="00F0315E" w:rsidRDefault="005435D5" w:rsidP="005435D5">
            <w:pPr>
              <w:spacing w:before="20" w:after="20"/>
              <w:jc w:val="center"/>
              <w:rPr>
                <w:rFonts w:cs="Arial"/>
                <w:sz w:val="18"/>
                <w:szCs w:val="18"/>
              </w:rPr>
            </w:pPr>
            <w:r w:rsidRPr="009E4D2F">
              <w:rPr>
                <w:sz w:val="18"/>
                <w:szCs w:val="18"/>
              </w:rPr>
              <w:t>94,9</w:t>
            </w:r>
          </w:p>
        </w:tc>
      </w:tr>
      <w:tr w:rsidR="005435D5" w:rsidRPr="00F0315E" w14:paraId="790D97F4" w14:textId="77777777" w:rsidTr="000463DD">
        <w:trPr>
          <w:trHeight w:val="340"/>
          <w:jc w:val="center"/>
        </w:trPr>
        <w:tc>
          <w:tcPr>
            <w:tcW w:w="2407" w:type="pct"/>
            <w:shd w:val="clear" w:color="auto" w:fill="D9E2F3"/>
            <w:tcMar>
              <w:top w:w="0" w:type="dxa"/>
              <w:left w:w="115" w:type="dxa"/>
              <w:bottom w:w="0" w:type="dxa"/>
              <w:right w:w="115" w:type="dxa"/>
            </w:tcMar>
            <w:vAlign w:val="center"/>
            <w:hideMark/>
          </w:tcPr>
          <w:p w14:paraId="704CE029" w14:textId="77777777" w:rsidR="005435D5" w:rsidRPr="00F0315E" w:rsidRDefault="005435D5" w:rsidP="005435D5">
            <w:pPr>
              <w:spacing w:before="20" w:after="20"/>
              <w:rPr>
                <w:rFonts w:cs="Arial"/>
                <w:sz w:val="18"/>
                <w:szCs w:val="18"/>
              </w:rPr>
            </w:pPr>
            <w:r w:rsidRPr="00F0315E">
              <w:rPr>
                <w:rFonts w:cs="Arial"/>
                <w:sz w:val="18"/>
                <w:szCs w:val="18"/>
              </w:rPr>
              <w:t>Trgovačka društva</w:t>
            </w:r>
          </w:p>
        </w:tc>
        <w:tc>
          <w:tcPr>
            <w:tcW w:w="1789" w:type="pct"/>
            <w:shd w:val="clear" w:color="auto" w:fill="D9E2F3"/>
            <w:tcMar>
              <w:top w:w="0" w:type="dxa"/>
              <w:left w:w="115" w:type="dxa"/>
              <w:bottom w:w="0" w:type="dxa"/>
              <w:right w:w="115" w:type="dxa"/>
            </w:tcMar>
            <w:hideMark/>
          </w:tcPr>
          <w:p w14:paraId="50407390" w14:textId="19B32D3C" w:rsidR="005435D5" w:rsidRPr="00F0315E" w:rsidRDefault="005435D5" w:rsidP="005435D5">
            <w:pPr>
              <w:spacing w:before="20" w:after="20"/>
              <w:jc w:val="center"/>
              <w:rPr>
                <w:rFonts w:cs="Arial"/>
                <w:sz w:val="18"/>
                <w:szCs w:val="18"/>
              </w:rPr>
            </w:pPr>
            <w:r w:rsidRPr="009E4D2F">
              <w:rPr>
                <w:rFonts w:cs="Arial"/>
                <w:sz w:val="18"/>
                <w:szCs w:val="18"/>
              </w:rPr>
              <w:t>720/816</w:t>
            </w:r>
          </w:p>
        </w:tc>
        <w:tc>
          <w:tcPr>
            <w:tcW w:w="804" w:type="pct"/>
            <w:shd w:val="clear" w:color="auto" w:fill="D9E2F3"/>
            <w:tcMar>
              <w:top w:w="0" w:type="dxa"/>
              <w:left w:w="115" w:type="dxa"/>
              <w:bottom w:w="0" w:type="dxa"/>
              <w:right w:w="115" w:type="dxa"/>
            </w:tcMar>
            <w:hideMark/>
          </w:tcPr>
          <w:p w14:paraId="539E4017" w14:textId="3625F36B" w:rsidR="005435D5" w:rsidRPr="00F0315E" w:rsidRDefault="005435D5" w:rsidP="005435D5">
            <w:pPr>
              <w:spacing w:before="20" w:after="20"/>
              <w:jc w:val="center"/>
              <w:rPr>
                <w:rFonts w:cs="Arial"/>
                <w:sz w:val="18"/>
                <w:szCs w:val="18"/>
              </w:rPr>
            </w:pPr>
            <w:r w:rsidRPr="009E4D2F">
              <w:rPr>
                <w:sz w:val="18"/>
                <w:szCs w:val="18"/>
              </w:rPr>
              <w:t>88,2</w:t>
            </w:r>
          </w:p>
        </w:tc>
      </w:tr>
      <w:tr w:rsidR="005435D5" w:rsidRPr="00F0315E" w14:paraId="35F66058" w14:textId="77777777" w:rsidTr="000463DD">
        <w:trPr>
          <w:trHeight w:val="340"/>
          <w:jc w:val="center"/>
        </w:trPr>
        <w:tc>
          <w:tcPr>
            <w:tcW w:w="2407" w:type="pct"/>
            <w:tcMar>
              <w:top w:w="0" w:type="dxa"/>
              <w:left w:w="115" w:type="dxa"/>
              <w:bottom w:w="0" w:type="dxa"/>
              <w:right w:w="115" w:type="dxa"/>
            </w:tcMar>
            <w:vAlign w:val="center"/>
            <w:hideMark/>
          </w:tcPr>
          <w:p w14:paraId="198B7789" w14:textId="77777777" w:rsidR="005435D5" w:rsidRPr="00F0315E" w:rsidRDefault="005435D5" w:rsidP="005435D5">
            <w:pPr>
              <w:spacing w:before="20" w:after="20"/>
              <w:rPr>
                <w:rFonts w:cs="Arial"/>
                <w:sz w:val="18"/>
                <w:szCs w:val="18"/>
              </w:rPr>
            </w:pPr>
            <w:r w:rsidRPr="00F0315E">
              <w:rPr>
                <w:rFonts w:cs="Arial"/>
                <w:sz w:val="18"/>
                <w:szCs w:val="18"/>
              </w:rPr>
              <w:t>Udruge</w:t>
            </w:r>
          </w:p>
        </w:tc>
        <w:tc>
          <w:tcPr>
            <w:tcW w:w="1789" w:type="pct"/>
            <w:tcMar>
              <w:top w:w="0" w:type="dxa"/>
              <w:left w:w="115" w:type="dxa"/>
              <w:bottom w:w="0" w:type="dxa"/>
              <w:right w:w="115" w:type="dxa"/>
            </w:tcMar>
            <w:hideMark/>
          </w:tcPr>
          <w:p w14:paraId="16757B0B" w14:textId="37648038" w:rsidR="005435D5" w:rsidRPr="00F0315E" w:rsidRDefault="005435D5" w:rsidP="005435D5">
            <w:pPr>
              <w:spacing w:before="20" w:after="20"/>
              <w:jc w:val="center"/>
              <w:rPr>
                <w:rFonts w:cs="Arial"/>
                <w:sz w:val="18"/>
                <w:szCs w:val="18"/>
              </w:rPr>
            </w:pPr>
            <w:r w:rsidRPr="009E4D2F">
              <w:rPr>
                <w:rFonts w:cs="Arial"/>
                <w:sz w:val="18"/>
                <w:szCs w:val="18"/>
              </w:rPr>
              <w:t>312/468</w:t>
            </w:r>
          </w:p>
        </w:tc>
        <w:tc>
          <w:tcPr>
            <w:tcW w:w="804" w:type="pct"/>
            <w:tcMar>
              <w:top w:w="0" w:type="dxa"/>
              <w:left w:w="115" w:type="dxa"/>
              <w:bottom w:w="0" w:type="dxa"/>
              <w:right w:w="115" w:type="dxa"/>
            </w:tcMar>
            <w:hideMark/>
          </w:tcPr>
          <w:p w14:paraId="33FE1848" w14:textId="10D87A26" w:rsidR="005435D5" w:rsidRPr="00F0315E" w:rsidRDefault="005435D5" w:rsidP="005435D5">
            <w:pPr>
              <w:spacing w:before="20" w:after="20"/>
              <w:jc w:val="center"/>
              <w:rPr>
                <w:rFonts w:cs="Arial"/>
                <w:sz w:val="18"/>
                <w:szCs w:val="18"/>
              </w:rPr>
            </w:pPr>
            <w:r w:rsidRPr="009E4D2F">
              <w:rPr>
                <w:sz w:val="18"/>
                <w:szCs w:val="18"/>
              </w:rPr>
              <w:t>66,7</w:t>
            </w:r>
          </w:p>
        </w:tc>
      </w:tr>
      <w:tr w:rsidR="005435D5" w:rsidRPr="00F0315E" w14:paraId="3549CE49" w14:textId="77777777" w:rsidTr="000463DD">
        <w:trPr>
          <w:trHeight w:val="340"/>
          <w:jc w:val="center"/>
        </w:trPr>
        <w:tc>
          <w:tcPr>
            <w:tcW w:w="2407" w:type="pct"/>
            <w:tcBorders>
              <w:bottom w:val="single" w:sz="8" w:space="0" w:color="4472C4" w:themeColor="accent1"/>
            </w:tcBorders>
            <w:shd w:val="clear" w:color="auto" w:fill="D9E2F3"/>
            <w:tcMar>
              <w:top w:w="0" w:type="dxa"/>
              <w:left w:w="115" w:type="dxa"/>
              <w:bottom w:w="0" w:type="dxa"/>
              <w:right w:w="115" w:type="dxa"/>
            </w:tcMar>
            <w:vAlign w:val="center"/>
            <w:hideMark/>
          </w:tcPr>
          <w:p w14:paraId="47DACFCF" w14:textId="77777777" w:rsidR="005435D5" w:rsidRPr="00F0315E" w:rsidRDefault="005435D5" w:rsidP="005435D5">
            <w:pPr>
              <w:spacing w:before="20" w:after="20"/>
              <w:rPr>
                <w:rFonts w:cs="Arial"/>
                <w:sz w:val="18"/>
                <w:szCs w:val="18"/>
              </w:rPr>
            </w:pPr>
            <w:r w:rsidRPr="00F0315E">
              <w:rPr>
                <w:rFonts w:cs="Arial"/>
                <w:sz w:val="18"/>
                <w:szCs w:val="18"/>
              </w:rPr>
              <w:t>Ostale pravne osobe i tijela s javnim ovlastima</w:t>
            </w:r>
          </w:p>
        </w:tc>
        <w:tc>
          <w:tcPr>
            <w:tcW w:w="1789" w:type="pct"/>
            <w:tcBorders>
              <w:bottom w:val="single" w:sz="8" w:space="0" w:color="4472C4" w:themeColor="accent1"/>
            </w:tcBorders>
            <w:shd w:val="clear" w:color="auto" w:fill="D9E2F3"/>
            <w:tcMar>
              <w:top w:w="0" w:type="dxa"/>
              <w:left w:w="115" w:type="dxa"/>
              <w:bottom w:w="0" w:type="dxa"/>
              <w:right w:w="115" w:type="dxa"/>
            </w:tcMar>
            <w:hideMark/>
          </w:tcPr>
          <w:p w14:paraId="306308C0" w14:textId="45DB8B9D" w:rsidR="005435D5" w:rsidRPr="00F0315E" w:rsidRDefault="005435D5" w:rsidP="005435D5">
            <w:pPr>
              <w:spacing w:before="20" w:after="20"/>
              <w:jc w:val="center"/>
              <w:rPr>
                <w:rFonts w:cs="Arial"/>
                <w:sz w:val="18"/>
                <w:szCs w:val="18"/>
              </w:rPr>
            </w:pPr>
            <w:r w:rsidRPr="009E4D2F">
              <w:rPr>
                <w:rFonts w:cs="Arial"/>
                <w:sz w:val="18"/>
                <w:szCs w:val="18"/>
              </w:rPr>
              <w:t>295/332</w:t>
            </w:r>
          </w:p>
        </w:tc>
        <w:tc>
          <w:tcPr>
            <w:tcW w:w="804" w:type="pct"/>
            <w:tcBorders>
              <w:bottom w:val="single" w:sz="8" w:space="0" w:color="4472C4" w:themeColor="accent1"/>
            </w:tcBorders>
            <w:shd w:val="clear" w:color="auto" w:fill="D9E2F3"/>
            <w:tcMar>
              <w:top w:w="0" w:type="dxa"/>
              <w:left w:w="115" w:type="dxa"/>
              <w:bottom w:w="0" w:type="dxa"/>
              <w:right w:w="115" w:type="dxa"/>
            </w:tcMar>
            <w:hideMark/>
          </w:tcPr>
          <w:p w14:paraId="62536B57" w14:textId="3FF31E21" w:rsidR="005435D5" w:rsidRPr="00F0315E" w:rsidRDefault="005435D5" w:rsidP="005435D5">
            <w:pPr>
              <w:spacing w:before="20" w:after="20"/>
              <w:jc w:val="center"/>
              <w:rPr>
                <w:rFonts w:cs="Arial"/>
                <w:sz w:val="18"/>
                <w:szCs w:val="18"/>
              </w:rPr>
            </w:pPr>
            <w:r w:rsidRPr="009E4D2F">
              <w:rPr>
                <w:sz w:val="18"/>
                <w:szCs w:val="18"/>
              </w:rPr>
              <w:t>88,9</w:t>
            </w:r>
          </w:p>
        </w:tc>
      </w:tr>
      <w:tr w:rsidR="004B08D3" w:rsidRPr="00F0315E" w14:paraId="1D4FB804" w14:textId="77777777" w:rsidTr="000463DD">
        <w:trPr>
          <w:trHeight w:val="340"/>
          <w:jc w:val="center"/>
        </w:trPr>
        <w:tc>
          <w:tcPr>
            <w:tcW w:w="2407" w:type="pct"/>
            <w:tcBorders>
              <w:top w:val="single" w:sz="8" w:space="0" w:color="4472C4" w:themeColor="accent1"/>
              <w:bottom w:val="single" w:sz="8" w:space="0" w:color="4F81BD"/>
            </w:tcBorders>
            <w:tcMar>
              <w:top w:w="0" w:type="dxa"/>
              <w:left w:w="115" w:type="dxa"/>
              <w:bottom w:w="0" w:type="dxa"/>
              <w:right w:w="115" w:type="dxa"/>
            </w:tcMar>
            <w:vAlign w:val="center"/>
            <w:hideMark/>
          </w:tcPr>
          <w:p w14:paraId="6B7B8CA6" w14:textId="527133F8" w:rsidR="004B08D3" w:rsidRPr="00F0315E" w:rsidRDefault="008C4DB4" w:rsidP="008C4DB4">
            <w:pPr>
              <w:spacing w:before="60" w:after="60"/>
              <w:rPr>
                <w:rFonts w:cs="Arial"/>
                <w:sz w:val="18"/>
                <w:szCs w:val="18"/>
              </w:rPr>
            </w:pPr>
            <w:r>
              <w:rPr>
                <w:rFonts w:cs="Arial"/>
                <w:b/>
                <w:bCs/>
                <w:sz w:val="18"/>
                <w:szCs w:val="18"/>
              </w:rPr>
              <w:t>UKUPNO</w:t>
            </w:r>
          </w:p>
        </w:tc>
        <w:tc>
          <w:tcPr>
            <w:tcW w:w="1789" w:type="pct"/>
            <w:tcBorders>
              <w:top w:val="single" w:sz="8" w:space="0" w:color="4472C4" w:themeColor="accent1"/>
              <w:bottom w:val="single" w:sz="8" w:space="0" w:color="4F81BD"/>
            </w:tcBorders>
            <w:tcMar>
              <w:top w:w="0" w:type="dxa"/>
              <w:left w:w="115" w:type="dxa"/>
              <w:bottom w:w="0" w:type="dxa"/>
              <w:right w:w="115" w:type="dxa"/>
            </w:tcMar>
            <w:hideMark/>
          </w:tcPr>
          <w:p w14:paraId="7DCFBD1A" w14:textId="320B6795" w:rsidR="004B08D3" w:rsidRPr="00F0315E" w:rsidRDefault="005435D5" w:rsidP="008C4DB4">
            <w:pPr>
              <w:spacing w:before="60" w:after="60"/>
              <w:jc w:val="center"/>
              <w:rPr>
                <w:rFonts w:cs="Arial"/>
                <w:b/>
                <w:bCs/>
                <w:sz w:val="18"/>
                <w:szCs w:val="18"/>
              </w:rPr>
            </w:pPr>
            <w:r w:rsidRPr="009E4D2F">
              <w:rPr>
                <w:rFonts w:cs="Arial"/>
                <w:b/>
                <w:bCs/>
                <w:sz w:val="18"/>
                <w:szCs w:val="18"/>
              </w:rPr>
              <w:t>5.280/5.740</w:t>
            </w:r>
          </w:p>
        </w:tc>
        <w:tc>
          <w:tcPr>
            <w:tcW w:w="804" w:type="pct"/>
            <w:tcBorders>
              <w:top w:val="single" w:sz="8" w:space="0" w:color="4472C4" w:themeColor="accent1"/>
              <w:bottom w:val="single" w:sz="8" w:space="0" w:color="4F81BD"/>
            </w:tcBorders>
            <w:tcMar>
              <w:top w:w="0" w:type="dxa"/>
              <w:left w:w="115" w:type="dxa"/>
              <w:bottom w:w="0" w:type="dxa"/>
              <w:right w:w="115" w:type="dxa"/>
            </w:tcMar>
            <w:hideMark/>
          </w:tcPr>
          <w:p w14:paraId="259697F1" w14:textId="7951B5C5" w:rsidR="004B08D3" w:rsidRPr="00F0315E" w:rsidRDefault="005435D5" w:rsidP="008C4DB4">
            <w:pPr>
              <w:spacing w:before="60" w:after="60"/>
              <w:jc w:val="center"/>
              <w:rPr>
                <w:rFonts w:cs="Arial"/>
                <w:b/>
                <w:bCs/>
                <w:sz w:val="18"/>
                <w:szCs w:val="18"/>
              </w:rPr>
            </w:pPr>
            <w:r>
              <w:rPr>
                <w:rFonts w:cs="Arial"/>
                <w:b/>
                <w:bCs/>
                <w:sz w:val="18"/>
                <w:szCs w:val="18"/>
              </w:rPr>
              <w:t>92</w:t>
            </w:r>
          </w:p>
        </w:tc>
      </w:tr>
    </w:tbl>
    <w:p w14:paraId="7501D3C5" w14:textId="77777777" w:rsidR="005435D5" w:rsidRDefault="005435D5" w:rsidP="005435D5">
      <w:pPr>
        <w:rPr>
          <w:rFonts w:cs="Arial"/>
          <w:b/>
          <w:bCs/>
        </w:rPr>
      </w:pPr>
    </w:p>
    <w:p w14:paraId="5611AC6E" w14:textId="795C2703" w:rsidR="006D2405" w:rsidRPr="003D345A" w:rsidRDefault="006D2405" w:rsidP="00484472">
      <w:pPr>
        <w:rPr>
          <w:rFonts w:cs="Arial"/>
        </w:rPr>
      </w:pPr>
      <w:r w:rsidRPr="003D345A">
        <w:rPr>
          <w:rFonts w:cs="Arial"/>
        </w:rPr>
        <w:t xml:space="preserve">Porast </w:t>
      </w:r>
      <w:r w:rsidR="00261863" w:rsidRPr="003D345A">
        <w:rPr>
          <w:rFonts w:cs="Arial"/>
        </w:rPr>
        <w:t xml:space="preserve">broja </w:t>
      </w:r>
      <w:r w:rsidRPr="003D345A">
        <w:rPr>
          <w:rFonts w:cs="Arial"/>
        </w:rPr>
        <w:t>tijela koja su dostavila izvješće za 2025. za 2,4% uočen je kod trgovačkih društava (88,9% u odnosu na 86,5%  2024. godine) i za 1,6% kod udruga (66,7% u odnosu na 65,1% 2024. godine).</w:t>
      </w:r>
    </w:p>
    <w:p w14:paraId="7988D0AA" w14:textId="77777777" w:rsidR="002F4CEC" w:rsidRPr="003D345A" w:rsidRDefault="006D2405" w:rsidP="00484472">
      <w:pPr>
        <w:rPr>
          <w:rFonts w:cs="Arial"/>
        </w:rPr>
      </w:pPr>
      <w:r w:rsidRPr="003D345A">
        <w:rPr>
          <w:rFonts w:cs="Arial"/>
        </w:rPr>
        <w:t xml:space="preserve">S druge strane, blago niža stopa ispunjenja obveze dostave izvješća za 0,6% utvrđena je kod ostalih pravnih osoba i tijela s javnim ovlastima (88,9% u odnosu na 89,5% 2024. godine) i za 0,2 % kod ustanova (94,9% u odnosu na 95,1% 2024. godine). </w:t>
      </w:r>
    </w:p>
    <w:p w14:paraId="34E13A1C" w14:textId="77777777" w:rsidR="007A056C" w:rsidRPr="007A056C" w:rsidRDefault="007A056C" w:rsidP="007A056C">
      <w:pPr>
        <w:rPr>
          <w:rFonts w:cs="Arial"/>
        </w:rPr>
      </w:pPr>
      <w:r w:rsidRPr="007A056C">
        <w:rPr>
          <w:rFonts w:cs="Arial"/>
        </w:rPr>
        <w:t xml:space="preserve">I ove godine je značajan udio tijela koja ne dostavljaju izvješća iz kategorija turističkih zajednica (od 289 na Popisu, njih 29 nije dostavilo izvješće), veterinarskih ambulanti (od 117, izvješće nije dostavilo njih 45), vatrogasnih zajednica i postrojbi (kao i godinu ranije od 293, njih 137 nije dostavilo izvješće). </w:t>
      </w:r>
    </w:p>
    <w:p w14:paraId="12FEB5AC" w14:textId="530F77DA" w:rsidR="007A056C" w:rsidRDefault="007A056C" w:rsidP="00484472">
      <w:pPr>
        <w:pBdr>
          <w:top w:val="single" w:sz="4" w:space="1" w:color="auto"/>
          <w:left w:val="single" w:sz="4" w:space="4" w:color="auto"/>
          <w:bottom w:val="single" w:sz="4" w:space="1" w:color="auto"/>
          <w:right w:val="single" w:sz="4" w:space="4" w:color="auto"/>
        </w:pBdr>
        <w:rPr>
          <w:rFonts w:cs="Arial"/>
        </w:rPr>
      </w:pPr>
      <w:r w:rsidRPr="007A056C">
        <w:rPr>
          <w:rFonts w:cs="Arial"/>
        </w:rPr>
        <w:t>S obzirom na kontinuirani rast tijela javne vlasti koja izvršavaju svoju zakonsku obvezu i redovito dostavljaju izvješća, za potrebe ovog Izvješća napravljena je analiza koliko tijela unazad pet godin</w:t>
      </w:r>
      <w:r w:rsidR="00F97DEE">
        <w:rPr>
          <w:rFonts w:cs="Arial"/>
        </w:rPr>
        <w:t>a</w:t>
      </w:r>
      <w:r w:rsidRPr="007A056C">
        <w:rPr>
          <w:rFonts w:cs="Arial"/>
        </w:rPr>
        <w:t>, od 2021. do 2025. godine, nikada nije dostavilo godišnje izvješće.</w:t>
      </w:r>
    </w:p>
    <w:p w14:paraId="6FB90497" w14:textId="76C89813" w:rsidR="005435D5" w:rsidRPr="003D345A" w:rsidRDefault="005435D5" w:rsidP="00484472">
      <w:pPr>
        <w:pBdr>
          <w:top w:val="single" w:sz="4" w:space="1" w:color="auto"/>
          <w:left w:val="single" w:sz="4" w:space="4" w:color="auto"/>
          <w:bottom w:val="single" w:sz="4" w:space="1" w:color="auto"/>
          <w:right w:val="single" w:sz="4" w:space="4" w:color="auto"/>
        </w:pBdr>
        <w:rPr>
          <w:rFonts w:cs="Arial"/>
        </w:rPr>
      </w:pPr>
      <w:r w:rsidRPr="003D345A">
        <w:rPr>
          <w:rFonts w:cs="Arial"/>
        </w:rPr>
        <w:t xml:space="preserve">Prema rezultatima navedene analize, 215 tijela javne vlasti pet godina </w:t>
      </w:r>
      <w:r w:rsidR="00F97DEE" w:rsidRPr="003D345A">
        <w:rPr>
          <w:rFonts w:cs="Arial"/>
        </w:rPr>
        <w:t xml:space="preserve">unazad, zaredom,  </w:t>
      </w:r>
      <w:r w:rsidRPr="003D345A">
        <w:rPr>
          <w:rFonts w:cs="Arial"/>
        </w:rPr>
        <w:t xml:space="preserve">nisu dostavila izvješće za prethodnu godinu. Riječ je o 113 vatrogasnih zajednica i postrojbi, 39 trgovačkih društava od kojih 27 veterinarskih stanica, 22 obrazovne ustanove (15 predškolskih ustanova, 1 osnovnoškolska ustanova, 4 srednjoškolske ustanove i 2 visokoškolske ustanove), 16 ustanova u kulturi (8 knjižnica, 4 muzeja, 3 kulturna centra i 1 kazalište), 8 </w:t>
      </w:r>
      <w:r w:rsidR="0014559D" w:rsidRPr="003D345A">
        <w:rPr>
          <w:rFonts w:cs="Arial"/>
        </w:rPr>
        <w:t>tijela iz područja sporta</w:t>
      </w:r>
      <w:r w:rsidRPr="003D345A">
        <w:rPr>
          <w:rFonts w:cs="Arial"/>
        </w:rPr>
        <w:t xml:space="preserve"> (5 nacionalnih sportskih saveza i 3 ustanove u sportu), 7 domova za starije, 4 turističke zajednice,  3 zdravstvene ustanove, </w:t>
      </w:r>
      <w:r w:rsidR="007F355E" w:rsidRPr="003D345A">
        <w:rPr>
          <w:rFonts w:cs="Arial"/>
        </w:rPr>
        <w:t>te 3 ostala tijela</w:t>
      </w:r>
      <w:r w:rsidRPr="003D345A">
        <w:rPr>
          <w:rFonts w:cs="Arial"/>
        </w:rPr>
        <w:t>.</w:t>
      </w:r>
    </w:p>
    <w:p w14:paraId="090B1786" w14:textId="77777777" w:rsidR="00093873" w:rsidRPr="00093873" w:rsidRDefault="00093873" w:rsidP="00484472">
      <w:pPr>
        <w:pBdr>
          <w:top w:val="single" w:sz="4" w:space="1" w:color="auto"/>
          <w:left w:val="single" w:sz="4" w:space="4" w:color="auto"/>
          <w:bottom w:val="single" w:sz="4" w:space="1" w:color="auto"/>
          <w:right w:val="single" w:sz="4" w:space="4" w:color="auto"/>
        </w:pBdr>
        <w:rPr>
          <w:rFonts w:cs="Arial"/>
        </w:rPr>
      </w:pPr>
      <w:r w:rsidRPr="00093873">
        <w:rPr>
          <w:rFonts w:cs="Arial"/>
        </w:rPr>
        <w:t xml:space="preserve">Većina tijela koja ne dostavljaju izvješće u pravilu nemaju imenovanog službenika za informiranje (dječji vrtići, domovi za starije i nemoćne, muzeji i druge kulturne ustanove, veterinarske ambulante, komunalna društva, turističke i vatrogasne zajednice), a često ni vlastite internetske stranice. </w:t>
      </w:r>
    </w:p>
    <w:p w14:paraId="09923810" w14:textId="77777777" w:rsidR="00093873" w:rsidRPr="00093873" w:rsidRDefault="00093873" w:rsidP="00484472">
      <w:pPr>
        <w:pBdr>
          <w:top w:val="single" w:sz="4" w:space="1" w:color="auto"/>
          <w:left w:val="single" w:sz="4" w:space="4" w:color="auto"/>
          <w:bottom w:val="single" w:sz="4" w:space="1" w:color="auto"/>
          <w:right w:val="single" w:sz="4" w:space="4" w:color="auto"/>
        </w:pBdr>
        <w:rPr>
          <w:rFonts w:cs="Arial"/>
        </w:rPr>
      </w:pPr>
      <w:r w:rsidRPr="00093873">
        <w:rPr>
          <w:rFonts w:cs="Arial"/>
        </w:rPr>
        <w:t>S druge strane, neka tijela ne dostavljaju izvješća jer se ne smatraju obveznicima primjene ZPPI-ja ili nisu prepoznala postojanje obveza koje proizlaze iz Zakona (npr. turističke i vatrogasne zajednice, sportski savezi, trgovačka društva u vlasništvu jedinica lokalne samouprave i ona koja su osnovala druga trgovačka društva ili tijela javne vlasti, privatne ustanove, odnosno privatni vrtići, škole i ustanove socijalne skrbi).</w:t>
      </w:r>
    </w:p>
    <w:p w14:paraId="5B88196C" w14:textId="77777777" w:rsidR="00CD20D9" w:rsidRDefault="00093873" w:rsidP="00484472">
      <w:pPr>
        <w:pBdr>
          <w:top w:val="single" w:sz="4" w:space="1" w:color="auto"/>
          <w:left w:val="single" w:sz="4" w:space="4" w:color="auto"/>
          <w:bottom w:val="single" w:sz="4" w:space="1" w:color="auto"/>
          <w:right w:val="single" w:sz="4" w:space="4" w:color="auto"/>
        </w:pBdr>
        <w:rPr>
          <w:rFonts w:cs="Arial"/>
        </w:rPr>
      </w:pPr>
      <w:r w:rsidRPr="00093873">
        <w:rPr>
          <w:rFonts w:cs="Arial"/>
        </w:rPr>
        <w:t>S obzirom na probleme u praksi koji postoje od stupanja na snagu Zakona, potrebno je preispitati važeću definiciju tijela javne vlasti i krug obveznika primjene Zakona.</w:t>
      </w:r>
    </w:p>
    <w:p w14:paraId="15F166B3" w14:textId="31AD2C45" w:rsidR="00340F98" w:rsidRPr="00F0315E" w:rsidRDefault="00340F98" w:rsidP="00CD20D9">
      <w:r w:rsidRPr="00F0315E">
        <w:br w:type="page"/>
      </w:r>
    </w:p>
    <w:p w14:paraId="13310CD7" w14:textId="710BC78A" w:rsidR="00FD3A68" w:rsidRPr="00F0315E" w:rsidRDefault="00F97385" w:rsidP="00383DF7">
      <w:pPr>
        <w:pStyle w:val="Naslov1"/>
        <w:numPr>
          <w:ilvl w:val="0"/>
          <w:numId w:val="0"/>
        </w:numPr>
        <w:tabs>
          <w:tab w:val="clear" w:pos="426"/>
        </w:tabs>
        <w:ind w:left="1134"/>
      </w:pPr>
      <w:bookmarkStart w:id="15" w:name="_Toc162445716"/>
      <w:bookmarkStart w:id="16" w:name="_Toc65833411"/>
      <w:bookmarkStart w:id="17" w:name="_Toc162445717"/>
      <w:bookmarkStart w:id="18" w:name="_Toc225865556"/>
      <w:r>
        <w:lastRenderedPageBreak/>
        <w:t>A)</w:t>
      </w:r>
      <w:r>
        <w:tab/>
        <w:t>POSTUPANJE PO ZAHTJEVIMA KORISNIKA I ZAŠTITA PRAVA NA PRISTUP INFORMACIJAMA</w:t>
      </w:r>
      <w:bookmarkStart w:id="19" w:name="_Toc414813660"/>
      <w:bookmarkEnd w:id="15"/>
      <w:bookmarkEnd w:id="16"/>
      <w:bookmarkEnd w:id="17"/>
      <w:bookmarkEnd w:id="18"/>
    </w:p>
    <w:p w14:paraId="777E920D" w14:textId="2DC11B72" w:rsidR="00604114" w:rsidRPr="00604114" w:rsidRDefault="00604114" w:rsidP="6375E68C">
      <w:pPr>
        <w:pStyle w:val="Naslov1"/>
      </w:pPr>
      <w:bookmarkStart w:id="20" w:name="_Toc225767785"/>
      <w:bookmarkStart w:id="21" w:name="_Toc225865557"/>
      <w:bookmarkStart w:id="22" w:name="_Toc65833412"/>
      <w:bookmarkStart w:id="23" w:name="_Toc162445718"/>
      <w:bookmarkStart w:id="24" w:name="_Toc225694174"/>
      <w:bookmarkEnd w:id="20"/>
      <w:r w:rsidRPr="7D481D26">
        <w:t xml:space="preserve">Postupanje </w:t>
      </w:r>
      <w:r>
        <w:t>tijela javne vlasti po zahtjevima korisnika</w:t>
      </w:r>
      <w:bookmarkEnd w:id="21"/>
    </w:p>
    <w:p w14:paraId="3710CBDE" w14:textId="6A6D2057" w:rsidR="00604114" w:rsidRPr="00604114" w:rsidRDefault="00604114" w:rsidP="00811052">
      <w:pPr>
        <w:pStyle w:val="Naslov2"/>
        <w:ind w:left="1276" w:hanging="567"/>
      </w:pPr>
      <w:bookmarkStart w:id="25" w:name="_Toc225865558"/>
      <w:r w:rsidRPr="7D481D26">
        <w:t>Zaprimljeni zahtjevi</w:t>
      </w:r>
      <w:bookmarkStart w:id="26" w:name="_Toc162445719"/>
      <w:bookmarkEnd w:id="22"/>
      <w:bookmarkEnd w:id="23"/>
      <w:bookmarkEnd w:id="24"/>
      <w:bookmarkEnd w:id="25"/>
    </w:p>
    <w:p w14:paraId="1A596338" w14:textId="202B1647" w:rsidR="001D4AA2" w:rsidRPr="001D4AA2" w:rsidRDefault="001D4AA2" w:rsidP="001D4AA2">
      <w:pPr>
        <w:rPr>
          <w:rFonts w:eastAsia="Times New Roman" w:cs="Segoe UI"/>
        </w:rPr>
      </w:pPr>
      <w:r w:rsidRPr="001D4AA2">
        <w:rPr>
          <w:rFonts w:eastAsia="Times New Roman" w:cs="Segoe UI"/>
        </w:rPr>
        <w:t xml:space="preserve">Obradom podataka iz pristiglih izvješća utvrđuje se statistika broja zaprimljenih zahtjeva i načina njihova rješavanja na godišnjoj razini. Međutim, </w:t>
      </w:r>
      <w:r w:rsidR="00A531F3" w:rsidRPr="00A531F3">
        <w:rPr>
          <w:rFonts w:eastAsia="Times New Roman" w:cs="Segoe UI"/>
        </w:rPr>
        <w:t>navedene podatke potrebno je uzeti s rezervom jer pojedina tijela kontinuirano razne upite i traženja korisnika koji se ne rješavaju temeljem odredbi ZPPI-ja identificiraju kao zahtjeve za pristup informacijama</w:t>
      </w:r>
      <w:r w:rsidRPr="001D4AA2">
        <w:rPr>
          <w:rFonts w:eastAsia="Times New Roman" w:cs="Segoe UI"/>
        </w:rPr>
        <w:t xml:space="preserve">. </w:t>
      </w:r>
    </w:p>
    <w:p w14:paraId="7240243F" w14:textId="63C68A11" w:rsidR="001D4AA2" w:rsidRPr="00477EFE" w:rsidRDefault="001D4AA2" w:rsidP="00477EFE">
      <w:pPr>
        <w:pBdr>
          <w:top w:val="single" w:sz="4" w:space="1" w:color="auto"/>
          <w:left w:val="single" w:sz="4" w:space="4" w:color="auto"/>
          <w:bottom w:val="single" w:sz="4" w:space="1" w:color="auto"/>
          <w:right w:val="single" w:sz="4" w:space="4" w:color="auto"/>
        </w:pBdr>
        <w:rPr>
          <w:rFonts w:eastAsia="Times New Roman" w:cs="Times New Roman"/>
        </w:rPr>
      </w:pPr>
      <w:r w:rsidRPr="00477EFE">
        <w:rPr>
          <w:rFonts w:eastAsia="Times New Roman" w:cs="Times New Roman"/>
        </w:rPr>
        <w:t>Prema dostavljenim podacima od strane 5.28</w:t>
      </w:r>
      <w:r w:rsidR="00807745" w:rsidRPr="00477EFE">
        <w:rPr>
          <w:rFonts w:eastAsia="Times New Roman" w:cs="Times New Roman"/>
        </w:rPr>
        <w:t>0</w:t>
      </w:r>
      <w:r w:rsidRPr="00477EFE">
        <w:rPr>
          <w:rFonts w:eastAsia="Times New Roman" w:cs="Times New Roman"/>
        </w:rPr>
        <w:t xml:space="preserve"> tijela, proizlazi da je 1.886 tijela (36%)</w:t>
      </w:r>
      <w:r w:rsidR="0068657D" w:rsidRPr="00477EFE">
        <w:rPr>
          <w:rFonts w:eastAsia="Times New Roman" w:cs="Times New Roman"/>
        </w:rPr>
        <w:t xml:space="preserve"> koja su dostavila izvješće</w:t>
      </w:r>
      <w:r w:rsidRPr="00477EFE">
        <w:rPr>
          <w:rFonts w:eastAsia="Times New Roman" w:cs="Times New Roman"/>
        </w:rPr>
        <w:t>, 0,7% manje tijela nego godinu ranije, odnosno 33% tijela od ukupnog broja tijela koja se nalaze na Popisu, tijekom 2025. zaprimilo ukupno 20.453 zahtjeva.</w:t>
      </w:r>
    </w:p>
    <w:p w14:paraId="7AEB665A" w14:textId="300269E0" w:rsidR="00F94F2A" w:rsidRPr="00F0315E" w:rsidRDefault="00F94F2A" w:rsidP="00F0315E">
      <w:pPr>
        <w:keepNext/>
        <w:widowControl w:val="0"/>
        <w:spacing w:before="240"/>
        <w:rPr>
          <w:rFonts w:cs="Arial"/>
          <w:sz w:val="18"/>
          <w:szCs w:val="18"/>
        </w:rPr>
      </w:pPr>
      <w:r w:rsidRPr="00F0315E">
        <w:rPr>
          <w:rFonts w:cs="Arial"/>
          <w:sz w:val="18"/>
          <w:szCs w:val="18"/>
        </w:rPr>
        <w:t xml:space="preserve">Tablica </w:t>
      </w:r>
      <w:r w:rsidR="00E35ECB" w:rsidRPr="00F0315E">
        <w:rPr>
          <w:rFonts w:cs="Arial"/>
          <w:sz w:val="18"/>
          <w:szCs w:val="18"/>
        </w:rPr>
        <w:t>3</w:t>
      </w:r>
      <w:r w:rsidRPr="00F0315E">
        <w:rPr>
          <w:rFonts w:cs="Arial"/>
          <w:sz w:val="18"/>
          <w:szCs w:val="18"/>
        </w:rPr>
        <w:t>.1. Ukupan broj zaprimljenih zahtjeva 202</w:t>
      </w:r>
      <w:r w:rsidR="001D4AA2">
        <w:rPr>
          <w:rFonts w:cs="Arial"/>
          <w:sz w:val="18"/>
          <w:szCs w:val="18"/>
        </w:rPr>
        <w:t>1</w:t>
      </w:r>
      <w:r w:rsidR="00A97BF9">
        <w:rPr>
          <w:rFonts w:cs="Arial"/>
          <w:sz w:val="18"/>
          <w:szCs w:val="18"/>
        </w:rPr>
        <w:t>.</w:t>
      </w:r>
      <w:r w:rsidRPr="00F0315E">
        <w:rPr>
          <w:rFonts w:cs="Arial"/>
          <w:sz w:val="18"/>
          <w:szCs w:val="18"/>
        </w:rPr>
        <w:t>-202</w:t>
      </w:r>
      <w:r w:rsidR="00534374">
        <w:rPr>
          <w:rFonts w:cs="Arial"/>
          <w:sz w:val="18"/>
          <w:szCs w:val="18"/>
        </w:rPr>
        <w:t>5</w:t>
      </w:r>
      <w:r w:rsidRPr="00F0315E">
        <w:rPr>
          <w:rFonts w:cs="Arial"/>
          <w:sz w:val="18"/>
          <w:szCs w:val="18"/>
        </w:rPr>
        <w:t>.</w:t>
      </w:r>
    </w:p>
    <w:tbl>
      <w:tblPr>
        <w:tblStyle w:val="Tablicareetke3-isticanje11"/>
        <w:tblW w:w="8805" w:type="dxa"/>
        <w:jc w:val="center"/>
        <w:tblLook w:val="04E0" w:firstRow="1" w:lastRow="1" w:firstColumn="1" w:lastColumn="0" w:noHBand="0" w:noVBand="1"/>
      </w:tblPr>
      <w:tblGrid>
        <w:gridCol w:w="3505"/>
        <w:gridCol w:w="1060"/>
        <w:gridCol w:w="1060"/>
        <w:gridCol w:w="1060"/>
        <w:gridCol w:w="1060"/>
        <w:gridCol w:w="1060"/>
      </w:tblGrid>
      <w:tr w:rsidR="001D4AA2" w:rsidRPr="005E1FCB" w14:paraId="17134841" w14:textId="77777777" w:rsidTr="000463DD">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100" w:firstRow="0" w:lastRow="0" w:firstColumn="1" w:lastColumn="0" w:oddVBand="0" w:evenVBand="0" w:oddHBand="0" w:evenHBand="0" w:firstRowFirstColumn="1" w:firstRowLastColumn="0" w:lastRowFirstColumn="0" w:lastRowLastColumn="0"/>
            <w:tcW w:w="3505" w:type="dxa"/>
            <w:tcBorders>
              <w:top w:val="single" w:sz="4" w:space="0" w:color="8EAADB" w:themeColor="accent1" w:themeTint="99"/>
            </w:tcBorders>
            <w:vAlign w:val="center"/>
            <w:hideMark/>
          </w:tcPr>
          <w:p w14:paraId="33C28F9F" w14:textId="69F0E44F" w:rsidR="001D4AA2" w:rsidRPr="005E1FCB" w:rsidRDefault="001D4AA2" w:rsidP="001D4AA2">
            <w:pPr>
              <w:spacing w:before="60" w:after="60"/>
              <w:jc w:val="center"/>
              <w:rPr>
                <w:rFonts w:ascii="Roboto" w:hAnsi="Roboto"/>
                <w:i w:val="0"/>
                <w:iCs w:val="0"/>
                <w:sz w:val="18"/>
                <w:szCs w:val="18"/>
              </w:rPr>
            </w:pPr>
            <w:r w:rsidRPr="005E1FCB">
              <w:rPr>
                <w:rFonts w:ascii="Roboto" w:hAnsi="Roboto"/>
                <w:i w:val="0"/>
                <w:iCs w:val="0"/>
                <w:sz w:val="18"/>
                <w:szCs w:val="18"/>
              </w:rPr>
              <w:t>Broj zaprimljenih zahtjeva</w:t>
            </w:r>
          </w:p>
        </w:tc>
        <w:tc>
          <w:tcPr>
            <w:tcW w:w="1060" w:type="dxa"/>
            <w:tcBorders>
              <w:top w:val="single" w:sz="4" w:space="0" w:color="8EAADB" w:themeColor="accent1" w:themeTint="99"/>
              <w:bottom w:val="single" w:sz="4" w:space="0" w:color="45B0E1"/>
            </w:tcBorders>
            <w:hideMark/>
          </w:tcPr>
          <w:p w14:paraId="4A0C833B" w14:textId="61DA2C0A" w:rsidR="001D4AA2" w:rsidRPr="001D4AA2" w:rsidRDefault="001D4AA2" w:rsidP="001D4AA2">
            <w:pPr>
              <w:spacing w:before="60" w:after="60"/>
              <w:jc w:val="center"/>
              <w:cnfStyle w:val="100000000000" w:firstRow="1" w:lastRow="0" w:firstColumn="0" w:lastColumn="0" w:oddVBand="0" w:evenVBand="0" w:oddHBand="0" w:evenHBand="0" w:firstRowFirstColumn="0" w:firstRowLastColumn="0" w:lastRowFirstColumn="0" w:lastRowLastColumn="0"/>
              <w:rPr>
                <w:rFonts w:ascii="Roboto" w:hAnsi="Roboto"/>
                <w:sz w:val="18"/>
                <w:szCs w:val="18"/>
              </w:rPr>
            </w:pPr>
            <w:r w:rsidRPr="001D4AA2">
              <w:rPr>
                <w:rFonts w:ascii="Roboto" w:hAnsi="Roboto"/>
                <w:sz w:val="18"/>
                <w:szCs w:val="18"/>
              </w:rPr>
              <w:t>2021.</w:t>
            </w:r>
          </w:p>
        </w:tc>
        <w:tc>
          <w:tcPr>
            <w:tcW w:w="1060" w:type="dxa"/>
            <w:tcBorders>
              <w:top w:val="single" w:sz="4" w:space="0" w:color="8EAADB" w:themeColor="accent1" w:themeTint="99"/>
              <w:bottom w:val="single" w:sz="4" w:space="0" w:color="45B0E1"/>
            </w:tcBorders>
            <w:hideMark/>
          </w:tcPr>
          <w:p w14:paraId="5D133850" w14:textId="4D4DBDDE" w:rsidR="001D4AA2" w:rsidRPr="001D4AA2" w:rsidRDefault="001D4AA2" w:rsidP="001D4AA2">
            <w:pPr>
              <w:spacing w:before="60" w:after="60"/>
              <w:jc w:val="center"/>
              <w:cnfStyle w:val="100000000000" w:firstRow="1" w:lastRow="0" w:firstColumn="0" w:lastColumn="0" w:oddVBand="0" w:evenVBand="0" w:oddHBand="0" w:evenHBand="0" w:firstRowFirstColumn="0" w:firstRowLastColumn="0" w:lastRowFirstColumn="0" w:lastRowLastColumn="0"/>
              <w:rPr>
                <w:rFonts w:ascii="Roboto" w:hAnsi="Roboto"/>
                <w:sz w:val="18"/>
                <w:szCs w:val="18"/>
              </w:rPr>
            </w:pPr>
            <w:r w:rsidRPr="001D4AA2">
              <w:rPr>
                <w:rFonts w:ascii="Roboto" w:hAnsi="Roboto"/>
                <w:sz w:val="18"/>
                <w:szCs w:val="18"/>
              </w:rPr>
              <w:t>2022.</w:t>
            </w:r>
          </w:p>
        </w:tc>
        <w:tc>
          <w:tcPr>
            <w:tcW w:w="1060" w:type="dxa"/>
            <w:tcBorders>
              <w:top w:val="single" w:sz="4" w:space="0" w:color="8EAADB" w:themeColor="accent1" w:themeTint="99"/>
              <w:bottom w:val="single" w:sz="4" w:space="0" w:color="45B0E1"/>
            </w:tcBorders>
            <w:hideMark/>
          </w:tcPr>
          <w:p w14:paraId="456432A6" w14:textId="6D5F92A6" w:rsidR="001D4AA2" w:rsidRPr="001D4AA2" w:rsidRDefault="001D4AA2" w:rsidP="001D4AA2">
            <w:pPr>
              <w:spacing w:before="60" w:after="60"/>
              <w:jc w:val="center"/>
              <w:cnfStyle w:val="100000000000" w:firstRow="1" w:lastRow="0" w:firstColumn="0" w:lastColumn="0" w:oddVBand="0" w:evenVBand="0" w:oddHBand="0" w:evenHBand="0" w:firstRowFirstColumn="0" w:firstRowLastColumn="0" w:lastRowFirstColumn="0" w:lastRowLastColumn="0"/>
              <w:rPr>
                <w:rFonts w:ascii="Roboto" w:hAnsi="Roboto"/>
                <w:sz w:val="18"/>
                <w:szCs w:val="18"/>
              </w:rPr>
            </w:pPr>
            <w:r w:rsidRPr="001D4AA2">
              <w:rPr>
                <w:rFonts w:ascii="Roboto" w:hAnsi="Roboto"/>
                <w:sz w:val="18"/>
                <w:szCs w:val="18"/>
              </w:rPr>
              <w:t>2023.</w:t>
            </w:r>
          </w:p>
        </w:tc>
        <w:tc>
          <w:tcPr>
            <w:tcW w:w="1060" w:type="dxa"/>
            <w:tcBorders>
              <w:top w:val="single" w:sz="4" w:space="0" w:color="8EAADB" w:themeColor="accent1" w:themeTint="99"/>
              <w:bottom w:val="single" w:sz="4" w:space="0" w:color="45B0E1"/>
            </w:tcBorders>
            <w:hideMark/>
          </w:tcPr>
          <w:p w14:paraId="2FF7DF20" w14:textId="70F3F1A1" w:rsidR="001D4AA2" w:rsidRPr="001D4AA2" w:rsidRDefault="001D4AA2" w:rsidP="001D4AA2">
            <w:pPr>
              <w:spacing w:before="60" w:after="60"/>
              <w:jc w:val="center"/>
              <w:cnfStyle w:val="100000000000" w:firstRow="1" w:lastRow="0" w:firstColumn="0" w:lastColumn="0" w:oddVBand="0" w:evenVBand="0" w:oddHBand="0" w:evenHBand="0" w:firstRowFirstColumn="0" w:firstRowLastColumn="0" w:lastRowFirstColumn="0" w:lastRowLastColumn="0"/>
              <w:rPr>
                <w:rFonts w:ascii="Roboto" w:hAnsi="Roboto"/>
                <w:sz w:val="18"/>
                <w:szCs w:val="18"/>
              </w:rPr>
            </w:pPr>
            <w:r w:rsidRPr="001D4AA2">
              <w:rPr>
                <w:rFonts w:ascii="Roboto" w:hAnsi="Roboto"/>
                <w:sz w:val="18"/>
                <w:szCs w:val="18"/>
              </w:rPr>
              <w:t>2024.</w:t>
            </w:r>
          </w:p>
        </w:tc>
        <w:tc>
          <w:tcPr>
            <w:tcW w:w="1060" w:type="dxa"/>
            <w:tcBorders>
              <w:top w:val="single" w:sz="4" w:space="0" w:color="8EAADB" w:themeColor="accent1" w:themeTint="99"/>
              <w:bottom w:val="single" w:sz="4" w:space="0" w:color="45B0E1"/>
            </w:tcBorders>
            <w:hideMark/>
          </w:tcPr>
          <w:p w14:paraId="533799C7" w14:textId="119CD3D7" w:rsidR="001D4AA2" w:rsidRPr="001D4AA2" w:rsidRDefault="001D4AA2" w:rsidP="001D4AA2">
            <w:pPr>
              <w:spacing w:before="60" w:after="60"/>
              <w:jc w:val="center"/>
              <w:cnfStyle w:val="100000000000" w:firstRow="1" w:lastRow="0" w:firstColumn="0" w:lastColumn="0" w:oddVBand="0" w:evenVBand="0" w:oddHBand="0" w:evenHBand="0" w:firstRowFirstColumn="0" w:firstRowLastColumn="0" w:lastRowFirstColumn="0" w:lastRowLastColumn="0"/>
              <w:rPr>
                <w:rFonts w:ascii="Roboto" w:hAnsi="Roboto"/>
                <w:sz w:val="18"/>
                <w:szCs w:val="18"/>
              </w:rPr>
            </w:pPr>
            <w:r w:rsidRPr="001D4AA2">
              <w:rPr>
                <w:rFonts w:ascii="Roboto" w:hAnsi="Roboto"/>
                <w:sz w:val="18"/>
                <w:szCs w:val="18"/>
              </w:rPr>
              <w:t>2025.</w:t>
            </w:r>
          </w:p>
        </w:tc>
      </w:tr>
      <w:tr w:rsidR="001D4AA2" w:rsidRPr="00BF0F8B" w14:paraId="0D6F2EE5" w14:textId="77777777" w:rsidTr="000463DD">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505" w:type="dxa"/>
            <w:tcBorders>
              <w:top w:val="single" w:sz="4" w:space="0" w:color="45B0E1"/>
              <w:bottom w:val="single" w:sz="4" w:space="0" w:color="8EAADB" w:themeColor="accent1" w:themeTint="99"/>
              <w:right w:val="nil"/>
            </w:tcBorders>
            <w:shd w:val="clear" w:color="auto" w:fill="D9E2F3" w:themeFill="accent1" w:themeFillTint="33"/>
            <w:vAlign w:val="center"/>
            <w:hideMark/>
          </w:tcPr>
          <w:p w14:paraId="59C79ABC" w14:textId="3AB2BC95" w:rsidR="001D4AA2" w:rsidRPr="001878B4" w:rsidRDefault="001D4AA2" w:rsidP="001D4AA2">
            <w:pPr>
              <w:snapToGrid w:val="0"/>
              <w:spacing w:beforeLines="20" w:before="48" w:afterLines="20" w:after="48"/>
              <w:jc w:val="left"/>
              <w:rPr>
                <w:rFonts w:ascii="Roboto" w:eastAsia="Calibri" w:hAnsi="Roboto" w:cs="Arial"/>
                <w:bCs/>
                <w:i w:val="0"/>
                <w:iCs w:val="0"/>
                <w:sz w:val="18"/>
                <w:szCs w:val="18"/>
              </w:rPr>
            </w:pPr>
            <w:r w:rsidRPr="001878B4">
              <w:rPr>
                <w:rFonts w:ascii="Roboto" w:eastAsia="Calibri" w:hAnsi="Roboto" w:cs="Arial"/>
                <w:bCs/>
                <w:i w:val="0"/>
                <w:iCs w:val="0"/>
                <w:sz w:val="18"/>
                <w:szCs w:val="18"/>
              </w:rPr>
              <w:t>Zahtjevi za pristup informacijama</w:t>
            </w:r>
          </w:p>
        </w:tc>
        <w:tc>
          <w:tcPr>
            <w:tcW w:w="1060" w:type="dxa"/>
            <w:tcBorders>
              <w:top w:val="single" w:sz="4" w:space="0" w:color="45B0E1"/>
              <w:left w:val="nil"/>
              <w:bottom w:val="single" w:sz="4" w:space="0" w:color="8EAADB" w:themeColor="accent1" w:themeTint="99"/>
              <w:right w:val="nil"/>
            </w:tcBorders>
            <w:shd w:val="clear" w:color="auto" w:fill="D9E2F3" w:themeFill="accent1" w:themeFillTint="33"/>
            <w:hideMark/>
          </w:tcPr>
          <w:p w14:paraId="5988162E" w14:textId="2E29B47C" w:rsidR="001D4AA2" w:rsidRPr="001D4AA2" w:rsidRDefault="001D4AA2" w:rsidP="001D4AA2">
            <w:pPr>
              <w:snapToGri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18.246</w:t>
            </w:r>
          </w:p>
        </w:tc>
        <w:tc>
          <w:tcPr>
            <w:tcW w:w="1060" w:type="dxa"/>
            <w:tcBorders>
              <w:top w:val="single" w:sz="4" w:space="0" w:color="45B0E1"/>
              <w:left w:val="nil"/>
              <w:bottom w:val="single" w:sz="4" w:space="0" w:color="8EAADB" w:themeColor="accent1" w:themeTint="99"/>
              <w:right w:val="nil"/>
            </w:tcBorders>
            <w:shd w:val="clear" w:color="auto" w:fill="D9E2F3" w:themeFill="accent1" w:themeFillTint="33"/>
            <w:hideMark/>
          </w:tcPr>
          <w:p w14:paraId="54C7D487" w14:textId="75259969" w:rsidR="001D4AA2" w:rsidRPr="001D4AA2" w:rsidRDefault="001D4AA2" w:rsidP="001D4AA2">
            <w:pPr>
              <w:snapToGri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23.275</w:t>
            </w:r>
          </w:p>
        </w:tc>
        <w:tc>
          <w:tcPr>
            <w:tcW w:w="1060" w:type="dxa"/>
            <w:tcBorders>
              <w:top w:val="single" w:sz="4" w:space="0" w:color="45B0E1"/>
              <w:left w:val="nil"/>
              <w:bottom w:val="single" w:sz="4" w:space="0" w:color="8EAADB" w:themeColor="accent1" w:themeTint="99"/>
              <w:right w:val="nil"/>
            </w:tcBorders>
            <w:shd w:val="clear" w:color="auto" w:fill="D9E2F3" w:themeFill="accent1" w:themeFillTint="33"/>
            <w:hideMark/>
          </w:tcPr>
          <w:p w14:paraId="11311583" w14:textId="187CFCA8" w:rsidR="001D4AA2" w:rsidRPr="001D4AA2" w:rsidRDefault="001D4AA2" w:rsidP="001D4AA2">
            <w:pPr>
              <w:snapToGri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23.485</w:t>
            </w:r>
          </w:p>
        </w:tc>
        <w:tc>
          <w:tcPr>
            <w:tcW w:w="1060" w:type="dxa"/>
            <w:tcBorders>
              <w:top w:val="single" w:sz="4" w:space="0" w:color="45B0E1"/>
              <w:left w:val="nil"/>
              <w:bottom w:val="single" w:sz="4" w:space="0" w:color="8EAADB" w:themeColor="accent1" w:themeTint="99"/>
              <w:right w:val="nil"/>
            </w:tcBorders>
            <w:shd w:val="clear" w:color="auto" w:fill="D9E2F3" w:themeFill="accent1" w:themeFillTint="33"/>
            <w:hideMark/>
          </w:tcPr>
          <w:p w14:paraId="23130D98" w14:textId="1B8CE62F" w:rsidR="001D4AA2" w:rsidRPr="001D4AA2" w:rsidRDefault="001D4AA2" w:rsidP="001D4AA2">
            <w:pPr>
              <w:snapToGri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16.915</w:t>
            </w:r>
          </w:p>
        </w:tc>
        <w:tc>
          <w:tcPr>
            <w:tcW w:w="1060" w:type="dxa"/>
            <w:tcBorders>
              <w:top w:val="single" w:sz="4" w:space="0" w:color="45B0E1"/>
              <w:left w:val="nil"/>
              <w:bottom w:val="single" w:sz="4" w:space="0" w:color="8EAADB" w:themeColor="accent1" w:themeTint="99"/>
              <w:right w:val="nil"/>
            </w:tcBorders>
            <w:shd w:val="clear" w:color="auto" w:fill="D9E2F3" w:themeFill="accent1" w:themeFillTint="33"/>
            <w:hideMark/>
          </w:tcPr>
          <w:p w14:paraId="2CFD533E" w14:textId="25267E66" w:rsidR="001D4AA2" w:rsidRPr="001D4AA2" w:rsidRDefault="001D4AA2" w:rsidP="001D4AA2">
            <w:pPr>
              <w:snapToGri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18.677</w:t>
            </w:r>
          </w:p>
        </w:tc>
      </w:tr>
      <w:tr w:rsidR="001D4AA2" w:rsidRPr="00BF0F8B" w14:paraId="7B2F379F" w14:textId="77777777" w:rsidTr="000463DD">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505" w:type="dxa"/>
            <w:tcBorders>
              <w:top w:val="single" w:sz="4" w:space="0" w:color="8EAADB" w:themeColor="accent1" w:themeTint="99"/>
              <w:bottom w:val="single" w:sz="4" w:space="0" w:color="8EAADB" w:themeColor="accent1" w:themeTint="99"/>
              <w:right w:val="nil"/>
            </w:tcBorders>
            <w:vAlign w:val="center"/>
            <w:hideMark/>
          </w:tcPr>
          <w:p w14:paraId="7D66B199" w14:textId="6646BA78" w:rsidR="001D4AA2" w:rsidRPr="001878B4" w:rsidRDefault="001D4AA2" w:rsidP="001D4AA2">
            <w:pPr>
              <w:snapToGrid w:val="0"/>
              <w:spacing w:beforeLines="20" w:before="48" w:afterLines="20" w:after="48"/>
              <w:jc w:val="left"/>
              <w:rPr>
                <w:rFonts w:ascii="Roboto" w:eastAsia="Calibri" w:hAnsi="Roboto" w:cs="Arial"/>
                <w:bCs/>
                <w:i w:val="0"/>
                <w:iCs w:val="0"/>
                <w:sz w:val="18"/>
                <w:szCs w:val="18"/>
              </w:rPr>
            </w:pPr>
            <w:r w:rsidRPr="001878B4">
              <w:rPr>
                <w:rFonts w:ascii="Roboto" w:eastAsia="Calibri" w:hAnsi="Roboto" w:cs="Arial"/>
                <w:bCs/>
                <w:i w:val="0"/>
                <w:iCs w:val="0"/>
                <w:sz w:val="18"/>
                <w:szCs w:val="18"/>
              </w:rPr>
              <w:t>Zahtjevi za dopunu/ispravak informacije</w:t>
            </w:r>
          </w:p>
        </w:tc>
        <w:tc>
          <w:tcPr>
            <w:tcW w:w="1060" w:type="dxa"/>
            <w:tcBorders>
              <w:top w:val="single" w:sz="4" w:space="0" w:color="8EAADB" w:themeColor="accent1" w:themeTint="99"/>
              <w:left w:val="nil"/>
              <w:bottom w:val="single" w:sz="4" w:space="0" w:color="8EAADB" w:themeColor="accent1" w:themeTint="99"/>
              <w:right w:val="nil"/>
            </w:tcBorders>
            <w:hideMark/>
          </w:tcPr>
          <w:p w14:paraId="67B83370" w14:textId="38005E64" w:rsidR="001D4AA2" w:rsidRPr="001D4AA2" w:rsidRDefault="001D4AA2" w:rsidP="001D4AA2">
            <w:pPr>
              <w:snapToGri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w:t>
            </w:r>
          </w:p>
        </w:tc>
        <w:tc>
          <w:tcPr>
            <w:tcW w:w="1060" w:type="dxa"/>
            <w:tcBorders>
              <w:top w:val="single" w:sz="4" w:space="0" w:color="8EAADB" w:themeColor="accent1" w:themeTint="99"/>
              <w:left w:val="nil"/>
              <w:bottom w:val="single" w:sz="4" w:space="0" w:color="8EAADB" w:themeColor="accent1" w:themeTint="99"/>
              <w:right w:val="nil"/>
            </w:tcBorders>
            <w:hideMark/>
          </w:tcPr>
          <w:p w14:paraId="209A4F71" w14:textId="76D76174" w:rsidR="001D4AA2" w:rsidRPr="001D4AA2" w:rsidRDefault="001D4AA2" w:rsidP="001D4AA2">
            <w:pPr>
              <w:snapToGri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w:t>
            </w:r>
          </w:p>
        </w:tc>
        <w:tc>
          <w:tcPr>
            <w:tcW w:w="1060" w:type="dxa"/>
            <w:tcBorders>
              <w:top w:val="single" w:sz="4" w:space="0" w:color="8EAADB" w:themeColor="accent1" w:themeTint="99"/>
              <w:left w:val="nil"/>
              <w:bottom w:val="single" w:sz="4" w:space="0" w:color="8EAADB" w:themeColor="accent1" w:themeTint="99"/>
              <w:right w:val="nil"/>
            </w:tcBorders>
            <w:hideMark/>
          </w:tcPr>
          <w:p w14:paraId="5AE67046" w14:textId="257F51AD" w:rsidR="001D4AA2" w:rsidRPr="001D4AA2" w:rsidRDefault="001D4AA2" w:rsidP="001D4AA2">
            <w:pPr>
              <w:snapToGri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w:t>
            </w:r>
          </w:p>
        </w:tc>
        <w:tc>
          <w:tcPr>
            <w:tcW w:w="1060" w:type="dxa"/>
            <w:tcBorders>
              <w:top w:val="single" w:sz="4" w:space="0" w:color="8EAADB" w:themeColor="accent1" w:themeTint="99"/>
              <w:left w:val="nil"/>
              <w:bottom w:val="single" w:sz="4" w:space="0" w:color="8EAADB" w:themeColor="accent1" w:themeTint="99"/>
              <w:right w:val="nil"/>
            </w:tcBorders>
            <w:hideMark/>
          </w:tcPr>
          <w:p w14:paraId="556E1F8B" w14:textId="1725A6F8" w:rsidR="001D4AA2" w:rsidRPr="001D4AA2" w:rsidRDefault="001D4AA2" w:rsidP="001D4AA2">
            <w:pPr>
              <w:snapToGri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390</w:t>
            </w:r>
          </w:p>
        </w:tc>
        <w:tc>
          <w:tcPr>
            <w:tcW w:w="1060" w:type="dxa"/>
            <w:tcBorders>
              <w:top w:val="single" w:sz="4" w:space="0" w:color="8EAADB" w:themeColor="accent1" w:themeTint="99"/>
              <w:left w:val="nil"/>
              <w:bottom w:val="single" w:sz="4" w:space="0" w:color="8EAADB" w:themeColor="accent1" w:themeTint="99"/>
              <w:right w:val="nil"/>
            </w:tcBorders>
            <w:hideMark/>
          </w:tcPr>
          <w:p w14:paraId="7CBD09D5" w14:textId="34A9F788" w:rsidR="001D4AA2" w:rsidRPr="001D4AA2" w:rsidRDefault="001D4AA2" w:rsidP="001D4AA2">
            <w:pPr>
              <w:snapToGrid w:val="0"/>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420</w:t>
            </w:r>
          </w:p>
        </w:tc>
      </w:tr>
      <w:tr w:rsidR="001D4AA2" w:rsidRPr="00BF0F8B" w14:paraId="7F89A675" w14:textId="77777777" w:rsidTr="000463DD">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505" w:type="dxa"/>
            <w:tcBorders>
              <w:top w:val="single" w:sz="4" w:space="0" w:color="8EAADB" w:themeColor="accent1" w:themeTint="99"/>
              <w:bottom w:val="single" w:sz="4" w:space="0" w:color="8EAADB" w:themeColor="accent1" w:themeTint="99"/>
              <w:right w:val="nil"/>
            </w:tcBorders>
            <w:shd w:val="clear" w:color="auto" w:fill="D9E2F3" w:themeFill="accent1" w:themeFillTint="33"/>
            <w:vAlign w:val="center"/>
            <w:hideMark/>
          </w:tcPr>
          <w:p w14:paraId="5D75C9B8" w14:textId="3BC038C8" w:rsidR="001D4AA2" w:rsidRPr="001878B4" w:rsidRDefault="001D4AA2" w:rsidP="001D4AA2">
            <w:pPr>
              <w:snapToGrid w:val="0"/>
              <w:spacing w:beforeLines="20" w:before="48" w:afterLines="20" w:after="48"/>
              <w:jc w:val="left"/>
              <w:rPr>
                <w:rFonts w:ascii="Roboto" w:eastAsia="Calibri" w:hAnsi="Roboto" w:cs="Arial"/>
                <w:bCs/>
                <w:i w:val="0"/>
                <w:iCs w:val="0"/>
                <w:sz w:val="18"/>
                <w:szCs w:val="18"/>
              </w:rPr>
            </w:pPr>
            <w:r w:rsidRPr="001878B4">
              <w:rPr>
                <w:rFonts w:ascii="Roboto" w:eastAsia="Calibri" w:hAnsi="Roboto" w:cs="Arial"/>
                <w:bCs/>
                <w:i w:val="0"/>
                <w:iCs w:val="0"/>
                <w:sz w:val="18"/>
                <w:szCs w:val="18"/>
              </w:rPr>
              <w:t>Zahtjevi za ponovnu uporabu informacije</w:t>
            </w:r>
          </w:p>
        </w:tc>
        <w:tc>
          <w:tcPr>
            <w:tcW w:w="1060" w:type="dxa"/>
            <w:tcBorders>
              <w:top w:val="single" w:sz="4" w:space="0" w:color="8EAADB" w:themeColor="accent1" w:themeTint="99"/>
              <w:left w:val="nil"/>
              <w:bottom w:val="single" w:sz="4" w:space="0" w:color="8EAADB" w:themeColor="accent1" w:themeTint="99"/>
              <w:right w:val="nil"/>
            </w:tcBorders>
            <w:shd w:val="clear" w:color="auto" w:fill="D9E2F3" w:themeFill="accent1" w:themeFillTint="33"/>
            <w:hideMark/>
          </w:tcPr>
          <w:p w14:paraId="0AC87489" w14:textId="01B30C55" w:rsidR="001D4AA2" w:rsidRPr="001D4AA2" w:rsidRDefault="001D4AA2" w:rsidP="001D4AA2">
            <w:pPr>
              <w:snapToGri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330</w:t>
            </w:r>
          </w:p>
        </w:tc>
        <w:tc>
          <w:tcPr>
            <w:tcW w:w="1060" w:type="dxa"/>
            <w:tcBorders>
              <w:top w:val="single" w:sz="4" w:space="0" w:color="8EAADB" w:themeColor="accent1" w:themeTint="99"/>
              <w:left w:val="nil"/>
              <w:bottom w:val="single" w:sz="4" w:space="0" w:color="8EAADB" w:themeColor="accent1" w:themeTint="99"/>
              <w:right w:val="nil"/>
            </w:tcBorders>
            <w:shd w:val="clear" w:color="auto" w:fill="D9E2F3" w:themeFill="accent1" w:themeFillTint="33"/>
            <w:hideMark/>
          </w:tcPr>
          <w:p w14:paraId="472B5355" w14:textId="320FA041" w:rsidR="001D4AA2" w:rsidRPr="001D4AA2" w:rsidRDefault="001D4AA2" w:rsidP="001D4AA2">
            <w:pPr>
              <w:snapToGri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335</w:t>
            </w:r>
          </w:p>
        </w:tc>
        <w:tc>
          <w:tcPr>
            <w:tcW w:w="1060" w:type="dxa"/>
            <w:tcBorders>
              <w:top w:val="single" w:sz="4" w:space="0" w:color="8EAADB" w:themeColor="accent1" w:themeTint="99"/>
              <w:left w:val="nil"/>
              <w:bottom w:val="single" w:sz="4" w:space="0" w:color="8EAADB" w:themeColor="accent1" w:themeTint="99"/>
              <w:right w:val="nil"/>
            </w:tcBorders>
            <w:shd w:val="clear" w:color="auto" w:fill="D9E2F3" w:themeFill="accent1" w:themeFillTint="33"/>
            <w:hideMark/>
          </w:tcPr>
          <w:p w14:paraId="6428BA1F" w14:textId="01223159" w:rsidR="001D4AA2" w:rsidRPr="001D4AA2" w:rsidRDefault="001D4AA2" w:rsidP="001D4AA2">
            <w:pPr>
              <w:snapToGri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194</w:t>
            </w:r>
          </w:p>
        </w:tc>
        <w:tc>
          <w:tcPr>
            <w:tcW w:w="1060" w:type="dxa"/>
            <w:tcBorders>
              <w:top w:val="single" w:sz="4" w:space="0" w:color="8EAADB" w:themeColor="accent1" w:themeTint="99"/>
              <w:left w:val="nil"/>
              <w:bottom w:val="single" w:sz="4" w:space="0" w:color="8EAADB" w:themeColor="accent1" w:themeTint="99"/>
              <w:right w:val="nil"/>
            </w:tcBorders>
            <w:shd w:val="clear" w:color="auto" w:fill="D9E2F3" w:themeFill="accent1" w:themeFillTint="33"/>
            <w:hideMark/>
          </w:tcPr>
          <w:p w14:paraId="097913BA" w14:textId="0016CABC" w:rsidR="001D4AA2" w:rsidRPr="001D4AA2" w:rsidRDefault="001D4AA2" w:rsidP="001D4AA2">
            <w:pPr>
              <w:snapToGri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1.548</w:t>
            </w:r>
          </w:p>
        </w:tc>
        <w:tc>
          <w:tcPr>
            <w:tcW w:w="1060" w:type="dxa"/>
            <w:tcBorders>
              <w:top w:val="single" w:sz="4" w:space="0" w:color="8EAADB" w:themeColor="accent1" w:themeTint="99"/>
              <w:left w:val="nil"/>
              <w:bottom w:val="single" w:sz="4" w:space="0" w:color="8EAADB" w:themeColor="accent1" w:themeTint="99"/>
              <w:right w:val="nil"/>
            </w:tcBorders>
            <w:shd w:val="clear" w:color="auto" w:fill="D9E2F3" w:themeFill="accent1" w:themeFillTint="33"/>
            <w:hideMark/>
          </w:tcPr>
          <w:p w14:paraId="04F67F98" w14:textId="21EF6F87" w:rsidR="001D4AA2" w:rsidRPr="001D4AA2" w:rsidRDefault="001D4AA2" w:rsidP="001D4AA2">
            <w:pPr>
              <w:snapToGrid w:val="0"/>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Roboto" w:eastAsia="Calibri" w:hAnsi="Roboto" w:cs="Arial"/>
                <w:bCs/>
                <w:sz w:val="18"/>
                <w:szCs w:val="18"/>
              </w:rPr>
            </w:pPr>
            <w:r w:rsidRPr="001D4AA2">
              <w:rPr>
                <w:rFonts w:ascii="Roboto" w:hAnsi="Roboto"/>
                <w:sz w:val="18"/>
                <w:szCs w:val="18"/>
              </w:rPr>
              <w:t>1.356</w:t>
            </w:r>
          </w:p>
        </w:tc>
      </w:tr>
      <w:tr w:rsidR="001D4AA2" w:rsidRPr="00BF0F8B" w14:paraId="6795B77B" w14:textId="77777777" w:rsidTr="000463DD">
        <w:trPr>
          <w:cnfStyle w:val="010000000000" w:firstRow="0" w:lastRow="1" w:firstColumn="0" w:lastColumn="0" w:oddVBand="0" w:evenVBand="0" w:oddHBand="0" w:evenHBand="0" w:firstRowFirstColumn="0" w:firstRowLastColumn="0" w:lastRowFirstColumn="0" w:lastRowLastColumn="0"/>
          <w:trHeight w:hRule="exact" w:val="340"/>
          <w:jc w:val="center"/>
        </w:trPr>
        <w:tc>
          <w:tcPr>
            <w:cnfStyle w:val="001000000001" w:firstRow="0" w:lastRow="0" w:firstColumn="1" w:lastColumn="0" w:oddVBand="0" w:evenVBand="0" w:oddHBand="0" w:evenHBand="0" w:firstRowFirstColumn="0" w:firstRowLastColumn="0" w:lastRowFirstColumn="1" w:lastRowLastColumn="0"/>
            <w:tcW w:w="3505" w:type="dxa"/>
            <w:tcBorders>
              <w:top w:val="single" w:sz="4" w:space="0" w:color="8EAADB" w:themeColor="accent1" w:themeTint="99"/>
              <w:bottom w:val="single" w:sz="8" w:space="0" w:color="8EAADB" w:themeColor="accent1" w:themeTint="99"/>
            </w:tcBorders>
            <w:vAlign w:val="center"/>
            <w:hideMark/>
          </w:tcPr>
          <w:p w14:paraId="3F13C7D1" w14:textId="77777777" w:rsidR="001D4AA2" w:rsidRPr="005E1FCB" w:rsidRDefault="001D4AA2" w:rsidP="001D4AA2">
            <w:pPr>
              <w:snapToGrid w:val="0"/>
              <w:spacing w:beforeLines="20" w:before="48" w:afterLines="20" w:after="48"/>
              <w:jc w:val="left"/>
              <w:rPr>
                <w:rFonts w:ascii="Roboto" w:eastAsia="Calibri" w:hAnsi="Roboto" w:cs="Arial"/>
                <w:b w:val="0"/>
                <w:i w:val="0"/>
                <w:iCs w:val="0"/>
                <w:sz w:val="18"/>
                <w:szCs w:val="18"/>
              </w:rPr>
            </w:pPr>
            <w:r w:rsidRPr="005E1FCB">
              <w:rPr>
                <w:rFonts w:ascii="Roboto" w:eastAsia="Calibri" w:hAnsi="Roboto" w:cs="Arial"/>
                <w:i w:val="0"/>
                <w:iCs w:val="0"/>
                <w:sz w:val="18"/>
                <w:szCs w:val="18"/>
              </w:rPr>
              <w:t>UKUPNO</w:t>
            </w:r>
          </w:p>
        </w:tc>
        <w:tc>
          <w:tcPr>
            <w:tcW w:w="1060" w:type="dxa"/>
            <w:tcBorders>
              <w:top w:val="single" w:sz="4" w:space="0" w:color="8EAADB" w:themeColor="accent1" w:themeTint="99"/>
              <w:bottom w:val="single" w:sz="8" w:space="0" w:color="8EAADB" w:themeColor="accent1" w:themeTint="99"/>
            </w:tcBorders>
            <w:hideMark/>
          </w:tcPr>
          <w:p w14:paraId="74E56EE5" w14:textId="174FA308" w:rsidR="001D4AA2" w:rsidRPr="001D4AA2" w:rsidRDefault="001D4AA2" w:rsidP="001D4AA2">
            <w:pPr>
              <w:snapToGrid w:val="0"/>
              <w:spacing w:beforeLines="20" w:before="48" w:afterLines="20" w:after="48"/>
              <w:jc w:val="center"/>
              <w:cnfStyle w:val="010000000000" w:firstRow="0" w:lastRow="1" w:firstColumn="0" w:lastColumn="0" w:oddVBand="0" w:evenVBand="0" w:oddHBand="0" w:evenHBand="0" w:firstRowFirstColumn="0" w:firstRowLastColumn="0" w:lastRowFirstColumn="0" w:lastRowLastColumn="0"/>
              <w:rPr>
                <w:rFonts w:ascii="Roboto" w:eastAsia="Calibri" w:hAnsi="Roboto" w:cs="Arial"/>
                <w:b w:val="0"/>
                <w:sz w:val="18"/>
                <w:szCs w:val="18"/>
              </w:rPr>
            </w:pPr>
            <w:r w:rsidRPr="001D4AA2">
              <w:rPr>
                <w:rFonts w:ascii="Roboto" w:hAnsi="Roboto"/>
                <w:sz w:val="18"/>
                <w:szCs w:val="18"/>
              </w:rPr>
              <w:t>18.576</w:t>
            </w:r>
          </w:p>
        </w:tc>
        <w:tc>
          <w:tcPr>
            <w:tcW w:w="1060" w:type="dxa"/>
            <w:tcBorders>
              <w:top w:val="single" w:sz="4" w:space="0" w:color="8EAADB" w:themeColor="accent1" w:themeTint="99"/>
              <w:bottom w:val="single" w:sz="8" w:space="0" w:color="8EAADB" w:themeColor="accent1" w:themeTint="99"/>
            </w:tcBorders>
            <w:hideMark/>
          </w:tcPr>
          <w:p w14:paraId="20DC3C75" w14:textId="341616B1" w:rsidR="001D4AA2" w:rsidRPr="001D4AA2" w:rsidRDefault="001D4AA2" w:rsidP="001D4AA2">
            <w:pPr>
              <w:snapToGrid w:val="0"/>
              <w:spacing w:beforeLines="20" w:before="48" w:afterLines="20" w:after="48"/>
              <w:jc w:val="center"/>
              <w:cnfStyle w:val="010000000000" w:firstRow="0" w:lastRow="1" w:firstColumn="0" w:lastColumn="0" w:oddVBand="0" w:evenVBand="0" w:oddHBand="0" w:evenHBand="0" w:firstRowFirstColumn="0" w:firstRowLastColumn="0" w:lastRowFirstColumn="0" w:lastRowLastColumn="0"/>
              <w:rPr>
                <w:rFonts w:ascii="Roboto" w:eastAsia="Calibri" w:hAnsi="Roboto" w:cs="Arial"/>
                <w:b w:val="0"/>
                <w:sz w:val="18"/>
                <w:szCs w:val="18"/>
              </w:rPr>
            </w:pPr>
            <w:r w:rsidRPr="001D4AA2">
              <w:rPr>
                <w:rFonts w:ascii="Roboto" w:hAnsi="Roboto"/>
                <w:sz w:val="18"/>
                <w:szCs w:val="18"/>
              </w:rPr>
              <w:t>23.610</w:t>
            </w:r>
          </w:p>
        </w:tc>
        <w:tc>
          <w:tcPr>
            <w:tcW w:w="1060" w:type="dxa"/>
            <w:tcBorders>
              <w:top w:val="single" w:sz="4" w:space="0" w:color="8EAADB" w:themeColor="accent1" w:themeTint="99"/>
              <w:bottom w:val="single" w:sz="8" w:space="0" w:color="8EAADB" w:themeColor="accent1" w:themeTint="99"/>
            </w:tcBorders>
            <w:hideMark/>
          </w:tcPr>
          <w:p w14:paraId="3C081252" w14:textId="6A304B0C" w:rsidR="001D4AA2" w:rsidRPr="001D4AA2" w:rsidRDefault="001D4AA2" w:rsidP="001D4AA2">
            <w:pPr>
              <w:snapToGrid w:val="0"/>
              <w:spacing w:beforeLines="20" w:before="48" w:afterLines="20" w:after="48"/>
              <w:jc w:val="center"/>
              <w:cnfStyle w:val="010000000000" w:firstRow="0" w:lastRow="1" w:firstColumn="0" w:lastColumn="0" w:oddVBand="0" w:evenVBand="0" w:oddHBand="0" w:evenHBand="0" w:firstRowFirstColumn="0" w:firstRowLastColumn="0" w:lastRowFirstColumn="0" w:lastRowLastColumn="0"/>
              <w:rPr>
                <w:rFonts w:ascii="Roboto" w:eastAsia="Calibri" w:hAnsi="Roboto" w:cs="Arial"/>
                <w:b w:val="0"/>
                <w:sz w:val="18"/>
                <w:szCs w:val="18"/>
              </w:rPr>
            </w:pPr>
            <w:r w:rsidRPr="001D4AA2">
              <w:rPr>
                <w:rFonts w:ascii="Roboto" w:hAnsi="Roboto"/>
                <w:sz w:val="18"/>
                <w:szCs w:val="18"/>
              </w:rPr>
              <w:t>23.679</w:t>
            </w:r>
          </w:p>
        </w:tc>
        <w:tc>
          <w:tcPr>
            <w:tcW w:w="1060" w:type="dxa"/>
            <w:tcBorders>
              <w:top w:val="single" w:sz="4" w:space="0" w:color="8EAADB" w:themeColor="accent1" w:themeTint="99"/>
              <w:bottom w:val="single" w:sz="8" w:space="0" w:color="8EAADB" w:themeColor="accent1" w:themeTint="99"/>
            </w:tcBorders>
            <w:hideMark/>
          </w:tcPr>
          <w:p w14:paraId="1CB3A803" w14:textId="1AE409B7" w:rsidR="001D4AA2" w:rsidRPr="001D4AA2" w:rsidRDefault="001D4AA2" w:rsidP="001D4AA2">
            <w:pPr>
              <w:snapToGrid w:val="0"/>
              <w:spacing w:beforeLines="20" w:before="48" w:afterLines="20" w:after="48"/>
              <w:jc w:val="center"/>
              <w:cnfStyle w:val="010000000000" w:firstRow="0" w:lastRow="1" w:firstColumn="0" w:lastColumn="0" w:oddVBand="0" w:evenVBand="0" w:oddHBand="0" w:evenHBand="0" w:firstRowFirstColumn="0" w:firstRowLastColumn="0" w:lastRowFirstColumn="0" w:lastRowLastColumn="0"/>
              <w:rPr>
                <w:rFonts w:ascii="Roboto" w:eastAsia="Calibri" w:hAnsi="Roboto" w:cs="Arial"/>
                <w:b w:val="0"/>
                <w:sz w:val="18"/>
                <w:szCs w:val="18"/>
              </w:rPr>
            </w:pPr>
            <w:r w:rsidRPr="001D4AA2">
              <w:rPr>
                <w:rFonts w:ascii="Roboto" w:hAnsi="Roboto"/>
                <w:sz w:val="18"/>
                <w:szCs w:val="18"/>
              </w:rPr>
              <w:t>18.853</w:t>
            </w:r>
          </w:p>
        </w:tc>
        <w:tc>
          <w:tcPr>
            <w:tcW w:w="1060" w:type="dxa"/>
            <w:tcBorders>
              <w:top w:val="single" w:sz="4" w:space="0" w:color="8EAADB" w:themeColor="accent1" w:themeTint="99"/>
              <w:bottom w:val="single" w:sz="8" w:space="0" w:color="8EAADB" w:themeColor="accent1" w:themeTint="99"/>
            </w:tcBorders>
            <w:hideMark/>
          </w:tcPr>
          <w:p w14:paraId="334134DC" w14:textId="1EE8FBD4" w:rsidR="001D4AA2" w:rsidRPr="001D4AA2" w:rsidRDefault="001D4AA2" w:rsidP="001D4AA2">
            <w:pPr>
              <w:snapToGrid w:val="0"/>
              <w:spacing w:beforeLines="20" w:before="48" w:afterLines="20" w:after="48"/>
              <w:jc w:val="center"/>
              <w:cnfStyle w:val="010000000000" w:firstRow="0" w:lastRow="1" w:firstColumn="0" w:lastColumn="0" w:oddVBand="0" w:evenVBand="0" w:oddHBand="0" w:evenHBand="0" w:firstRowFirstColumn="0" w:firstRowLastColumn="0" w:lastRowFirstColumn="0" w:lastRowLastColumn="0"/>
              <w:rPr>
                <w:rFonts w:ascii="Roboto" w:eastAsia="Calibri" w:hAnsi="Roboto" w:cs="Arial"/>
                <w:b w:val="0"/>
                <w:sz w:val="18"/>
                <w:szCs w:val="18"/>
              </w:rPr>
            </w:pPr>
            <w:r w:rsidRPr="001D4AA2">
              <w:rPr>
                <w:rFonts w:ascii="Roboto" w:hAnsi="Roboto"/>
                <w:sz w:val="18"/>
                <w:szCs w:val="18"/>
              </w:rPr>
              <w:t>20.453</w:t>
            </w:r>
          </w:p>
        </w:tc>
      </w:tr>
    </w:tbl>
    <w:p w14:paraId="3D942B5C" w14:textId="77777777" w:rsidR="003C3FB3" w:rsidRPr="001D3797" w:rsidRDefault="001D4AA2" w:rsidP="001D3797">
      <w:pPr>
        <w:keepNext/>
        <w:widowControl w:val="0"/>
        <w:spacing w:before="240"/>
        <w:rPr>
          <w:rFonts w:cs="Arial"/>
        </w:rPr>
      </w:pPr>
      <w:r w:rsidRPr="00422879">
        <w:rPr>
          <w:rFonts w:cs="Arial"/>
        </w:rPr>
        <w:t>Od 5.28</w:t>
      </w:r>
      <w:r w:rsidR="00810521" w:rsidRPr="00422879">
        <w:rPr>
          <w:rFonts w:cs="Arial"/>
        </w:rPr>
        <w:t>0</w:t>
      </w:r>
      <w:r w:rsidRPr="00422879">
        <w:rPr>
          <w:rFonts w:cs="Arial"/>
        </w:rPr>
        <w:t xml:space="preserve"> tijela koja su dostavila izvješće, pet tijela je navelo kako nije zaprimilo niti jedan </w:t>
      </w:r>
      <w:r w:rsidRPr="001D3797">
        <w:rPr>
          <w:rFonts w:cs="Arial"/>
        </w:rPr>
        <w:t>zahtjev, ali su iz prethodne godine prenijeli šest zahtjeva</w:t>
      </w:r>
      <w:r w:rsidR="003C3FB3" w:rsidRPr="001D3797">
        <w:rPr>
          <w:rFonts w:cs="Arial"/>
        </w:rPr>
        <w:t>.</w:t>
      </w:r>
    </w:p>
    <w:p w14:paraId="31BB46CC" w14:textId="73EBE38E" w:rsidR="001D4AA2" w:rsidRPr="001D3797" w:rsidRDefault="003C3FB3" w:rsidP="001D3797">
      <w:pPr>
        <w:keepNext/>
        <w:widowControl w:val="0"/>
        <w:rPr>
          <w:rFonts w:cs="Arial"/>
        </w:rPr>
      </w:pPr>
      <w:r w:rsidRPr="001D3797">
        <w:rPr>
          <w:rFonts w:cs="Arial"/>
        </w:rPr>
        <w:t>Tijela su</w:t>
      </w:r>
      <w:r w:rsidR="00941022" w:rsidRPr="001D3797">
        <w:rPr>
          <w:rFonts w:cs="Arial"/>
        </w:rPr>
        <w:t xml:space="preserve"> iz prethodne godine pr</w:t>
      </w:r>
      <w:r w:rsidR="003F6561" w:rsidRPr="001D3797">
        <w:rPr>
          <w:rFonts w:cs="Arial"/>
        </w:rPr>
        <w:t>e</w:t>
      </w:r>
      <w:r w:rsidR="00941022" w:rsidRPr="001D3797">
        <w:rPr>
          <w:rFonts w:cs="Arial"/>
        </w:rPr>
        <w:t xml:space="preserve">nijela </w:t>
      </w:r>
      <w:r w:rsidR="001D4AA2" w:rsidRPr="001D3797">
        <w:rPr>
          <w:rFonts w:cs="Arial"/>
        </w:rPr>
        <w:t xml:space="preserve">347 zahtjeva </w:t>
      </w:r>
      <w:r w:rsidR="00941022" w:rsidRPr="001D3797">
        <w:rPr>
          <w:rFonts w:cs="Arial"/>
        </w:rPr>
        <w:t xml:space="preserve">te su </w:t>
      </w:r>
      <w:r w:rsidR="001D4AA2" w:rsidRPr="001D3797">
        <w:rPr>
          <w:rFonts w:cs="Arial"/>
        </w:rPr>
        <w:t>u 2025. u radu imali ukupno 20.800 zahtjeva.</w:t>
      </w:r>
    </w:p>
    <w:p w14:paraId="5B6EEDDE" w14:textId="3396C2D0" w:rsidR="002A6702" w:rsidRDefault="001D4AA2" w:rsidP="00BF0F8B">
      <w:pPr>
        <w:keepNext/>
        <w:widowControl w:val="0"/>
        <w:spacing w:before="240"/>
        <w:rPr>
          <w:rFonts w:cs="Arial"/>
          <w:sz w:val="18"/>
          <w:szCs w:val="18"/>
        </w:rPr>
      </w:pPr>
      <w:r>
        <w:rPr>
          <w:rFonts w:cs="Arial"/>
          <w:sz w:val="18"/>
          <w:szCs w:val="18"/>
        </w:rPr>
        <w:t xml:space="preserve">Tablica </w:t>
      </w:r>
      <w:r w:rsidR="002A6702" w:rsidRPr="00F0315E">
        <w:rPr>
          <w:rFonts w:cs="Arial"/>
          <w:sz w:val="18"/>
          <w:szCs w:val="18"/>
        </w:rPr>
        <w:t xml:space="preserve"> </w:t>
      </w:r>
      <w:r w:rsidR="00E35ECB" w:rsidRPr="00F0315E">
        <w:rPr>
          <w:rFonts w:cs="Arial"/>
          <w:sz w:val="18"/>
          <w:szCs w:val="18"/>
        </w:rPr>
        <w:t>3</w:t>
      </w:r>
      <w:r w:rsidR="002A6702" w:rsidRPr="00F0315E">
        <w:rPr>
          <w:rFonts w:cs="Arial"/>
          <w:sz w:val="18"/>
          <w:szCs w:val="18"/>
        </w:rPr>
        <w:t>.</w:t>
      </w:r>
      <w:r>
        <w:rPr>
          <w:rFonts w:cs="Arial"/>
          <w:sz w:val="18"/>
          <w:szCs w:val="18"/>
        </w:rPr>
        <w:t>2</w:t>
      </w:r>
      <w:r w:rsidR="002A6702" w:rsidRPr="00F0315E">
        <w:rPr>
          <w:rFonts w:cs="Arial"/>
          <w:sz w:val="18"/>
          <w:szCs w:val="18"/>
        </w:rPr>
        <w:t xml:space="preserve">. </w:t>
      </w:r>
      <w:r w:rsidRPr="001D4AA2">
        <w:rPr>
          <w:rFonts w:cs="Arial"/>
          <w:sz w:val="18"/>
          <w:szCs w:val="18"/>
        </w:rPr>
        <w:t>Broj tijela koja su 2025. godine rješavala zahtjeve</w:t>
      </w:r>
    </w:p>
    <w:tbl>
      <w:tblPr>
        <w:tblW w:w="4804" w:type="pct"/>
        <w:jc w:val="center"/>
        <w:tblCellMar>
          <w:top w:w="15" w:type="dxa"/>
          <w:left w:w="15" w:type="dxa"/>
          <w:bottom w:w="15" w:type="dxa"/>
          <w:right w:w="15" w:type="dxa"/>
        </w:tblCellMar>
        <w:tblLook w:val="04A0" w:firstRow="1" w:lastRow="0" w:firstColumn="1" w:lastColumn="0" w:noHBand="0" w:noVBand="1"/>
      </w:tblPr>
      <w:tblGrid>
        <w:gridCol w:w="3980"/>
        <w:gridCol w:w="1018"/>
        <w:gridCol w:w="1241"/>
        <w:gridCol w:w="1239"/>
        <w:gridCol w:w="1238"/>
      </w:tblGrid>
      <w:tr w:rsidR="001D4AA2" w:rsidRPr="009E4D2F" w14:paraId="70A52C33" w14:textId="77777777" w:rsidTr="009502DA">
        <w:trPr>
          <w:cantSplit/>
          <w:trHeight w:hRule="exact" w:val="284"/>
          <w:jc w:val="center"/>
        </w:trPr>
        <w:tc>
          <w:tcPr>
            <w:tcW w:w="2283" w:type="pct"/>
            <w:tcBorders>
              <w:top w:val="single" w:sz="8" w:space="0" w:color="4F81BD"/>
              <w:bottom w:val="single" w:sz="8" w:space="0" w:color="4F81BD"/>
            </w:tcBorders>
            <w:tcMar>
              <w:top w:w="0" w:type="dxa"/>
              <w:left w:w="115" w:type="dxa"/>
              <w:bottom w:w="0" w:type="dxa"/>
              <w:right w:w="115" w:type="dxa"/>
            </w:tcMar>
            <w:vAlign w:val="center"/>
            <w:hideMark/>
          </w:tcPr>
          <w:p w14:paraId="77CFEDA4" w14:textId="77777777" w:rsidR="001D4AA2" w:rsidRPr="009E4D2F" w:rsidRDefault="001D4AA2" w:rsidP="00072C20">
            <w:pPr>
              <w:spacing w:beforeLines="20" w:before="48" w:afterLines="20" w:after="48"/>
              <w:rPr>
                <w:rFonts w:cs="Arial"/>
                <w:b/>
                <w:bCs/>
                <w:sz w:val="18"/>
                <w:szCs w:val="18"/>
              </w:rPr>
            </w:pPr>
            <w:r w:rsidRPr="009E4D2F">
              <w:rPr>
                <w:rFonts w:cs="Arial"/>
                <w:b/>
                <w:bCs/>
                <w:sz w:val="18"/>
                <w:szCs w:val="18"/>
              </w:rPr>
              <w:t>Pravni status tijela</w:t>
            </w:r>
          </w:p>
        </w:tc>
        <w:tc>
          <w:tcPr>
            <w:tcW w:w="584" w:type="pct"/>
            <w:tcBorders>
              <w:top w:val="single" w:sz="8" w:space="0" w:color="4F81BD"/>
              <w:bottom w:val="single" w:sz="8" w:space="0" w:color="4F81BD"/>
            </w:tcBorders>
            <w:tcMar>
              <w:top w:w="0" w:type="dxa"/>
              <w:left w:w="115" w:type="dxa"/>
              <w:bottom w:w="0" w:type="dxa"/>
              <w:right w:w="115" w:type="dxa"/>
            </w:tcMar>
            <w:vAlign w:val="center"/>
            <w:hideMark/>
          </w:tcPr>
          <w:p w14:paraId="7EDCB1F2" w14:textId="77777777" w:rsidR="001D4AA2" w:rsidRPr="009E4D2F" w:rsidRDefault="001D4AA2" w:rsidP="00072C20">
            <w:pPr>
              <w:spacing w:beforeLines="20" w:before="48" w:afterLines="20" w:after="48"/>
              <w:jc w:val="center"/>
              <w:rPr>
                <w:rFonts w:cs="Arial"/>
                <w:b/>
                <w:bCs/>
                <w:sz w:val="18"/>
                <w:szCs w:val="18"/>
              </w:rPr>
            </w:pPr>
          </w:p>
        </w:tc>
        <w:tc>
          <w:tcPr>
            <w:tcW w:w="712" w:type="pct"/>
            <w:tcBorders>
              <w:top w:val="single" w:sz="8" w:space="0" w:color="4F81BD"/>
              <w:bottom w:val="single" w:sz="8" w:space="0" w:color="4F81BD"/>
            </w:tcBorders>
            <w:vAlign w:val="center"/>
          </w:tcPr>
          <w:p w14:paraId="73A39D67" w14:textId="77777777" w:rsidR="001D4AA2" w:rsidRPr="009E4D2F" w:rsidRDefault="001D4AA2" w:rsidP="00072C20">
            <w:pPr>
              <w:spacing w:beforeLines="20" w:before="48" w:afterLines="20" w:after="48"/>
              <w:jc w:val="center"/>
              <w:rPr>
                <w:rFonts w:cs="Arial"/>
                <w:b/>
                <w:bCs/>
                <w:sz w:val="18"/>
                <w:szCs w:val="18"/>
              </w:rPr>
            </w:pPr>
            <w:r w:rsidRPr="009E4D2F">
              <w:rPr>
                <w:rFonts w:cs="Arial"/>
                <w:b/>
                <w:bCs/>
                <w:sz w:val="18"/>
                <w:szCs w:val="18"/>
              </w:rPr>
              <w:t>Dostavili izvješće</w:t>
            </w:r>
          </w:p>
        </w:tc>
        <w:tc>
          <w:tcPr>
            <w:tcW w:w="711" w:type="pct"/>
            <w:tcBorders>
              <w:top w:val="single" w:sz="8" w:space="0" w:color="4F81BD"/>
              <w:bottom w:val="single" w:sz="8" w:space="0" w:color="4F81BD"/>
            </w:tcBorders>
            <w:vAlign w:val="center"/>
          </w:tcPr>
          <w:p w14:paraId="66DA686F" w14:textId="77777777" w:rsidR="001D4AA2" w:rsidRPr="009E4D2F" w:rsidRDefault="001D4AA2" w:rsidP="00072C20">
            <w:pPr>
              <w:spacing w:beforeLines="20" w:before="48" w:afterLines="20" w:after="48"/>
              <w:jc w:val="center"/>
              <w:rPr>
                <w:rFonts w:cs="Arial"/>
                <w:b/>
                <w:bCs/>
                <w:sz w:val="18"/>
                <w:szCs w:val="18"/>
              </w:rPr>
            </w:pPr>
            <w:r w:rsidRPr="009E4D2F">
              <w:rPr>
                <w:rFonts w:cs="Arial"/>
                <w:b/>
                <w:bCs/>
                <w:sz w:val="18"/>
                <w:szCs w:val="18"/>
              </w:rPr>
              <w:t>Rješavali zahtjeve</w:t>
            </w:r>
          </w:p>
        </w:tc>
        <w:tc>
          <w:tcPr>
            <w:tcW w:w="711" w:type="pct"/>
            <w:tcBorders>
              <w:top w:val="single" w:sz="8" w:space="0" w:color="4F81BD"/>
              <w:bottom w:val="single" w:sz="8" w:space="0" w:color="4F81BD"/>
            </w:tcBorders>
            <w:tcMar>
              <w:top w:w="0" w:type="dxa"/>
              <w:left w:w="115" w:type="dxa"/>
              <w:bottom w:w="0" w:type="dxa"/>
              <w:right w:w="115" w:type="dxa"/>
            </w:tcMar>
            <w:vAlign w:val="center"/>
          </w:tcPr>
          <w:p w14:paraId="63E55971" w14:textId="77777777" w:rsidR="001D4AA2" w:rsidRPr="009E4D2F" w:rsidRDefault="001D4AA2" w:rsidP="00072C20">
            <w:pPr>
              <w:spacing w:beforeLines="20" w:before="48" w:afterLines="20" w:after="48"/>
              <w:jc w:val="center"/>
              <w:rPr>
                <w:rFonts w:cs="Arial"/>
                <w:b/>
                <w:bCs/>
                <w:sz w:val="18"/>
                <w:szCs w:val="18"/>
              </w:rPr>
            </w:pPr>
            <w:r w:rsidRPr="009E4D2F">
              <w:rPr>
                <w:rFonts w:cs="Arial"/>
                <w:b/>
                <w:bCs/>
                <w:sz w:val="18"/>
                <w:szCs w:val="18"/>
              </w:rPr>
              <w:t>%</w:t>
            </w:r>
          </w:p>
        </w:tc>
      </w:tr>
      <w:tr w:rsidR="001D4AA2" w:rsidRPr="009E4D2F" w14:paraId="66CC6888" w14:textId="77777777" w:rsidTr="009502DA">
        <w:trPr>
          <w:cantSplit/>
          <w:trHeight w:hRule="exact" w:val="284"/>
          <w:jc w:val="center"/>
        </w:trPr>
        <w:tc>
          <w:tcPr>
            <w:tcW w:w="2283" w:type="pct"/>
            <w:tcBorders>
              <w:top w:val="single" w:sz="8" w:space="0" w:color="4F81BD"/>
            </w:tcBorders>
            <w:shd w:val="clear" w:color="auto" w:fill="D9E2F3"/>
            <w:tcMar>
              <w:top w:w="0" w:type="dxa"/>
              <w:left w:w="115" w:type="dxa"/>
              <w:bottom w:w="0" w:type="dxa"/>
              <w:right w:w="115" w:type="dxa"/>
            </w:tcMar>
            <w:vAlign w:val="center"/>
            <w:hideMark/>
          </w:tcPr>
          <w:p w14:paraId="0B9D8CCD" w14:textId="77777777" w:rsidR="001D4AA2" w:rsidRPr="009E4D2F" w:rsidRDefault="001D4AA2" w:rsidP="00072C20">
            <w:pPr>
              <w:spacing w:beforeLines="20" w:before="48" w:afterLines="20" w:after="48"/>
              <w:rPr>
                <w:rFonts w:cs="Arial"/>
                <w:sz w:val="18"/>
                <w:szCs w:val="18"/>
              </w:rPr>
            </w:pPr>
            <w:r w:rsidRPr="009E4D2F">
              <w:rPr>
                <w:rFonts w:cs="Arial"/>
                <w:sz w:val="18"/>
                <w:szCs w:val="18"/>
              </w:rPr>
              <w:t>Državna tijela</w:t>
            </w:r>
          </w:p>
        </w:tc>
        <w:tc>
          <w:tcPr>
            <w:tcW w:w="584" w:type="pct"/>
            <w:tcBorders>
              <w:top w:val="single" w:sz="8" w:space="0" w:color="4F81BD"/>
            </w:tcBorders>
            <w:shd w:val="clear" w:color="auto" w:fill="D9E2F3"/>
            <w:tcMar>
              <w:top w:w="0" w:type="dxa"/>
              <w:left w:w="115" w:type="dxa"/>
              <w:bottom w:w="0" w:type="dxa"/>
              <w:right w:w="115" w:type="dxa"/>
            </w:tcMar>
            <w:vAlign w:val="center"/>
            <w:hideMark/>
          </w:tcPr>
          <w:p w14:paraId="362F5A15"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22</w:t>
            </w:r>
          </w:p>
        </w:tc>
        <w:tc>
          <w:tcPr>
            <w:tcW w:w="712" w:type="pct"/>
            <w:tcBorders>
              <w:top w:val="single" w:sz="8" w:space="0" w:color="4F81BD"/>
            </w:tcBorders>
            <w:shd w:val="clear" w:color="auto" w:fill="D9E2F3"/>
            <w:vAlign w:val="center"/>
          </w:tcPr>
          <w:p w14:paraId="519FA7A7"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22</w:t>
            </w:r>
          </w:p>
        </w:tc>
        <w:tc>
          <w:tcPr>
            <w:tcW w:w="711" w:type="pct"/>
            <w:tcBorders>
              <w:top w:val="single" w:sz="8" w:space="0" w:color="4F81BD"/>
            </w:tcBorders>
            <w:shd w:val="clear" w:color="auto" w:fill="D9E2F3"/>
            <w:vAlign w:val="center"/>
          </w:tcPr>
          <w:p w14:paraId="74EF8B34"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19</w:t>
            </w:r>
          </w:p>
        </w:tc>
        <w:tc>
          <w:tcPr>
            <w:tcW w:w="711" w:type="pct"/>
            <w:tcBorders>
              <w:top w:val="single" w:sz="8" w:space="0" w:color="4F81BD"/>
            </w:tcBorders>
            <w:shd w:val="clear" w:color="auto" w:fill="D9E2F3"/>
            <w:tcMar>
              <w:top w:w="0" w:type="dxa"/>
              <w:left w:w="115" w:type="dxa"/>
              <w:bottom w:w="0" w:type="dxa"/>
              <w:right w:w="115" w:type="dxa"/>
            </w:tcMar>
            <w:vAlign w:val="center"/>
          </w:tcPr>
          <w:p w14:paraId="24BC4C6B" w14:textId="77777777" w:rsidR="001D4AA2" w:rsidRPr="009E4D2F" w:rsidRDefault="001D4AA2" w:rsidP="00072C20">
            <w:pPr>
              <w:spacing w:beforeLines="20" w:before="48" w:afterLines="20" w:after="48"/>
              <w:ind w:right="23"/>
              <w:jc w:val="center"/>
              <w:rPr>
                <w:rFonts w:cs="Arial"/>
                <w:sz w:val="18"/>
                <w:szCs w:val="18"/>
              </w:rPr>
            </w:pPr>
            <w:r w:rsidRPr="009E4D2F">
              <w:rPr>
                <w:rFonts w:cs="Arial"/>
                <w:sz w:val="18"/>
                <w:szCs w:val="18"/>
              </w:rPr>
              <w:t>86</w:t>
            </w:r>
          </w:p>
        </w:tc>
      </w:tr>
      <w:tr w:rsidR="001D4AA2" w:rsidRPr="009E4D2F" w14:paraId="694F1A73" w14:textId="77777777" w:rsidTr="009502DA">
        <w:trPr>
          <w:cantSplit/>
          <w:trHeight w:hRule="exact" w:val="284"/>
          <w:jc w:val="center"/>
        </w:trPr>
        <w:tc>
          <w:tcPr>
            <w:tcW w:w="2283" w:type="pct"/>
            <w:tcMar>
              <w:top w:w="0" w:type="dxa"/>
              <w:left w:w="115" w:type="dxa"/>
              <w:bottom w:w="0" w:type="dxa"/>
              <w:right w:w="115" w:type="dxa"/>
            </w:tcMar>
            <w:vAlign w:val="center"/>
            <w:hideMark/>
          </w:tcPr>
          <w:p w14:paraId="4AD30412" w14:textId="77777777" w:rsidR="001D4AA2" w:rsidRPr="009E4D2F" w:rsidRDefault="001D4AA2" w:rsidP="00072C20">
            <w:pPr>
              <w:spacing w:beforeLines="20" w:before="48" w:afterLines="20" w:after="48"/>
              <w:rPr>
                <w:rFonts w:cs="Arial"/>
                <w:sz w:val="18"/>
                <w:szCs w:val="18"/>
              </w:rPr>
            </w:pPr>
            <w:r w:rsidRPr="009E4D2F">
              <w:rPr>
                <w:rFonts w:cs="Arial"/>
                <w:sz w:val="18"/>
                <w:szCs w:val="18"/>
              </w:rPr>
              <w:t>Tijela državne uprave</w:t>
            </w:r>
          </w:p>
        </w:tc>
        <w:tc>
          <w:tcPr>
            <w:tcW w:w="584" w:type="pct"/>
            <w:tcMar>
              <w:top w:w="0" w:type="dxa"/>
              <w:left w:w="115" w:type="dxa"/>
              <w:bottom w:w="0" w:type="dxa"/>
              <w:right w:w="115" w:type="dxa"/>
            </w:tcMar>
            <w:vAlign w:val="center"/>
            <w:hideMark/>
          </w:tcPr>
          <w:p w14:paraId="1C4FF823"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27</w:t>
            </w:r>
          </w:p>
        </w:tc>
        <w:tc>
          <w:tcPr>
            <w:tcW w:w="712" w:type="pct"/>
            <w:vAlign w:val="center"/>
          </w:tcPr>
          <w:p w14:paraId="42EF2923"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27</w:t>
            </w:r>
          </w:p>
        </w:tc>
        <w:tc>
          <w:tcPr>
            <w:tcW w:w="711" w:type="pct"/>
            <w:vAlign w:val="center"/>
          </w:tcPr>
          <w:p w14:paraId="6C09F60F"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27</w:t>
            </w:r>
          </w:p>
        </w:tc>
        <w:tc>
          <w:tcPr>
            <w:tcW w:w="711" w:type="pct"/>
            <w:tcMar>
              <w:top w:w="0" w:type="dxa"/>
              <w:left w:w="115" w:type="dxa"/>
              <w:bottom w:w="0" w:type="dxa"/>
              <w:right w:w="115" w:type="dxa"/>
            </w:tcMar>
            <w:vAlign w:val="center"/>
          </w:tcPr>
          <w:p w14:paraId="55318F30" w14:textId="77777777" w:rsidR="001D4AA2" w:rsidRPr="009E4D2F" w:rsidRDefault="001D4AA2" w:rsidP="00072C20">
            <w:pPr>
              <w:spacing w:beforeLines="20" w:before="48" w:afterLines="20" w:after="48"/>
              <w:ind w:right="23"/>
              <w:jc w:val="center"/>
              <w:rPr>
                <w:rFonts w:cs="Arial"/>
                <w:sz w:val="18"/>
                <w:szCs w:val="18"/>
              </w:rPr>
            </w:pPr>
            <w:r w:rsidRPr="009E4D2F">
              <w:rPr>
                <w:rFonts w:cs="Arial"/>
                <w:sz w:val="18"/>
                <w:szCs w:val="18"/>
              </w:rPr>
              <w:t>100</w:t>
            </w:r>
          </w:p>
        </w:tc>
      </w:tr>
      <w:tr w:rsidR="001D4AA2" w:rsidRPr="009E4D2F" w14:paraId="1880C742" w14:textId="77777777" w:rsidTr="009502DA">
        <w:trPr>
          <w:cantSplit/>
          <w:trHeight w:hRule="exact" w:val="284"/>
          <w:jc w:val="center"/>
        </w:trPr>
        <w:tc>
          <w:tcPr>
            <w:tcW w:w="2283" w:type="pct"/>
            <w:shd w:val="clear" w:color="auto" w:fill="D9E2F3"/>
            <w:tcMar>
              <w:top w:w="0" w:type="dxa"/>
              <w:left w:w="115" w:type="dxa"/>
              <w:bottom w:w="0" w:type="dxa"/>
              <w:right w:w="115" w:type="dxa"/>
            </w:tcMar>
            <w:vAlign w:val="center"/>
            <w:hideMark/>
          </w:tcPr>
          <w:p w14:paraId="1AB68AD7" w14:textId="77777777" w:rsidR="001D4AA2" w:rsidRPr="009E4D2F" w:rsidRDefault="001D4AA2" w:rsidP="00072C20">
            <w:pPr>
              <w:spacing w:beforeLines="20" w:before="48" w:afterLines="20" w:after="48"/>
              <w:rPr>
                <w:rFonts w:cs="Arial"/>
                <w:sz w:val="18"/>
                <w:szCs w:val="18"/>
              </w:rPr>
            </w:pPr>
            <w:r w:rsidRPr="009E4D2F">
              <w:rPr>
                <w:rFonts w:cs="Arial"/>
                <w:sz w:val="18"/>
                <w:szCs w:val="18"/>
              </w:rPr>
              <w:t>JLP(R)S</w:t>
            </w:r>
          </w:p>
        </w:tc>
        <w:tc>
          <w:tcPr>
            <w:tcW w:w="584" w:type="pct"/>
            <w:shd w:val="clear" w:color="auto" w:fill="D9E2F3"/>
            <w:tcMar>
              <w:top w:w="0" w:type="dxa"/>
              <w:left w:w="115" w:type="dxa"/>
              <w:bottom w:w="0" w:type="dxa"/>
              <w:right w:w="115" w:type="dxa"/>
            </w:tcMar>
            <w:vAlign w:val="center"/>
            <w:hideMark/>
          </w:tcPr>
          <w:p w14:paraId="67F92482"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576</w:t>
            </w:r>
          </w:p>
        </w:tc>
        <w:tc>
          <w:tcPr>
            <w:tcW w:w="712" w:type="pct"/>
            <w:shd w:val="clear" w:color="auto" w:fill="D9E2F3"/>
            <w:vAlign w:val="center"/>
          </w:tcPr>
          <w:p w14:paraId="5BFA773A"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576</w:t>
            </w:r>
          </w:p>
        </w:tc>
        <w:tc>
          <w:tcPr>
            <w:tcW w:w="711" w:type="pct"/>
            <w:shd w:val="clear" w:color="auto" w:fill="D9E2F3"/>
            <w:vAlign w:val="center"/>
          </w:tcPr>
          <w:p w14:paraId="32BCCA68"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546</w:t>
            </w:r>
          </w:p>
        </w:tc>
        <w:tc>
          <w:tcPr>
            <w:tcW w:w="711" w:type="pct"/>
            <w:shd w:val="clear" w:color="auto" w:fill="D9E2F3"/>
            <w:tcMar>
              <w:top w:w="0" w:type="dxa"/>
              <w:left w:w="115" w:type="dxa"/>
              <w:bottom w:w="0" w:type="dxa"/>
              <w:right w:w="115" w:type="dxa"/>
            </w:tcMar>
            <w:vAlign w:val="center"/>
          </w:tcPr>
          <w:p w14:paraId="0FADC58F" w14:textId="77777777" w:rsidR="001D4AA2" w:rsidRPr="009E4D2F" w:rsidRDefault="001D4AA2" w:rsidP="00072C20">
            <w:pPr>
              <w:spacing w:beforeLines="20" w:before="48" w:afterLines="20" w:after="48"/>
              <w:ind w:right="23"/>
              <w:jc w:val="center"/>
              <w:rPr>
                <w:rFonts w:cs="Arial"/>
                <w:sz w:val="18"/>
                <w:szCs w:val="18"/>
              </w:rPr>
            </w:pPr>
            <w:r w:rsidRPr="009E4D2F">
              <w:rPr>
                <w:rFonts w:cs="Arial"/>
                <w:sz w:val="18"/>
                <w:szCs w:val="18"/>
              </w:rPr>
              <w:t>95</w:t>
            </w:r>
          </w:p>
        </w:tc>
      </w:tr>
      <w:tr w:rsidR="001D4AA2" w:rsidRPr="009E4D2F" w14:paraId="5886AFD4" w14:textId="77777777" w:rsidTr="009502DA">
        <w:trPr>
          <w:cantSplit/>
          <w:trHeight w:hRule="exact" w:val="284"/>
          <w:jc w:val="center"/>
        </w:trPr>
        <w:tc>
          <w:tcPr>
            <w:tcW w:w="2283" w:type="pct"/>
            <w:tcMar>
              <w:top w:w="0" w:type="dxa"/>
              <w:left w:w="115" w:type="dxa"/>
              <w:bottom w:w="0" w:type="dxa"/>
              <w:right w:w="115" w:type="dxa"/>
            </w:tcMar>
            <w:vAlign w:val="center"/>
            <w:hideMark/>
          </w:tcPr>
          <w:p w14:paraId="1F68ED52" w14:textId="77777777" w:rsidR="001D4AA2" w:rsidRPr="009E4D2F" w:rsidRDefault="001D4AA2" w:rsidP="00072C20">
            <w:pPr>
              <w:spacing w:beforeLines="20" w:before="48" w:afterLines="20" w:after="48"/>
              <w:rPr>
                <w:rFonts w:cs="Arial"/>
                <w:sz w:val="18"/>
                <w:szCs w:val="18"/>
              </w:rPr>
            </w:pPr>
            <w:r w:rsidRPr="009E4D2F">
              <w:rPr>
                <w:rFonts w:cs="Arial"/>
                <w:sz w:val="18"/>
                <w:szCs w:val="18"/>
              </w:rPr>
              <w:t>Sudovi i pravosudna tijela</w:t>
            </w:r>
          </w:p>
        </w:tc>
        <w:tc>
          <w:tcPr>
            <w:tcW w:w="584" w:type="pct"/>
            <w:tcMar>
              <w:top w:w="0" w:type="dxa"/>
              <w:left w:w="115" w:type="dxa"/>
              <w:bottom w:w="0" w:type="dxa"/>
              <w:right w:w="115" w:type="dxa"/>
            </w:tcMar>
            <w:vAlign w:val="center"/>
            <w:hideMark/>
          </w:tcPr>
          <w:p w14:paraId="17651B10"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109</w:t>
            </w:r>
          </w:p>
        </w:tc>
        <w:tc>
          <w:tcPr>
            <w:tcW w:w="712" w:type="pct"/>
            <w:vAlign w:val="center"/>
          </w:tcPr>
          <w:p w14:paraId="1CCBF81A"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109</w:t>
            </w:r>
          </w:p>
        </w:tc>
        <w:tc>
          <w:tcPr>
            <w:tcW w:w="711" w:type="pct"/>
            <w:vAlign w:val="center"/>
          </w:tcPr>
          <w:p w14:paraId="57F9B544"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101</w:t>
            </w:r>
          </w:p>
        </w:tc>
        <w:tc>
          <w:tcPr>
            <w:tcW w:w="711" w:type="pct"/>
            <w:tcMar>
              <w:top w:w="0" w:type="dxa"/>
              <w:left w:w="115" w:type="dxa"/>
              <w:bottom w:w="0" w:type="dxa"/>
              <w:right w:w="115" w:type="dxa"/>
            </w:tcMar>
            <w:vAlign w:val="center"/>
          </w:tcPr>
          <w:p w14:paraId="21ABD7E8" w14:textId="77777777" w:rsidR="001D4AA2" w:rsidRPr="009E4D2F" w:rsidRDefault="001D4AA2" w:rsidP="00072C20">
            <w:pPr>
              <w:spacing w:beforeLines="20" w:before="48" w:afterLines="20" w:after="48"/>
              <w:ind w:right="23"/>
              <w:jc w:val="center"/>
              <w:rPr>
                <w:rFonts w:cs="Arial"/>
                <w:sz w:val="18"/>
                <w:szCs w:val="18"/>
              </w:rPr>
            </w:pPr>
            <w:r w:rsidRPr="009E4D2F">
              <w:rPr>
                <w:rFonts w:cs="Arial"/>
                <w:sz w:val="18"/>
                <w:szCs w:val="18"/>
              </w:rPr>
              <w:t>93</w:t>
            </w:r>
          </w:p>
        </w:tc>
      </w:tr>
      <w:tr w:rsidR="001D4AA2" w:rsidRPr="009E4D2F" w14:paraId="0A723920" w14:textId="77777777" w:rsidTr="009502DA">
        <w:trPr>
          <w:cantSplit/>
          <w:trHeight w:hRule="exact" w:val="284"/>
          <w:jc w:val="center"/>
        </w:trPr>
        <w:tc>
          <w:tcPr>
            <w:tcW w:w="2283" w:type="pct"/>
            <w:shd w:val="clear" w:color="auto" w:fill="D9E2F3"/>
            <w:tcMar>
              <w:top w:w="0" w:type="dxa"/>
              <w:left w:w="115" w:type="dxa"/>
              <w:bottom w:w="0" w:type="dxa"/>
              <w:right w:w="115" w:type="dxa"/>
            </w:tcMar>
            <w:vAlign w:val="center"/>
            <w:hideMark/>
          </w:tcPr>
          <w:p w14:paraId="42143BF8" w14:textId="77777777" w:rsidR="001D4AA2" w:rsidRPr="009E4D2F" w:rsidRDefault="001D4AA2" w:rsidP="00072C20">
            <w:pPr>
              <w:spacing w:beforeLines="20" w:before="48" w:afterLines="20" w:after="48"/>
              <w:jc w:val="left"/>
              <w:rPr>
                <w:rFonts w:cs="Arial"/>
                <w:sz w:val="18"/>
                <w:szCs w:val="18"/>
              </w:rPr>
            </w:pPr>
            <w:r w:rsidRPr="009E4D2F">
              <w:rPr>
                <w:rFonts w:cs="Arial"/>
                <w:sz w:val="18"/>
                <w:szCs w:val="18"/>
              </w:rPr>
              <w:t>Agencije i druge pravne osobe s javnim ovlastima</w:t>
            </w:r>
          </w:p>
        </w:tc>
        <w:tc>
          <w:tcPr>
            <w:tcW w:w="584" w:type="pct"/>
            <w:shd w:val="clear" w:color="auto" w:fill="D9E2F3"/>
            <w:tcMar>
              <w:top w:w="0" w:type="dxa"/>
              <w:left w:w="115" w:type="dxa"/>
              <w:bottom w:w="0" w:type="dxa"/>
              <w:right w:w="115" w:type="dxa"/>
            </w:tcMar>
            <w:vAlign w:val="center"/>
            <w:hideMark/>
          </w:tcPr>
          <w:p w14:paraId="1D4D7EC6"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51</w:t>
            </w:r>
          </w:p>
        </w:tc>
        <w:tc>
          <w:tcPr>
            <w:tcW w:w="712" w:type="pct"/>
            <w:shd w:val="clear" w:color="auto" w:fill="D9E2F3"/>
            <w:vAlign w:val="center"/>
          </w:tcPr>
          <w:p w14:paraId="41053810"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51</w:t>
            </w:r>
          </w:p>
        </w:tc>
        <w:tc>
          <w:tcPr>
            <w:tcW w:w="711" w:type="pct"/>
            <w:shd w:val="clear" w:color="auto" w:fill="D9E2F3"/>
            <w:vAlign w:val="center"/>
          </w:tcPr>
          <w:p w14:paraId="00449841"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45</w:t>
            </w:r>
          </w:p>
        </w:tc>
        <w:tc>
          <w:tcPr>
            <w:tcW w:w="711" w:type="pct"/>
            <w:shd w:val="clear" w:color="auto" w:fill="D9E2F3"/>
            <w:tcMar>
              <w:top w:w="0" w:type="dxa"/>
              <w:left w:w="115" w:type="dxa"/>
              <w:bottom w:w="0" w:type="dxa"/>
              <w:right w:w="115" w:type="dxa"/>
            </w:tcMar>
            <w:vAlign w:val="center"/>
          </w:tcPr>
          <w:p w14:paraId="6291B24E" w14:textId="77777777" w:rsidR="001D4AA2" w:rsidRPr="009E4D2F" w:rsidRDefault="001D4AA2" w:rsidP="00072C20">
            <w:pPr>
              <w:spacing w:beforeLines="20" w:before="48" w:afterLines="20" w:after="48"/>
              <w:ind w:right="23"/>
              <w:jc w:val="center"/>
              <w:rPr>
                <w:rFonts w:cs="Arial"/>
                <w:sz w:val="18"/>
                <w:szCs w:val="18"/>
              </w:rPr>
            </w:pPr>
            <w:r w:rsidRPr="009E4D2F">
              <w:rPr>
                <w:rFonts w:cs="Arial"/>
                <w:sz w:val="18"/>
                <w:szCs w:val="18"/>
              </w:rPr>
              <w:t>88</w:t>
            </w:r>
          </w:p>
        </w:tc>
      </w:tr>
      <w:tr w:rsidR="001D4AA2" w:rsidRPr="009E4D2F" w14:paraId="7ACE48BD" w14:textId="77777777" w:rsidTr="009502DA">
        <w:trPr>
          <w:cantSplit/>
          <w:trHeight w:hRule="exact" w:val="284"/>
          <w:jc w:val="center"/>
        </w:trPr>
        <w:tc>
          <w:tcPr>
            <w:tcW w:w="2283" w:type="pct"/>
            <w:tcMar>
              <w:top w:w="0" w:type="dxa"/>
              <w:left w:w="115" w:type="dxa"/>
              <w:bottom w:w="0" w:type="dxa"/>
              <w:right w:w="115" w:type="dxa"/>
            </w:tcMar>
            <w:vAlign w:val="center"/>
            <w:hideMark/>
          </w:tcPr>
          <w:p w14:paraId="5B0639DE" w14:textId="77777777" w:rsidR="001D4AA2" w:rsidRPr="009E4D2F" w:rsidRDefault="001D4AA2" w:rsidP="00072C20">
            <w:pPr>
              <w:spacing w:beforeLines="20" w:before="48" w:afterLines="20" w:after="48"/>
              <w:rPr>
                <w:rFonts w:cs="Arial"/>
                <w:sz w:val="18"/>
                <w:szCs w:val="18"/>
              </w:rPr>
            </w:pPr>
            <w:r w:rsidRPr="009E4D2F">
              <w:rPr>
                <w:rFonts w:cs="Arial"/>
                <w:sz w:val="18"/>
                <w:szCs w:val="18"/>
              </w:rPr>
              <w:t>Ustanove</w:t>
            </w:r>
          </w:p>
        </w:tc>
        <w:tc>
          <w:tcPr>
            <w:tcW w:w="584" w:type="pct"/>
            <w:tcMar>
              <w:top w:w="0" w:type="dxa"/>
              <w:left w:w="115" w:type="dxa"/>
              <w:bottom w:w="0" w:type="dxa"/>
              <w:right w:w="115" w:type="dxa"/>
            </w:tcMar>
            <w:vAlign w:val="center"/>
            <w:hideMark/>
          </w:tcPr>
          <w:p w14:paraId="18E6F129"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3.339</w:t>
            </w:r>
          </w:p>
        </w:tc>
        <w:tc>
          <w:tcPr>
            <w:tcW w:w="712" w:type="pct"/>
            <w:vAlign w:val="center"/>
          </w:tcPr>
          <w:p w14:paraId="6EBE80DE"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3.169</w:t>
            </w:r>
          </w:p>
        </w:tc>
        <w:tc>
          <w:tcPr>
            <w:tcW w:w="711" w:type="pct"/>
            <w:vAlign w:val="center"/>
          </w:tcPr>
          <w:p w14:paraId="1D62AFB9"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775</w:t>
            </w:r>
          </w:p>
        </w:tc>
        <w:tc>
          <w:tcPr>
            <w:tcW w:w="711" w:type="pct"/>
            <w:tcMar>
              <w:top w:w="0" w:type="dxa"/>
              <w:left w:w="115" w:type="dxa"/>
              <w:bottom w:w="0" w:type="dxa"/>
              <w:right w:w="115" w:type="dxa"/>
            </w:tcMar>
            <w:vAlign w:val="center"/>
          </w:tcPr>
          <w:p w14:paraId="6DFC1569" w14:textId="77777777" w:rsidR="001D4AA2" w:rsidRPr="009E4D2F" w:rsidRDefault="001D4AA2" w:rsidP="00072C20">
            <w:pPr>
              <w:spacing w:beforeLines="20" w:before="48" w:afterLines="20" w:after="48"/>
              <w:ind w:right="23"/>
              <w:jc w:val="center"/>
              <w:rPr>
                <w:rFonts w:cs="Arial"/>
                <w:sz w:val="18"/>
                <w:szCs w:val="18"/>
              </w:rPr>
            </w:pPr>
            <w:r w:rsidRPr="009E4D2F">
              <w:rPr>
                <w:rFonts w:eastAsiaTheme="minorHAnsi" w:cstheme="minorBidi"/>
                <w:sz w:val="18"/>
                <w:szCs w:val="18"/>
                <w:lang w:eastAsia="en-US"/>
              </w:rPr>
              <w:t>24</w:t>
            </w:r>
          </w:p>
        </w:tc>
      </w:tr>
      <w:tr w:rsidR="001D4AA2" w:rsidRPr="009E4D2F" w14:paraId="1065E2D5" w14:textId="77777777" w:rsidTr="009502DA">
        <w:trPr>
          <w:cantSplit/>
          <w:trHeight w:hRule="exact" w:val="284"/>
          <w:jc w:val="center"/>
        </w:trPr>
        <w:tc>
          <w:tcPr>
            <w:tcW w:w="2283" w:type="pct"/>
            <w:shd w:val="clear" w:color="auto" w:fill="D9E2F3"/>
            <w:tcMar>
              <w:top w:w="0" w:type="dxa"/>
              <w:left w:w="115" w:type="dxa"/>
              <w:bottom w:w="0" w:type="dxa"/>
              <w:right w:w="115" w:type="dxa"/>
            </w:tcMar>
            <w:vAlign w:val="center"/>
            <w:hideMark/>
          </w:tcPr>
          <w:p w14:paraId="56C97491" w14:textId="77777777" w:rsidR="001D4AA2" w:rsidRPr="009E4D2F" w:rsidRDefault="001D4AA2" w:rsidP="00072C20">
            <w:pPr>
              <w:spacing w:beforeLines="20" w:before="48" w:afterLines="20" w:after="48"/>
              <w:rPr>
                <w:rFonts w:cs="Arial"/>
                <w:sz w:val="18"/>
                <w:szCs w:val="18"/>
              </w:rPr>
            </w:pPr>
            <w:r w:rsidRPr="009E4D2F">
              <w:rPr>
                <w:rFonts w:cs="Arial"/>
                <w:sz w:val="18"/>
                <w:szCs w:val="18"/>
              </w:rPr>
              <w:t>Trgovačka društva</w:t>
            </w:r>
          </w:p>
        </w:tc>
        <w:tc>
          <w:tcPr>
            <w:tcW w:w="584" w:type="pct"/>
            <w:shd w:val="clear" w:color="auto" w:fill="D9E2F3"/>
            <w:tcMar>
              <w:top w:w="0" w:type="dxa"/>
              <w:left w:w="115" w:type="dxa"/>
              <w:bottom w:w="0" w:type="dxa"/>
              <w:right w:w="115" w:type="dxa"/>
            </w:tcMar>
            <w:vAlign w:val="center"/>
            <w:hideMark/>
          </w:tcPr>
          <w:p w14:paraId="0989CCE6"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816</w:t>
            </w:r>
          </w:p>
        </w:tc>
        <w:tc>
          <w:tcPr>
            <w:tcW w:w="712" w:type="pct"/>
            <w:shd w:val="clear" w:color="auto" w:fill="D9E2F3"/>
            <w:vAlign w:val="center"/>
          </w:tcPr>
          <w:p w14:paraId="06864E74"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720</w:t>
            </w:r>
          </w:p>
        </w:tc>
        <w:tc>
          <w:tcPr>
            <w:tcW w:w="711" w:type="pct"/>
            <w:shd w:val="clear" w:color="auto" w:fill="D9E2F3"/>
            <w:vAlign w:val="center"/>
          </w:tcPr>
          <w:p w14:paraId="697C62C6"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248</w:t>
            </w:r>
          </w:p>
        </w:tc>
        <w:tc>
          <w:tcPr>
            <w:tcW w:w="711" w:type="pct"/>
            <w:shd w:val="clear" w:color="auto" w:fill="D9E2F3"/>
            <w:tcMar>
              <w:top w:w="0" w:type="dxa"/>
              <w:left w:w="115" w:type="dxa"/>
              <w:bottom w:w="0" w:type="dxa"/>
              <w:right w:w="115" w:type="dxa"/>
            </w:tcMar>
            <w:vAlign w:val="center"/>
          </w:tcPr>
          <w:p w14:paraId="63E62D54" w14:textId="77777777" w:rsidR="001D4AA2" w:rsidRPr="009E4D2F" w:rsidRDefault="001D4AA2" w:rsidP="00072C20">
            <w:pPr>
              <w:spacing w:beforeLines="20" w:before="48" w:afterLines="20" w:after="48"/>
              <w:ind w:right="23"/>
              <w:jc w:val="center"/>
              <w:rPr>
                <w:rFonts w:cs="Arial"/>
                <w:sz w:val="18"/>
                <w:szCs w:val="18"/>
              </w:rPr>
            </w:pPr>
            <w:r w:rsidRPr="009E4D2F">
              <w:rPr>
                <w:rFonts w:eastAsiaTheme="minorHAnsi" w:cstheme="minorBidi"/>
                <w:sz w:val="18"/>
                <w:szCs w:val="18"/>
                <w:lang w:eastAsia="en-US"/>
              </w:rPr>
              <w:t>34</w:t>
            </w:r>
          </w:p>
        </w:tc>
      </w:tr>
      <w:tr w:rsidR="001D4AA2" w:rsidRPr="009E4D2F" w14:paraId="1133D6A7" w14:textId="77777777" w:rsidTr="009502DA">
        <w:trPr>
          <w:cantSplit/>
          <w:trHeight w:hRule="exact" w:val="284"/>
          <w:jc w:val="center"/>
        </w:trPr>
        <w:tc>
          <w:tcPr>
            <w:tcW w:w="2283" w:type="pct"/>
            <w:tcMar>
              <w:top w:w="0" w:type="dxa"/>
              <w:left w:w="115" w:type="dxa"/>
              <w:bottom w:w="0" w:type="dxa"/>
              <w:right w:w="115" w:type="dxa"/>
            </w:tcMar>
            <w:vAlign w:val="center"/>
            <w:hideMark/>
          </w:tcPr>
          <w:p w14:paraId="2FBBCDC3" w14:textId="77777777" w:rsidR="001D4AA2" w:rsidRPr="009E4D2F" w:rsidRDefault="001D4AA2" w:rsidP="00072C20">
            <w:pPr>
              <w:spacing w:beforeLines="20" w:before="48" w:afterLines="20" w:after="48"/>
              <w:rPr>
                <w:rFonts w:cs="Arial"/>
                <w:sz w:val="18"/>
                <w:szCs w:val="18"/>
              </w:rPr>
            </w:pPr>
            <w:r w:rsidRPr="009E4D2F">
              <w:rPr>
                <w:rFonts w:cs="Arial"/>
                <w:sz w:val="18"/>
                <w:szCs w:val="18"/>
              </w:rPr>
              <w:t>Udruge</w:t>
            </w:r>
          </w:p>
        </w:tc>
        <w:tc>
          <w:tcPr>
            <w:tcW w:w="584" w:type="pct"/>
            <w:tcMar>
              <w:top w:w="0" w:type="dxa"/>
              <w:left w:w="115" w:type="dxa"/>
              <w:bottom w:w="0" w:type="dxa"/>
              <w:right w:w="115" w:type="dxa"/>
            </w:tcMar>
            <w:vAlign w:val="center"/>
            <w:hideMark/>
          </w:tcPr>
          <w:p w14:paraId="52D17726"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468</w:t>
            </w:r>
          </w:p>
        </w:tc>
        <w:tc>
          <w:tcPr>
            <w:tcW w:w="712" w:type="pct"/>
            <w:vAlign w:val="center"/>
          </w:tcPr>
          <w:p w14:paraId="48D4C751"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312</w:t>
            </w:r>
          </w:p>
        </w:tc>
        <w:tc>
          <w:tcPr>
            <w:tcW w:w="711" w:type="pct"/>
            <w:vAlign w:val="center"/>
          </w:tcPr>
          <w:p w14:paraId="25EF5874"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36</w:t>
            </w:r>
          </w:p>
        </w:tc>
        <w:tc>
          <w:tcPr>
            <w:tcW w:w="711" w:type="pct"/>
            <w:tcMar>
              <w:top w:w="0" w:type="dxa"/>
              <w:left w:w="115" w:type="dxa"/>
              <w:bottom w:w="0" w:type="dxa"/>
              <w:right w:w="115" w:type="dxa"/>
            </w:tcMar>
            <w:vAlign w:val="center"/>
          </w:tcPr>
          <w:p w14:paraId="6A210E70" w14:textId="77777777" w:rsidR="001D4AA2" w:rsidRPr="009E4D2F" w:rsidRDefault="001D4AA2" w:rsidP="00072C20">
            <w:pPr>
              <w:spacing w:beforeLines="20" w:before="48" w:afterLines="20" w:after="48"/>
              <w:ind w:right="23"/>
              <w:jc w:val="center"/>
              <w:rPr>
                <w:rFonts w:cs="Arial"/>
                <w:sz w:val="18"/>
                <w:szCs w:val="18"/>
              </w:rPr>
            </w:pPr>
            <w:r w:rsidRPr="009E4D2F">
              <w:rPr>
                <w:rFonts w:eastAsiaTheme="minorHAnsi" w:cstheme="minorBidi"/>
                <w:sz w:val="18"/>
                <w:szCs w:val="18"/>
                <w:lang w:eastAsia="en-US"/>
              </w:rPr>
              <w:t>12</w:t>
            </w:r>
          </w:p>
        </w:tc>
      </w:tr>
      <w:tr w:rsidR="001D4AA2" w:rsidRPr="009E4D2F" w14:paraId="1A3FB7A2" w14:textId="77777777" w:rsidTr="009502DA">
        <w:trPr>
          <w:cantSplit/>
          <w:trHeight w:hRule="exact" w:val="284"/>
          <w:jc w:val="center"/>
        </w:trPr>
        <w:tc>
          <w:tcPr>
            <w:tcW w:w="2283" w:type="pct"/>
            <w:shd w:val="clear" w:color="auto" w:fill="D9E2F3"/>
            <w:tcMar>
              <w:top w:w="0" w:type="dxa"/>
              <w:left w:w="115" w:type="dxa"/>
              <w:bottom w:w="0" w:type="dxa"/>
              <w:right w:w="115" w:type="dxa"/>
            </w:tcMar>
            <w:vAlign w:val="center"/>
            <w:hideMark/>
          </w:tcPr>
          <w:p w14:paraId="0CBE70BB" w14:textId="77777777" w:rsidR="001D4AA2" w:rsidRPr="009E4D2F" w:rsidRDefault="001D4AA2" w:rsidP="00072C20">
            <w:pPr>
              <w:spacing w:beforeLines="20" w:before="48" w:afterLines="20" w:after="48"/>
              <w:rPr>
                <w:rFonts w:cs="Arial"/>
                <w:sz w:val="18"/>
                <w:szCs w:val="18"/>
              </w:rPr>
            </w:pPr>
            <w:r w:rsidRPr="009E4D2F">
              <w:rPr>
                <w:rFonts w:cs="Arial"/>
                <w:sz w:val="18"/>
                <w:szCs w:val="18"/>
              </w:rPr>
              <w:t>Ostale pravne osobe i tijela s javnim ovlastima</w:t>
            </w:r>
          </w:p>
        </w:tc>
        <w:tc>
          <w:tcPr>
            <w:tcW w:w="584" w:type="pct"/>
            <w:shd w:val="clear" w:color="auto" w:fill="D9E2F3"/>
            <w:tcMar>
              <w:top w:w="0" w:type="dxa"/>
              <w:left w:w="115" w:type="dxa"/>
              <w:bottom w:w="0" w:type="dxa"/>
              <w:right w:w="115" w:type="dxa"/>
            </w:tcMar>
            <w:vAlign w:val="center"/>
            <w:hideMark/>
          </w:tcPr>
          <w:p w14:paraId="00F761EC"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332</w:t>
            </w:r>
          </w:p>
        </w:tc>
        <w:tc>
          <w:tcPr>
            <w:tcW w:w="712" w:type="pct"/>
            <w:shd w:val="clear" w:color="auto" w:fill="D9E2F3"/>
            <w:vAlign w:val="center"/>
          </w:tcPr>
          <w:p w14:paraId="2D743FC0"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295</w:t>
            </w:r>
          </w:p>
        </w:tc>
        <w:tc>
          <w:tcPr>
            <w:tcW w:w="711" w:type="pct"/>
            <w:shd w:val="clear" w:color="auto" w:fill="D9E2F3"/>
            <w:vAlign w:val="center"/>
          </w:tcPr>
          <w:p w14:paraId="5FBE7840" w14:textId="77777777" w:rsidR="001D4AA2" w:rsidRPr="009E4D2F" w:rsidRDefault="001D4AA2" w:rsidP="00072C20">
            <w:pPr>
              <w:spacing w:beforeLines="20" w:before="48" w:afterLines="20" w:after="48"/>
              <w:ind w:right="227"/>
              <w:jc w:val="right"/>
              <w:rPr>
                <w:rFonts w:cs="Arial"/>
                <w:sz w:val="18"/>
                <w:szCs w:val="18"/>
              </w:rPr>
            </w:pPr>
            <w:r w:rsidRPr="009E4D2F">
              <w:rPr>
                <w:rFonts w:cs="Arial"/>
                <w:sz w:val="18"/>
                <w:szCs w:val="18"/>
              </w:rPr>
              <w:t>89</w:t>
            </w:r>
          </w:p>
        </w:tc>
        <w:tc>
          <w:tcPr>
            <w:tcW w:w="711" w:type="pct"/>
            <w:shd w:val="clear" w:color="auto" w:fill="D9E2F3"/>
            <w:tcMar>
              <w:top w:w="0" w:type="dxa"/>
              <w:left w:w="115" w:type="dxa"/>
              <w:bottom w:w="0" w:type="dxa"/>
              <w:right w:w="115" w:type="dxa"/>
            </w:tcMar>
            <w:vAlign w:val="center"/>
          </w:tcPr>
          <w:p w14:paraId="291809E1" w14:textId="77777777" w:rsidR="001D4AA2" w:rsidRPr="009E4D2F" w:rsidRDefault="001D4AA2" w:rsidP="00072C20">
            <w:pPr>
              <w:spacing w:beforeLines="20" w:before="48" w:afterLines="20" w:after="48"/>
              <w:ind w:right="23"/>
              <w:jc w:val="center"/>
              <w:rPr>
                <w:rFonts w:cs="Arial"/>
                <w:sz w:val="18"/>
                <w:szCs w:val="18"/>
              </w:rPr>
            </w:pPr>
            <w:r w:rsidRPr="009E4D2F">
              <w:rPr>
                <w:rFonts w:eastAsiaTheme="minorHAnsi" w:cstheme="minorBidi"/>
                <w:sz w:val="18"/>
                <w:szCs w:val="18"/>
                <w:lang w:eastAsia="en-US"/>
              </w:rPr>
              <w:t>30</w:t>
            </w:r>
          </w:p>
        </w:tc>
      </w:tr>
      <w:tr w:rsidR="001D4AA2" w:rsidRPr="009E4D2F" w14:paraId="74D13CE8" w14:textId="77777777" w:rsidTr="009502DA">
        <w:trPr>
          <w:cantSplit/>
          <w:trHeight w:hRule="exact" w:val="284"/>
          <w:jc w:val="center"/>
        </w:trPr>
        <w:tc>
          <w:tcPr>
            <w:tcW w:w="2283" w:type="pct"/>
            <w:tcBorders>
              <w:bottom w:val="single" w:sz="8" w:space="0" w:color="4F81BD"/>
            </w:tcBorders>
            <w:tcMar>
              <w:top w:w="0" w:type="dxa"/>
              <w:left w:w="115" w:type="dxa"/>
              <w:bottom w:w="0" w:type="dxa"/>
              <w:right w:w="115" w:type="dxa"/>
            </w:tcMar>
            <w:vAlign w:val="center"/>
            <w:hideMark/>
          </w:tcPr>
          <w:p w14:paraId="197492DA" w14:textId="77777777" w:rsidR="001D4AA2" w:rsidRPr="009E4D2F" w:rsidRDefault="001D4AA2" w:rsidP="00072C20">
            <w:pPr>
              <w:spacing w:beforeLines="20" w:before="48" w:afterLines="20" w:after="48"/>
              <w:rPr>
                <w:rFonts w:cs="Arial"/>
                <w:sz w:val="18"/>
                <w:szCs w:val="18"/>
              </w:rPr>
            </w:pPr>
            <w:r w:rsidRPr="009E4D2F">
              <w:rPr>
                <w:rFonts w:cs="Arial"/>
                <w:b/>
                <w:bCs/>
                <w:sz w:val="18"/>
                <w:szCs w:val="18"/>
              </w:rPr>
              <w:t>Ukupno</w:t>
            </w:r>
          </w:p>
        </w:tc>
        <w:tc>
          <w:tcPr>
            <w:tcW w:w="584" w:type="pct"/>
            <w:tcBorders>
              <w:bottom w:val="single" w:sz="8" w:space="0" w:color="4F81BD"/>
            </w:tcBorders>
            <w:tcMar>
              <w:top w:w="0" w:type="dxa"/>
              <w:left w:w="115" w:type="dxa"/>
              <w:bottom w:w="0" w:type="dxa"/>
              <w:right w:w="115" w:type="dxa"/>
            </w:tcMar>
            <w:vAlign w:val="center"/>
            <w:hideMark/>
          </w:tcPr>
          <w:p w14:paraId="2832763C" w14:textId="77777777" w:rsidR="001D4AA2" w:rsidRPr="009E4D2F" w:rsidRDefault="001D4AA2" w:rsidP="00072C20">
            <w:pPr>
              <w:spacing w:beforeLines="20" w:before="48" w:afterLines="20" w:after="48"/>
              <w:ind w:right="227"/>
              <w:jc w:val="right"/>
              <w:rPr>
                <w:rFonts w:cs="Arial"/>
                <w:b/>
                <w:bCs/>
                <w:sz w:val="18"/>
                <w:szCs w:val="18"/>
              </w:rPr>
            </w:pPr>
            <w:r w:rsidRPr="009E4D2F">
              <w:rPr>
                <w:rFonts w:cs="Arial"/>
                <w:b/>
                <w:bCs/>
                <w:sz w:val="18"/>
                <w:szCs w:val="18"/>
              </w:rPr>
              <w:t>5.740</w:t>
            </w:r>
          </w:p>
        </w:tc>
        <w:tc>
          <w:tcPr>
            <w:tcW w:w="712" w:type="pct"/>
            <w:tcBorders>
              <w:bottom w:val="single" w:sz="8" w:space="0" w:color="4F81BD"/>
            </w:tcBorders>
            <w:vAlign w:val="center"/>
          </w:tcPr>
          <w:p w14:paraId="32EEA8C0" w14:textId="77777777" w:rsidR="001D4AA2" w:rsidRPr="009E4D2F" w:rsidRDefault="001D4AA2" w:rsidP="00072C20">
            <w:pPr>
              <w:spacing w:beforeLines="20" w:before="48" w:afterLines="20" w:after="48"/>
              <w:ind w:right="227"/>
              <w:jc w:val="right"/>
              <w:rPr>
                <w:rFonts w:cs="Arial"/>
                <w:b/>
                <w:bCs/>
                <w:sz w:val="18"/>
                <w:szCs w:val="18"/>
              </w:rPr>
            </w:pPr>
            <w:r w:rsidRPr="009E4D2F">
              <w:rPr>
                <w:rFonts w:cs="Arial"/>
                <w:b/>
                <w:bCs/>
                <w:sz w:val="18"/>
                <w:szCs w:val="18"/>
              </w:rPr>
              <w:t>5.280</w:t>
            </w:r>
          </w:p>
        </w:tc>
        <w:tc>
          <w:tcPr>
            <w:tcW w:w="711" w:type="pct"/>
            <w:tcBorders>
              <w:bottom w:val="single" w:sz="8" w:space="0" w:color="4F81BD"/>
            </w:tcBorders>
            <w:vAlign w:val="center"/>
          </w:tcPr>
          <w:p w14:paraId="08CC9622" w14:textId="77777777" w:rsidR="001D4AA2" w:rsidRPr="009E4D2F" w:rsidRDefault="001D4AA2" w:rsidP="00072C20">
            <w:pPr>
              <w:spacing w:beforeLines="20" w:before="48" w:afterLines="20" w:after="48"/>
              <w:ind w:right="227"/>
              <w:jc w:val="right"/>
              <w:rPr>
                <w:rFonts w:cs="Arial"/>
                <w:b/>
                <w:bCs/>
                <w:sz w:val="18"/>
                <w:szCs w:val="18"/>
              </w:rPr>
            </w:pPr>
            <w:r w:rsidRPr="009E4D2F">
              <w:rPr>
                <w:rFonts w:cs="Arial"/>
                <w:b/>
                <w:bCs/>
                <w:sz w:val="18"/>
                <w:szCs w:val="18"/>
              </w:rPr>
              <w:t>1.886</w:t>
            </w:r>
          </w:p>
        </w:tc>
        <w:tc>
          <w:tcPr>
            <w:tcW w:w="711" w:type="pct"/>
            <w:tcBorders>
              <w:bottom w:val="single" w:sz="8" w:space="0" w:color="4F81BD"/>
            </w:tcBorders>
            <w:tcMar>
              <w:top w:w="0" w:type="dxa"/>
              <w:left w:w="115" w:type="dxa"/>
              <w:bottom w:w="0" w:type="dxa"/>
              <w:right w:w="115" w:type="dxa"/>
            </w:tcMar>
            <w:vAlign w:val="center"/>
          </w:tcPr>
          <w:p w14:paraId="2BA85BA9" w14:textId="77777777" w:rsidR="001D4AA2" w:rsidRPr="009E4D2F" w:rsidRDefault="001D4AA2" w:rsidP="00072C20">
            <w:pPr>
              <w:tabs>
                <w:tab w:val="left" w:pos="2017"/>
              </w:tabs>
              <w:spacing w:beforeLines="20" w:before="48" w:afterLines="20" w:after="48"/>
              <w:ind w:right="23"/>
              <w:jc w:val="center"/>
              <w:rPr>
                <w:rFonts w:cs="Arial"/>
                <w:b/>
                <w:bCs/>
                <w:sz w:val="18"/>
                <w:szCs w:val="18"/>
              </w:rPr>
            </w:pPr>
            <w:r w:rsidRPr="009E4D2F">
              <w:rPr>
                <w:rFonts w:eastAsiaTheme="minorHAnsi" w:cstheme="minorBidi"/>
                <w:b/>
                <w:bCs/>
                <w:sz w:val="18"/>
                <w:szCs w:val="18"/>
                <w:lang w:eastAsia="en-US"/>
              </w:rPr>
              <w:t>36</w:t>
            </w:r>
          </w:p>
        </w:tc>
      </w:tr>
    </w:tbl>
    <w:p w14:paraId="1AA0D160" w14:textId="0405C145" w:rsidR="001D4AA2" w:rsidRPr="00713AD5" w:rsidRDefault="001D4AA2" w:rsidP="00713AD5">
      <w:pPr>
        <w:pBdr>
          <w:top w:val="single" w:sz="4" w:space="1" w:color="auto"/>
          <w:left w:val="single" w:sz="4" w:space="4" w:color="auto"/>
          <w:bottom w:val="single" w:sz="4" w:space="1" w:color="auto"/>
          <w:right w:val="single" w:sz="4" w:space="4" w:color="auto"/>
        </w:pBdr>
        <w:spacing w:before="120"/>
        <w:rPr>
          <w:rFonts w:eastAsia="Times New Roman" w:cs="Times New Roman"/>
        </w:rPr>
      </w:pPr>
      <w:r w:rsidRPr="00713AD5">
        <w:rPr>
          <w:rFonts w:eastAsia="Times New Roman" w:cs="Times New Roman"/>
        </w:rPr>
        <w:lastRenderedPageBreak/>
        <w:t xml:space="preserve">U 2025. broj tijela koja su rješavala zahtjeve u blagom je padu. U odnosu na 2024. kada 63,5% tijela nije </w:t>
      </w:r>
      <w:r w:rsidR="00CF277E" w:rsidRPr="00713AD5">
        <w:rPr>
          <w:rFonts w:eastAsia="Times New Roman" w:cs="Times New Roman"/>
        </w:rPr>
        <w:t>rješavalo zahtjeve jer nije zaprimilo nijedan zahtjev, u 2025. 64% tijela nije zaprimilo nijedan zahtjev, dok je 36% tijela zaprimilo je i rješavalo zahtjeve</w:t>
      </w:r>
      <w:r w:rsidRPr="00713AD5">
        <w:rPr>
          <w:rFonts w:eastAsia="Times New Roman" w:cs="Times New Roman"/>
        </w:rPr>
        <w:t>.</w:t>
      </w:r>
    </w:p>
    <w:p w14:paraId="61C703B4" w14:textId="2368A194" w:rsidR="001D4AA2" w:rsidRPr="00832A45" w:rsidRDefault="00832A45" w:rsidP="00832A45">
      <w:pPr>
        <w:keepNext/>
        <w:widowControl w:val="0"/>
        <w:spacing w:before="240"/>
        <w:rPr>
          <w:rFonts w:cs="Arial"/>
          <w:sz w:val="18"/>
          <w:szCs w:val="18"/>
        </w:rPr>
      </w:pPr>
      <w:r w:rsidRPr="00832A45">
        <w:rPr>
          <w:rFonts w:cs="Arial"/>
          <w:sz w:val="18"/>
          <w:szCs w:val="18"/>
        </w:rPr>
        <w:t xml:space="preserve">Slika 3.1. Rješavanje zahtjeva 2021. – 2025. </w:t>
      </w:r>
    </w:p>
    <w:p w14:paraId="7C6EDA30" w14:textId="0685E88A" w:rsidR="001D4AA2" w:rsidRDefault="001D4AA2" w:rsidP="00BF0F8B">
      <w:pPr>
        <w:keepNext/>
        <w:widowControl w:val="0"/>
        <w:spacing w:before="240"/>
        <w:rPr>
          <w:rFonts w:cs="Arial"/>
          <w:sz w:val="18"/>
          <w:szCs w:val="18"/>
        </w:rPr>
      </w:pPr>
      <w:r w:rsidRPr="009E4D2F">
        <w:rPr>
          <w:rFonts w:asciiTheme="minorHAnsi" w:eastAsiaTheme="minorHAnsi" w:hAnsiTheme="minorHAnsi" w:cstheme="minorBidi"/>
          <w:noProof/>
          <w:lang w:eastAsia="en-US"/>
        </w:rPr>
        <w:drawing>
          <wp:inline distT="0" distB="0" distL="0" distR="0" wp14:anchorId="5A36A855" wp14:editId="7E23B70F">
            <wp:extent cx="5669915" cy="3213219"/>
            <wp:effectExtent l="0" t="0" r="6985" b="12700"/>
            <wp:docPr id="1910815567" name="Grafikon 1">
              <a:extLst xmlns:a="http://schemas.openxmlformats.org/drawingml/2006/main">
                <a:ext uri="{FF2B5EF4-FFF2-40B4-BE49-F238E27FC236}">
                  <a16:creationId xmlns:a16="http://schemas.microsoft.com/office/drawing/2014/main" id="{F0F2D1F6-3EF1-4D0E-AC8A-DD078BA9F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7705AC" w14:textId="697FF24A" w:rsidR="00832A45" w:rsidRPr="00713AD5" w:rsidRDefault="00832A45" w:rsidP="00713AD5">
      <w:pPr>
        <w:pBdr>
          <w:top w:val="single" w:sz="4" w:space="1" w:color="auto"/>
          <w:left w:val="single" w:sz="4" w:space="4" w:color="auto"/>
          <w:bottom w:val="single" w:sz="4" w:space="1" w:color="auto"/>
          <w:right w:val="single" w:sz="4" w:space="4" w:color="auto"/>
        </w:pBdr>
        <w:rPr>
          <w:rFonts w:eastAsia="Times New Roman" w:cs="Times New Roman"/>
        </w:rPr>
      </w:pPr>
      <w:r w:rsidRPr="00713AD5">
        <w:rPr>
          <w:rFonts w:eastAsia="Times New Roman" w:cs="Times New Roman"/>
        </w:rPr>
        <w:t>Najveći broj tijela (1.708, tj. 91%), zaprimilo je do 20 zahtjeva, a njih čak 1.248 (66%) je u rješavanju imalo 1-5 zahtjeva</w:t>
      </w:r>
      <w:r w:rsidR="00713AD5" w:rsidRPr="00713AD5">
        <w:rPr>
          <w:rFonts w:eastAsia="Times New Roman" w:cs="Times New Roman"/>
        </w:rPr>
        <w:t>.</w:t>
      </w:r>
    </w:p>
    <w:p w14:paraId="74377349" w14:textId="06940BA4" w:rsidR="00FD3A68" w:rsidRPr="00F0315E" w:rsidRDefault="00FD3A68" w:rsidP="00BF0F8B">
      <w:pPr>
        <w:keepNext/>
        <w:widowControl w:val="0"/>
        <w:spacing w:before="240"/>
        <w:rPr>
          <w:rFonts w:cs="Arial"/>
          <w:sz w:val="18"/>
          <w:szCs w:val="18"/>
        </w:rPr>
      </w:pPr>
      <w:r w:rsidRPr="00F0315E">
        <w:rPr>
          <w:rFonts w:cs="Arial"/>
          <w:sz w:val="18"/>
          <w:szCs w:val="18"/>
        </w:rPr>
        <w:t xml:space="preserve">Tablica </w:t>
      </w:r>
      <w:r w:rsidR="008F1FDC" w:rsidRPr="00F0315E">
        <w:rPr>
          <w:rFonts w:cs="Arial"/>
          <w:sz w:val="18"/>
          <w:szCs w:val="18"/>
        </w:rPr>
        <w:t>3</w:t>
      </w:r>
      <w:r w:rsidRPr="00F0315E">
        <w:rPr>
          <w:rFonts w:cs="Arial"/>
          <w:sz w:val="18"/>
          <w:szCs w:val="18"/>
        </w:rPr>
        <w:t>.</w:t>
      </w:r>
      <w:r w:rsidR="005A7B9E">
        <w:rPr>
          <w:rFonts w:cs="Arial"/>
          <w:sz w:val="18"/>
          <w:szCs w:val="18"/>
        </w:rPr>
        <w:t>3</w:t>
      </w:r>
      <w:r w:rsidRPr="00F0315E">
        <w:rPr>
          <w:rFonts w:cs="Arial"/>
          <w:sz w:val="18"/>
          <w:szCs w:val="18"/>
        </w:rPr>
        <w:t>. Odnos broja tijela i ukupnog broja zaprimljenih zahtjeva</w:t>
      </w:r>
    </w:p>
    <w:tbl>
      <w:tblPr>
        <w:tblStyle w:val="ListTable2-Accent1121"/>
        <w:tblW w:w="4875" w:type="pct"/>
        <w:jc w:val="center"/>
        <w:tblLook w:val="04A0" w:firstRow="1" w:lastRow="0" w:firstColumn="1" w:lastColumn="0" w:noHBand="0" w:noVBand="1"/>
      </w:tblPr>
      <w:tblGrid>
        <w:gridCol w:w="6464"/>
        <w:gridCol w:w="2381"/>
      </w:tblGrid>
      <w:tr w:rsidR="00FD3A68" w:rsidRPr="005E1FCB" w14:paraId="2E1064E8" w14:textId="77777777" w:rsidTr="00520E63">
        <w:trPr>
          <w:cnfStyle w:val="100000000000" w:firstRow="1" w:lastRow="0" w:firstColumn="0" w:lastColumn="0" w:oddVBand="0" w:evenVBand="0" w:oddHBand="0"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hideMark/>
          </w:tcPr>
          <w:p w14:paraId="0E4EB879" w14:textId="0962804B" w:rsidR="000F2958" w:rsidRPr="005E1FCB" w:rsidRDefault="00FD3A68" w:rsidP="00072C20">
            <w:pPr>
              <w:spacing w:before="20" w:after="20"/>
              <w:ind w:left="318"/>
              <w:jc w:val="center"/>
              <w:rPr>
                <w:rFonts w:ascii="Roboto" w:eastAsia="Aptos" w:hAnsi="Roboto"/>
                <w:b w:val="0"/>
                <w:bCs w:val="0"/>
                <w:kern w:val="2"/>
                <w:sz w:val="18"/>
                <w:szCs w:val="18"/>
                <w:lang w:eastAsia="en-US"/>
                <w14:ligatures w14:val="standardContextual"/>
              </w:rPr>
            </w:pPr>
            <w:r w:rsidRPr="005E1FCB">
              <w:rPr>
                <w:rFonts w:ascii="Roboto" w:eastAsia="Aptos" w:hAnsi="Roboto"/>
                <w:kern w:val="2"/>
                <w:sz w:val="18"/>
                <w:szCs w:val="18"/>
                <w:lang w:eastAsia="en-US"/>
                <w14:ligatures w14:val="standardContextual"/>
              </w:rPr>
              <w:t>Broj zaprimljenih zahtjeva</w:t>
            </w:r>
          </w:p>
        </w:tc>
        <w:tc>
          <w:tcPr>
            <w:tcW w:w="1346" w:type="pct"/>
            <w:tcBorders>
              <w:top w:val="single" w:sz="4" w:space="0" w:color="8EAADB"/>
              <w:left w:val="nil"/>
              <w:bottom w:val="single" w:sz="4" w:space="0" w:color="8EAADB"/>
              <w:right w:val="nil"/>
            </w:tcBorders>
            <w:vAlign w:val="center"/>
            <w:hideMark/>
          </w:tcPr>
          <w:p w14:paraId="7D07C4A8" w14:textId="77777777" w:rsidR="00FD3A68" w:rsidRPr="005E1FCB" w:rsidRDefault="00FD3A68" w:rsidP="00072C20">
            <w:pPr>
              <w:spacing w:before="20" w:after="20"/>
              <w:ind w:right="606"/>
              <w:jc w:val="right"/>
              <w:cnfStyle w:val="100000000000" w:firstRow="1" w:lastRow="0" w:firstColumn="0" w:lastColumn="0" w:oddVBand="0" w:evenVBand="0" w:oddHBand="0" w:evenHBand="0" w:firstRowFirstColumn="0" w:firstRowLastColumn="0" w:lastRowFirstColumn="0" w:lastRowLastColumn="0"/>
              <w:rPr>
                <w:rFonts w:ascii="Roboto" w:eastAsia="Aptos" w:hAnsi="Roboto"/>
                <w:kern w:val="2"/>
                <w:sz w:val="18"/>
                <w:szCs w:val="18"/>
                <w:lang w:eastAsia="en-US"/>
                <w14:ligatures w14:val="standardContextual"/>
              </w:rPr>
            </w:pPr>
            <w:r w:rsidRPr="005E1FCB">
              <w:rPr>
                <w:rFonts w:ascii="Roboto" w:eastAsia="Aptos" w:hAnsi="Roboto"/>
                <w:kern w:val="2"/>
                <w:sz w:val="18"/>
                <w:szCs w:val="18"/>
                <w:lang w:eastAsia="en-US"/>
                <w14:ligatures w14:val="standardContextual"/>
              </w:rPr>
              <w:t>Broj TJV</w:t>
            </w:r>
          </w:p>
        </w:tc>
      </w:tr>
      <w:tr w:rsidR="00832A45" w:rsidRPr="005E1FCB" w14:paraId="1E855BB6" w14:textId="77777777" w:rsidTr="00520E63">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hideMark/>
          </w:tcPr>
          <w:p w14:paraId="45FBE622" w14:textId="77777777" w:rsidR="00832A45" w:rsidRPr="00050714" w:rsidRDefault="00832A45" w:rsidP="00832A45">
            <w:pPr>
              <w:snapToGrid w:val="0"/>
              <w:spacing w:before="20" w:after="20"/>
              <w:ind w:left="318"/>
              <w:jc w:val="left"/>
              <w:rPr>
                <w:rFonts w:ascii="Roboto" w:eastAsia="Aptos" w:hAnsi="Roboto"/>
                <w:b w:val="0"/>
                <w:bCs w:val="0"/>
                <w:kern w:val="2"/>
                <w:sz w:val="18"/>
                <w:szCs w:val="18"/>
                <w:lang w:eastAsia="en-US"/>
                <w14:ligatures w14:val="standardContextual"/>
              </w:rPr>
            </w:pPr>
            <w:r w:rsidRPr="00050714">
              <w:rPr>
                <w:rFonts w:ascii="Roboto" w:eastAsia="Aptos" w:hAnsi="Roboto"/>
                <w:b w:val="0"/>
                <w:bCs w:val="0"/>
                <w:kern w:val="2"/>
                <w:sz w:val="18"/>
                <w:szCs w:val="18"/>
                <w:lang w:eastAsia="en-US"/>
                <w14:ligatures w14:val="standardContextual"/>
              </w:rPr>
              <w:t>0 (bez zaprimljenih zahtjeva)</w:t>
            </w:r>
          </w:p>
        </w:tc>
        <w:tc>
          <w:tcPr>
            <w:tcW w:w="1346" w:type="pct"/>
            <w:tcBorders>
              <w:top w:val="single" w:sz="4" w:space="0" w:color="8EAADB"/>
              <w:left w:val="nil"/>
              <w:bottom w:val="single" w:sz="4" w:space="0" w:color="8EAADB"/>
              <w:right w:val="nil"/>
            </w:tcBorders>
            <w:vAlign w:val="center"/>
            <w:hideMark/>
          </w:tcPr>
          <w:p w14:paraId="6BB875A0" w14:textId="2E587114" w:rsidR="00832A45" w:rsidRPr="00832A45" w:rsidRDefault="00832A45" w:rsidP="00832A45">
            <w:pPr>
              <w:snapToGrid w:val="0"/>
              <w:spacing w:before="20" w:after="20"/>
              <w:ind w:right="606"/>
              <w:jc w:val="right"/>
              <w:cnfStyle w:val="000000100000" w:firstRow="0" w:lastRow="0" w:firstColumn="0" w:lastColumn="0" w:oddVBand="0" w:evenVBand="0" w:oddHBand="1" w:evenHBand="0" w:firstRowFirstColumn="0" w:firstRowLastColumn="0" w:lastRowFirstColumn="0" w:lastRowLastColumn="0"/>
              <w:rPr>
                <w:rFonts w:ascii="Roboto" w:eastAsia="Aptos" w:hAnsi="Roboto"/>
                <w:i/>
                <w:iCs/>
                <w:kern w:val="2"/>
                <w:sz w:val="18"/>
                <w:szCs w:val="18"/>
                <w:lang w:eastAsia="en-US"/>
                <w14:ligatures w14:val="standardContextual"/>
              </w:rPr>
            </w:pPr>
            <w:r w:rsidRPr="00832A45">
              <w:rPr>
                <w:rFonts w:ascii="Roboto" w:hAnsi="Roboto"/>
                <w:sz w:val="18"/>
                <w:szCs w:val="18"/>
              </w:rPr>
              <w:t>3.394</w:t>
            </w:r>
          </w:p>
        </w:tc>
      </w:tr>
      <w:tr w:rsidR="00832A45" w:rsidRPr="005E1FCB" w14:paraId="4BD87890" w14:textId="77777777" w:rsidTr="00520E63">
        <w:trPr>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tcPr>
          <w:p w14:paraId="7D1C0DD6" w14:textId="77777777" w:rsidR="00832A45" w:rsidRPr="00050714" w:rsidRDefault="00832A45" w:rsidP="00832A45">
            <w:pPr>
              <w:snapToGrid w:val="0"/>
              <w:spacing w:before="20" w:after="20"/>
              <w:ind w:left="318"/>
              <w:jc w:val="left"/>
              <w:rPr>
                <w:rFonts w:ascii="Roboto" w:eastAsia="Aptos" w:hAnsi="Roboto"/>
                <w:b w:val="0"/>
                <w:bCs w:val="0"/>
                <w:kern w:val="2"/>
                <w:sz w:val="18"/>
                <w:szCs w:val="18"/>
                <w:lang w:eastAsia="en-US"/>
                <w14:ligatures w14:val="standardContextual"/>
              </w:rPr>
            </w:pPr>
            <w:r w:rsidRPr="00050714">
              <w:rPr>
                <w:rFonts w:ascii="Roboto" w:eastAsia="Aptos" w:hAnsi="Roboto"/>
                <w:b w:val="0"/>
                <w:bCs w:val="0"/>
                <w:kern w:val="2"/>
                <w:sz w:val="18"/>
                <w:szCs w:val="18"/>
                <w:lang w:eastAsia="en-US"/>
                <w14:ligatures w14:val="standardContextual"/>
              </w:rPr>
              <w:t>Bez zaprimljenih, ali s prenesenim zahtjevima</w:t>
            </w:r>
          </w:p>
        </w:tc>
        <w:tc>
          <w:tcPr>
            <w:tcW w:w="1346" w:type="pct"/>
            <w:tcBorders>
              <w:top w:val="single" w:sz="4" w:space="0" w:color="8EAADB"/>
              <w:left w:val="nil"/>
              <w:bottom w:val="single" w:sz="4" w:space="0" w:color="8EAADB"/>
              <w:right w:val="nil"/>
            </w:tcBorders>
            <w:vAlign w:val="center"/>
          </w:tcPr>
          <w:p w14:paraId="384BB7D7" w14:textId="44151774" w:rsidR="00832A45" w:rsidRPr="00832A45" w:rsidRDefault="00832A45" w:rsidP="00832A45">
            <w:pPr>
              <w:snapToGrid w:val="0"/>
              <w:spacing w:before="20" w:after="20"/>
              <w:ind w:right="606"/>
              <w:jc w:val="right"/>
              <w:cnfStyle w:val="000000000000" w:firstRow="0" w:lastRow="0" w:firstColumn="0" w:lastColumn="0" w:oddVBand="0" w:evenVBand="0" w:oddHBand="0" w:evenHBand="0" w:firstRowFirstColumn="0" w:firstRowLastColumn="0" w:lastRowFirstColumn="0" w:lastRowLastColumn="0"/>
              <w:rPr>
                <w:rFonts w:ascii="Roboto" w:eastAsia="Aptos" w:hAnsi="Roboto"/>
                <w:kern w:val="2"/>
                <w:sz w:val="18"/>
                <w:szCs w:val="18"/>
                <w:lang w:eastAsia="en-US"/>
                <w14:ligatures w14:val="standardContextual"/>
              </w:rPr>
            </w:pPr>
            <w:r w:rsidRPr="00832A45">
              <w:rPr>
                <w:rFonts w:ascii="Roboto" w:hAnsi="Roboto"/>
                <w:sz w:val="18"/>
                <w:szCs w:val="18"/>
              </w:rPr>
              <w:t>5</w:t>
            </w:r>
          </w:p>
        </w:tc>
      </w:tr>
      <w:tr w:rsidR="00832A45" w:rsidRPr="005E1FCB" w14:paraId="01E5D52E" w14:textId="77777777" w:rsidTr="00520E63">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hideMark/>
          </w:tcPr>
          <w:p w14:paraId="4A9614C3" w14:textId="77777777" w:rsidR="00832A45" w:rsidRPr="005E1FCB" w:rsidRDefault="00832A45" w:rsidP="00832A45">
            <w:pPr>
              <w:snapToGrid w:val="0"/>
              <w:spacing w:before="20" w:after="20"/>
              <w:ind w:left="318"/>
              <w:jc w:val="left"/>
              <w:rPr>
                <w:rFonts w:ascii="Roboto" w:eastAsia="Aptos" w:hAnsi="Roboto"/>
                <w:b w:val="0"/>
                <w:bCs w:val="0"/>
                <w:kern w:val="2"/>
                <w:sz w:val="18"/>
                <w:szCs w:val="18"/>
                <w:lang w:eastAsia="en-US"/>
                <w14:ligatures w14:val="standardContextual"/>
              </w:rPr>
            </w:pPr>
            <w:r w:rsidRPr="005E1FCB">
              <w:rPr>
                <w:rFonts w:ascii="Roboto" w:eastAsia="Aptos" w:hAnsi="Roboto" w:cs="Calibri"/>
                <w:b w:val="0"/>
                <w:bCs w:val="0"/>
                <w:color w:val="000000"/>
                <w:kern w:val="2"/>
                <w:sz w:val="18"/>
                <w:szCs w:val="18"/>
                <w:lang w:eastAsia="en-US"/>
                <w14:ligatures w14:val="standardContextual"/>
              </w:rPr>
              <w:t>1-5</w:t>
            </w:r>
          </w:p>
        </w:tc>
        <w:tc>
          <w:tcPr>
            <w:tcW w:w="1346" w:type="pct"/>
            <w:tcBorders>
              <w:top w:val="single" w:sz="4" w:space="0" w:color="8EAADB"/>
              <w:left w:val="nil"/>
              <w:bottom w:val="single" w:sz="4" w:space="0" w:color="8EAADB"/>
              <w:right w:val="nil"/>
            </w:tcBorders>
            <w:vAlign w:val="center"/>
            <w:hideMark/>
          </w:tcPr>
          <w:p w14:paraId="7AA75E9E" w14:textId="1EAB4D30" w:rsidR="00832A45" w:rsidRPr="00832A45" w:rsidRDefault="00832A45" w:rsidP="00832A45">
            <w:pPr>
              <w:snapToGrid w:val="0"/>
              <w:spacing w:before="20" w:after="20"/>
              <w:ind w:right="606"/>
              <w:jc w:val="right"/>
              <w:cnfStyle w:val="000000100000" w:firstRow="0" w:lastRow="0" w:firstColumn="0" w:lastColumn="0" w:oddVBand="0" w:evenVBand="0" w:oddHBand="1" w:evenHBand="0" w:firstRowFirstColumn="0" w:firstRowLastColumn="0" w:lastRowFirstColumn="0" w:lastRowLastColumn="0"/>
              <w:rPr>
                <w:rFonts w:ascii="Roboto" w:eastAsia="Aptos" w:hAnsi="Roboto"/>
                <w:kern w:val="2"/>
                <w:sz w:val="18"/>
                <w:szCs w:val="18"/>
                <w:lang w:eastAsia="en-US"/>
                <w14:ligatures w14:val="standardContextual"/>
              </w:rPr>
            </w:pPr>
            <w:r w:rsidRPr="00832A45">
              <w:rPr>
                <w:rFonts w:ascii="Roboto" w:hAnsi="Roboto"/>
                <w:sz w:val="18"/>
                <w:szCs w:val="18"/>
              </w:rPr>
              <w:t>1.248</w:t>
            </w:r>
          </w:p>
        </w:tc>
      </w:tr>
      <w:tr w:rsidR="00832A45" w:rsidRPr="005E1FCB" w14:paraId="522B58DE" w14:textId="77777777" w:rsidTr="00520E63">
        <w:trPr>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hideMark/>
          </w:tcPr>
          <w:p w14:paraId="692FE9E6" w14:textId="77777777" w:rsidR="00832A45" w:rsidRPr="005E1FCB" w:rsidRDefault="00832A45" w:rsidP="00832A45">
            <w:pPr>
              <w:snapToGrid w:val="0"/>
              <w:spacing w:before="20" w:after="20"/>
              <w:ind w:left="318"/>
              <w:jc w:val="left"/>
              <w:rPr>
                <w:rFonts w:ascii="Roboto" w:eastAsia="Aptos" w:hAnsi="Roboto"/>
                <w:b w:val="0"/>
                <w:bCs w:val="0"/>
                <w:kern w:val="2"/>
                <w:sz w:val="18"/>
                <w:szCs w:val="18"/>
                <w:lang w:eastAsia="en-US"/>
                <w14:ligatures w14:val="standardContextual"/>
              </w:rPr>
            </w:pPr>
            <w:r w:rsidRPr="005E1FCB">
              <w:rPr>
                <w:rFonts w:ascii="Roboto" w:eastAsia="Aptos" w:hAnsi="Roboto" w:cs="Calibri"/>
                <w:b w:val="0"/>
                <w:bCs w:val="0"/>
                <w:color w:val="000000"/>
                <w:kern w:val="2"/>
                <w:sz w:val="18"/>
                <w:szCs w:val="18"/>
                <w:lang w:eastAsia="en-US"/>
                <w14:ligatures w14:val="standardContextual"/>
              </w:rPr>
              <w:t>6-10</w:t>
            </w:r>
          </w:p>
        </w:tc>
        <w:tc>
          <w:tcPr>
            <w:tcW w:w="1346" w:type="pct"/>
            <w:tcBorders>
              <w:top w:val="single" w:sz="4" w:space="0" w:color="8EAADB"/>
              <w:left w:val="nil"/>
              <w:bottom w:val="single" w:sz="4" w:space="0" w:color="8EAADB"/>
              <w:right w:val="nil"/>
            </w:tcBorders>
            <w:vAlign w:val="center"/>
            <w:hideMark/>
          </w:tcPr>
          <w:p w14:paraId="6E2D127E" w14:textId="6973F3CF" w:rsidR="00832A45" w:rsidRPr="00832A45" w:rsidRDefault="00832A45" w:rsidP="00832A45">
            <w:pPr>
              <w:snapToGrid w:val="0"/>
              <w:spacing w:before="20" w:after="20"/>
              <w:ind w:right="606"/>
              <w:jc w:val="right"/>
              <w:cnfStyle w:val="000000000000" w:firstRow="0" w:lastRow="0" w:firstColumn="0" w:lastColumn="0" w:oddVBand="0" w:evenVBand="0" w:oddHBand="0" w:evenHBand="0" w:firstRowFirstColumn="0" w:firstRowLastColumn="0" w:lastRowFirstColumn="0" w:lastRowLastColumn="0"/>
              <w:rPr>
                <w:rFonts w:ascii="Roboto" w:eastAsia="Aptos" w:hAnsi="Roboto"/>
                <w:kern w:val="2"/>
                <w:sz w:val="18"/>
                <w:szCs w:val="18"/>
                <w:lang w:eastAsia="en-US"/>
                <w14:ligatures w14:val="standardContextual"/>
              </w:rPr>
            </w:pPr>
            <w:r w:rsidRPr="00832A45">
              <w:rPr>
                <w:rFonts w:ascii="Roboto" w:hAnsi="Roboto"/>
                <w:sz w:val="18"/>
                <w:szCs w:val="18"/>
              </w:rPr>
              <w:t>288</w:t>
            </w:r>
          </w:p>
        </w:tc>
      </w:tr>
      <w:tr w:rsidR="00832A45" w:rsidRPr="005E1FCB" w14:paraId="4B6BC3C7" w14:textId="77777777" w:rsidTr="00520E63">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hideMark/>
          </w:tcPr>
          <w:p w14:paraId="63FD2878" w14:textId="77777777" w:rsidR="00832A45" w:rsidRPr="005E1FCB" w:rsidRDefault="00832A45" w:rsidP="00832A45">
            <w:pPr>
              <w:snapToGrid w:val="0"/>
              <w:spacing w:before="20" w:after="20"/>
              <w:ind w:left="318"/>
              <w:jc w:val="left"/>
              <w:rPr>
                <w:rFonts w:ascii="Roboto" w:eastAsia="Aptos" w:hAnsi="Roboto" w:cs="Calibri"/>
                <w:b w:val="0"/>
                <w:bCs w:val="0"/>
                <w:color w:val="000000"/>
                <w:kern w:val="2"/>
                <w:sz w:val="18"/>
                <w:szCs w:val="18"/>
                <w:lang w:eastAsia="en-US"/>
                <w14:ligatures w14:val="standardContextual"/>
              </w:rPr>
            </w:pPr>
            <w:r w:rsidRPr="005E1FCB">
              <w:rPr>
                <w:rFonts w:ascii="Roboto" w:eastAsia="Aptos" w:hAnsi="Roboto" w:cs="Calibri"/>
                <w:b w:val="0"/>
                <w:bCs w:val="0"/>
                <w:color w:val="000000"/>
                <w:kern w:val="2"/>
                <w:sz w:val="18"/>
                <w:szCs w:val="18"/>
                <w:lang w:eastAsia="en-US"/>
                <w14:ligatures w14:val="standardContextual"/>
              </w:rPr>
              <w:t>11-20</w:t>
            </w:r>
          </w:p>
        </w:tc>
        <w:tc>
          <w:tcPr>
            <w:tcW w:w="1346" w:type="pct"/>
            <w:tcBorders>
              <w:top w:val="single" w:sz="4" w:space="0" w:color="8EAADB"/>
              <w:left w:val="nil"/>
              <w:bottom w:val="single" w:sz="4" w:space="0" w:color="8EAADB"/>
              <w:right w:val="nil"/>
            </w:tcBorders>
            <w:vAlign w:val="center"/>
            <w:hideMark/>
          </w:tcPr>
          <w:p w14:paraId="02066C0C" w14:textId="33E1B8C4" w:rsidR="00832A45" w:rsidRPr="00832A45" w:rsidRDefault="00832A45" w:rsidP="00832A45">
            <w:pPr>
              <w:snapToGrid w:val="0"/>
              <w:spacing w:before="20" w:after="20"/>
              <w:ind w:right="606"/>
              <w:jc w:val="right"/>
              <w:cnfStyle w:val="000000100000" w:firstRow="0" w:lastRow="0" w:firstColumn="0" w:lastColumn="0" w:oddVBand="0" w:evenVBand="0" w:oddHBand="1" w:evenHBand="0" w:firstRowFirstColumn="0" w:firstRowLastColumn="0" w:lastRowFirstColumn="0" w:lastRowLastColumn="0"/>
              <w:rPr>
                <w:rFonts w:ascii="Roboto" w:eastAsia="Aptos" w:hAnsi="Roboto"/>
                <w:kern w:val="2"/>
                <w:sz w:val="18"/>
                <w:szCs w:val="18"/>
                <w:lang w:eastAsia="en-US"/>
                <w14:ligatures w14:val="standardContextual"/>
              </w:rPr>
            </w:pPr>
            <w:r w:rsidRPr="00832A45">
              <w:rPr>
                <w:rFonts w:ascii="Roboto" w:hAnsi="Roboto"/>
                <w:sz w:val="18"/>
                <w:szCs w:val="18"/>
              </w:rPr>
              <w:t>172</w:t>
            </w:r>
          </w:p>
        </w:tc>
      </w:tr>
      <w:tr w:rsidR="00832A45" w:rsidRPr="005E1FCB" w14:paraId="3474C493" w14:textId="77777777" w:rsidTr="00520E63">
        <w:trPr>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hideMark/>
          </w:tcPr>
          <w:p w14:paraId="004284B6" w14:textId="77777777" w:rsidR="00832A45" w:rsidRPr="005E1FCB" w:rsidRDefault="00832A45" w:rsidP="00832A45">
            <w:pPr>
              <w:snapToGrid w:val="0"/>
              <w:spacing w:before="20" w:after="20"/>
              <w:ind w:left="318"/>
              <w:jc w:val="left"/>
              <w:rPr>
                <w:rFonts w:ascii="Roboto" w:eastAsia="Aptos" w:hAnsi="Roboto"/>
                <w:b w:val="0"/>
                <w:bCs w:val="0"/>
                <w:kern w:val="2"/>
                <w:sz w:val="18"/>
                <w:szCs w:val="18"/>
                <w:lang w:eastAsia="en-US"/>
                <w14:ligatures w14:val="standardContextual"/>
              </w:rPr>
            </w:pPr>
            <w:r w:rsidRPr="005E1FCB">
              <w:rPr>
                <w:rFonts w:ascii="Roboto" w:eastAsia="Aptos" w:hAnsi="Roboto" w:cs="Calibri"/>
                <w:b w:val="0"/>
                <w:bCs w:val="0"/>
                <w:color w:val="000000"/>
                <w:kern w:val="2"/>
                <w:sz w:val="18"/>
                <w:szCs w:val="18"/>
                <w:lang w:eastAsia="en-US"/>
                <w14:ligatures w14:val="standardContextual"/>
              </w:rPr>
              <w:t>21-50</w:t>
            </w:r>
          </w:p>
        </w:tc>
        <w:tc>
          <w:tcPr>
            <w:tcW w:w="1346" w:type="pct"/>
            <w:tcBorders>
              <w:top w:val="single" w:sz="4" w:space="0" w:color="8EAADB"/>
              <w:left w:val="nil"/>
              <w:bottom w:val="single" w:sz="4" w:space="0" w:color="8EAADB"/>
              <w:right w:val="nil"/>
            </w:tcBorders>
            <w:vAlign w:val="center"/>
            <w:hideMark/>
          </w:tcPr>
          <w:p w14:paraId="12E9F550" w14:textId="66CA2638" w:rsidR="00832A45" w:rsidRPr="00832A45" w:rsidRDefault="00832A45" w:rsidP="00832A45">
            <w:pPr>
              <w:snapToGrid w:val="0"/>
              <w:spacing w:before="20" w:after="20"/>
              <w:ind w:right="606"/>
              <w:jc w:val="right"/>
              <w:cnfStyle w:val="000000000000" w:firstRow="0" w:lastRow="0" w:firstColumn="0" w:lastColumn="0" w:oddVBand="0" w:evenVBand="0" w:oddHBand="0" w:evenHBand="0" w:firstRowFirstColumn="0" w:firstRowLastColumn="0" w:lastRowFirstColumn="0" w:lastRowLastColumn="0"/>
              <w:rPr>
                <w:rFonts w:ascii="Roboto" w:eastAsia="Aptos" w:hAnsi="Roboto"/>
                <w:kern w:val="2"/>
                <w:sz w:val="18"/>
                <w:szCs w:val="18"/>
                <w:lang w:eastAsia="en-US"/>
                <w14:ligatures w14:val="standardContextual"/>
              </w:rPr>
            </w:pPr>
            <w:r w:rsidRPr="00832A45">
              <w:rPr>
                <w:rFonts w:ascii="Roboto" w:hAnsi="Roboto"/>
                <w:sz w:val="18"/>
                <w:szCs w:val="18"/>
              </w:rPr>
              <w:t>127</w:t>
            </w:r>
          </w:p>
        </w:tc>
      </w:tr>
      <w:tr w:rsidR="00832A45" w:rsidRPr="005E1FCB" w14:paraId="32DC9F4D" w14:textId="77777777" w:rsidTr="00520E63">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hideMark/>
          </w:tcPr>
          <w:p w14:paraId="7EA5FA52" w14:textId="77777777" w:rsidR="00832A45" w:rsidRPr="005E1FCB" w:rsidRDefault="00832A45" w:rsidP="00832A45">
            <w:pPr>
              <w:snapToGrid w:val="0"/>
              <w:spacing w:before="20" w:after="20"/>
              <w:ind w:left="318"/>
              <w:jc w:val="left"/>
              <w:rPr>
                <w:rFonts w:ascii="Roboto" w:eastAsia="Aptos" w:hAnsi="Roboto"/>
                <w:b w:val="0"/>
                <w:bCs w:val="0"/>
                <w:kern w:val="2"/>
                <w:sz w:val="18"/>
                <w:szCs w:val="18"/>
                <w:lang w:eastAsia="en-US"/>
                <w14:ligatures w14:val="standardContextual"/>
              </w:rPr>
            </w:pPr>
            <w:r w:rsidRPr="005E1FCB">
              <w:rPr>
                <w:rFonts w:ascii="Roboto" w:eastAsia="Aptos" w:hAnsi="Roboto" w:cs="Calibri"/>
                <w:b w:val="0"/>
                <w:bCs w:val="0"/>
                <w:color w:val="000000"/>
                <w:kern w:val="2"/>
                <w:sz w:val="18"/>
                <w:szCs w:val="18"/>
                <w:lang w:eastAsia="en-US"/>
                <w14:ligatures w14:val="standardContextual"/>
              </w:rPr>
              <w:t>51-100</w:t>
            </w:r>
          </w:p>
        </w:tc>
        <w:tc>
          <w:tcPr>
            <w:tcW w:w="1346" w:type="pct"/>
            <w:tcBorders>
              <w:top w:val="single" w:sz="4" w:space="0" w:color="8EAADB"/>
              <w:left w:val="nil"/>
              <w:bottom w:val="single" w:sz="4" w:space="0" w:color="8EAADB"/>
              <w:right w:val="nil"/>
            </w:tcBorders>
            <w:vAlign w:val="center"/>
            <w:hideMark/>
          </w:tcPr>
          <w:p w14:paraId="408113AD" w14:textId="6763261F" w:rsidR="00832A45" w:rsidRPr="00832A45" w:rsidRDefault="00832A45" w:rsidP="00832A45">
            <w:pPr>
              <w:snapToGrid w:val="0"/>
              <w:spacing w:before="20" w:after="20"/>
              <w:ind w:right="606"/>
              <w:jc w:val="right"/>
              <w:cnfStyle w:val="000000100000" w:firstRow="0" w:lastRow="0" w:firstColumn="0" w:lastColumn="0" w:oddVBand="0" w:evenVBand="0" w:oddHBand="1" w:evenHBand="0" w:firstRowFirstColumn="0" w:firstRowLastColumn="0" w:lastRowFirstColumn="0" w:lastRowLastColumn="0"/>
              <w:rPr>
                <w:rFonts w:ascii="Roboto" w:eastAsia="Aptos" w:hAnsi="Roboto"/>
                <w:kern w:val="2"/>
                <w:sz w:val="18"/>
                <w:szCs w:val="18"/>
                <w:lang w:eastAsia="en-US"/>
                <w14:ligatures w14:val="standardContextual"/>
              </w:rPr>
            </w:pPr>
            <w:r w:rsidRPr="00832A45">
              <w:rPr>
                <w:rFonts w:ascii="Roboto" w:hAnsi="Roboto"/>
                <w:sz w:val="18"/>
                <w:szCs w:val="18"/>
              </w:rPr>
              <w:t>28</w:t>
            </w:r>
          </w:p>
        </w:tc>
      </w:tr>
      <w:tr w:rsidR="00832A45" w:rsidRPr="005E1FCB" w14:paraId="2B01F91C" w14:textId="77777777" w:rsidTr="00520E63">
        <w:trPr>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hideMark/>
          </w:tcPr>
          <w:p w14:paraId="54D82370" w14:textId="77777777" w:rsidR="00832A45" w:rsidRPr="005E1FCB" w:rsidRDefault="00832A45" w:rsidP="00832A45">
            <w:pPr>
              <w:snapToGrid w:val="0"/>
              <w:spacing w:before="20" w:after="20"/>
              <w:ind w:left="318"/>
              <w:jc w:val="left"/>
              <w:rPr>
                <w:rFonts w:ascii="Roboto" w:eastAsia="Aptos" w:hAnsi="Roboto"/>
                <w:b w:val="0"/>
                <w:bCs w:val="0"/>
                <w:kern w:val="2"/>
                <w:sz w:val="18"/>
                <w:szCs w:val="18"/>
                <w:lang w:eastAsia="en-US"/>
                <w14:ligatures w14:val="standardContextual"/>
              </w:rPr>
            </w:pPr>
            <w:r w:rsidRPr="005E1FCB">
              <w:rPr>
                <w:rFonts w:ascii="Roboto" w:eastAsia="Aptos" w:hAnsi="Roboto" w:cs="Calibri"/>
                <w:b w:val="0"/>
                <w:bCs w:val="0"/>
                <w:color w:val="000000"/>
                <w:kern w:val="2"/>
                <w:sz w:val="18"/>
                <w:szCs w:val="18"/>
                <w:lang w:eastAsia="en-US"/>
                <w14:ligatures w14:val="standardContextual"/>
              </w:rPr>
              <w:t>100-1.000</w:t>
            </w:r>
          </w:p>
        </w:tc>
        <w:tc>
          <w:tcPr>
            <w:tcW w:w="1346" w:type="pct"/>
            <w:tcBorders>
              <w:top w:val="single" w:sz="4" w:space="0" w:color="8EAADB"/>
              <w:left w:val="nil"/>
              <w:bottom w:val="single" w:sz="4" w:space="0" w:color="8EAADB"/>
              <w:right w:val="nil"/>
            </w:tcBorders>
            <w:vAlign w:val="center"/>
            <w:hideMark/>
          </w:tcPr>
          <w:p w14:paraId="02D4710F" w14:textId="462F0D75" w:rsidR="00832A45" w:rsidRPr="00832A45" w:rsidRDefault="00832A45" w:rsidP="00832A45">
            <w:pPr>
              <w:snapToGrid w:val="0"/>
              <w:spacing w:before="20" w:after="20"/>
              <w:ind w:right="606"/>
              <w:jc w:val="right"/>
              <w:cnfStyle w:val="000000000000" w:firstRow="0" w:lastRow="0" w:firstColumn="0" w:lastColumn="0" w:oddVBand="0" w:evenVBand="0" w:oddHBand="0" w:evenHBand="0" w:firstRowFirstColumn="0" w:firstRowLastColumn="0" w:lastRowFirstColumn="0" w:lastRowLastColumn="0"/>
              <w:rPr>
                <w:rFonts w:ascii="Roboto" w:eastAsia="Aptos" w:hAnsi="Roboto"/>
                <w:kern w:val="2"/>
                <w:sz w:val="18"/>
                <w:szCs w:val="18"/>
                <w:lang w:eastAsia="en-US"/>
                <w14:ligatures w14:val="standardContextual"/>
              </w:rPr>
            </w:pPr>
            <w:r w:rsidRPr="00832A45">
              <w:rPr>
                <w:rFonts w:ascii="Roboto" w:hAnsi="Roboto"/>
                <w:sz w:val="18"/>
                <w:szCs w:val="18"/>
              </w:rPr>
              <w:t>16</w:t>
            </w:r>
          </w:p>
        </w:tc>
      </w:tr>
      <w:tr w:rsidR="00832A45" w:rsidRPr="005E1FCB" w14:paraId="20D15914" w14:textId="77777777" w:rsidTr="00520E63">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hideMark/>
          </w:tcPr>
          <w:p w14:paraId="05BE648B" w14:textId="77777777" w:rsidR="00832A45" w:rsidRPr="005E1FCB" w:rsidRDefault="00832A45" w:rsidP="00832A45">
            <w:pPr>
              <w:snapToGrid w:val="0"/>
              <w:spacing w:before="20" w:after="20"/>
              <w:ind w:left="318"/>
              <w:jc w:val="left"/>
              <w:rPr>
                <w:rFonts w:ascii="Roboto" w:eastAsia="Aptos" w:hAnsi="Roboto"/>
                <w:b w:val="0"/>
                <w:bCs w:val="0"/>
                <w:kern w:val="2"/>
                <w:sz w:val="18"/>
                <w:szCs w:val="18"/>
                <w:lang w:eastAsia="en-US"/>
                <w14:ligatures w14:val="standardContextual"/>
              </w:rPr>
            </w:pPr>
            <w:r w:rsidRPr="005E1FCB">
              <w:rPr>
                <w:rFonts w:ascii="Roboto" w:eastAsia="Aptos" w:hAnsi="Roboto" w:cs="Calibri"/>
                <w:b w:val="0"/>
                <w:bCs w:val="0"/>
                <w:color w:val="000000"/>
                <w:kern w:val="2"/>
                <w:sz w:val="18"/>
                <w:szCs w:val="18"/>
                <w:lang w:eastAsia="en-US"/>
                <w14:ligatures w14:val="standardContextual"/>
              </w:rPr>
              <w:t>&gt;1.000</w:t>
            </w:r>
          </w:p>
        </w:tc>
        <w:tc>
          <w:tcPr>
            <w:tcW w:w="1346" w:type="pct"/>
            <w:tcBorders>
              <w:top w:val="single" w:sz="4" w:space="0" w:color="8EAADB"/>
              <w:left w:val="nil"/>
              <w:bottom w:val="single" w:sz="4" w:space="0" w:color="8EAADB"/>
              <w:right w:val="nil"/>
            </w:tcBorders>
            <w:vAlign w:val="center"/>
            <w:hideMark/>
          </w:tcPr>
          <w:p w14:paraId="7423E9E8" w14:textId="035F0374" w:rsidR="00832A45" w:rsidRPr="00832A45" w:rsidRDefault="00832A45" w:rsidP="00832A45">
            <w:pPr>
              <w:snapToGrid w:val="0"/>
              <w:spacing w:before="20" w:after="20"/>
              <w:ind w:right="606"/>
              <w:jc w:val="right"/>
              <w:cnfStyle w:val="000000100000" w:firstRow="0" w:lastRow="0" w:firstColumn="0" w:lastColumn="0" w:oddVBand="0" w:evenVBand="0" w:oddHBand="1" w:evenHBand="0" w:firstRowFirstColumn="0" w:firstRowLastColumn="0" w:lastRowFirstColumn="0" w:lastRowLastColumn="0"/>
              <w:rPr>
                <w:rFonts w:ascii="Roboto" w:eastAsia="Aptos" w:hAnsi="Roboto"/>
                <w:kern w:val="2"/>
                <w:sz w:val="18"/>
                <w:szCs w:val="18"/>
                <w:lang w:eastAsia="en-US"/>
                <w14:ligatures w14:val="standardContextual"/>
              </w:rPr>
            </w:pPr>
            <w:r w:rsidRPr="00832A45">
              <w:rPr>
                <w:rFonts w:ascii="Roboto" w:hAnsi="Roboto"/>
                <w:sz w:val="18"/>
                <w:szCs w:val="18"/>
              </w:rPr>
              <w:t>2</w:t>
            </w:r>
          </w:p>
        </w:tc>
      </w:tr>
      <w:tr w:rsidR="00832A45" w:rsidRPr="005E1FCB" w14:paraId="03988E9F" w14:textId="77777777" w:rsidTr="00520E63">
        <w:trPr>
          <w:cantSplit/>
          <w:trHeight w:val="340"/>
          <w:jc w:val="center"/>
        </w:trPr>
        <w:tc>
          <w:tcPr>
            <w:cnfStyle w:val="001000000000" w:firstRow="0" w:lastRow="0" w:firstColumn="1" w:lastColumn="0" w:oddVBand="0" w:evenVBand="0" w:oddHBand="0" w:evenHBand="0" w:firstRowFirstColumn="0" w:firstRowLastColumn="0" w:lastRowFirstColumn="0" w:lastRowLastColumn="0"/>
            <w:tcW w:w="3654" w:type="pct"/>
            <w:tcBorders>
              <w:top w:val="single" w:sz="4" w:space="0" w:color="8EAADB"/>
              <w:left w:val="nil"/>
              <w:bottom w:val="single" w:sz="4" w:space="0" w:color="8EAADB"/>
              <w:right w:val="nil"/>
            </w:tcBorders>
            <w:vAlign w:val="center"/>
            <w:hideMark/>
          </w:tcPr>
          <w:p w14:paraId="1A53080B" w14:textId="77777777" w:rsidR="00832A45" w:rsidRPr="005E1FCB" w:rsidRDefault="00832A45" w:rsidP="00072C20">
            <w:pPr>
              <w:spacing w:before="20" w:after="20"/>
              <w:ind w:left="318"/>
              <w:jc w:val="left"/>
              <w:rPr>
                <w:rFonts w:ascii="Roboto" w:eastAsia="Aptos" w:hAnsi="Roboto"/>
                <w:kern w:val="2"/>
                <w:sz w:val="18"/>
                <w:szCs w:val="18"/>
                <w:lang w:eastAsia="en-US"/>
                <w14:ligatures w14:val="standardContextual"/>
              </w:rPr>
            </w:pPr>
            <w:r w:rsidRPr="005E1FCB">
              <w:rPr>
                <w:rFonts w:ascii="Roboto" w:eastAsia="Aptos" w:hAnsi="Roboto" w:cs="Calibri"/>
                <w:color w:val="000000"/>
                <w:kern w:val="2"/>
                <w:sz w:val="18"/>
                <w:szCs w:val="18"/>
                <w:lang w:eastAsia="en-US"/>
                <w14:ligatures w14:val="standardContextual"/>
              </w:rPr>
              <w:t>Ukupno</w:t>
            </w:r>
          </w:p>
        </w:tc>
        <w:tc>
          <w:tcPr>
            <w:tcW w:w="1346" w:type="pct"/>
            <w:tcBorders>
              <w:top w:val="single" w:sz="4" w:space="0" w:color="8EAADB"/>
              <w:left w:val="nil"/>
              <w:bottom w:val="single" w:sz="4" w:space="0" w:color="8EAADB"/>
              <w:right w:val="nil"/>
            </w:tcBorders>
            <w:vAlign w:val="center"/>
            <w:hideMark/>
          </w:tcPr>
          <w:p w14:paraId="7E68552D" w14:textId="742E7900" w:rsidR="00832A45" w:rsidRPr="00832A45" w:rsidRDefault="00832A45" w:rsidP="00072C20">
            <w:pPr>
              <w:spacing w:before="20" w:after="20"/>
              <w:ind w:right="606"/>
              <w:jc w:val="right"/>
              <w:cnfStyle w:val="000000000000" w:firstRow="0" w:lastRow="0" w:firstColumn="0" w:lastColumn="0" w:oddVBand="0" w:evenVBand="0" w:oddHBand="0" w:evenHBand="0" w:firstRowFirstColumn="0" w:firstRowLastColumn="0" w:lastRowFirstColumn="0" w:lastRowLastColumn="0"/>
              <w:rPr>
                <w:rFonts w:ascii="Roboto" w:eastAsia="Aptos" w:hAnsi="Roboto"/>
                <w:b/>
                <w:bCs/>
                <w:kern w:val="2"/>
                <w:sz w:val="18"/>
                <w:szCs w:val="18"/>
                <w:lang w:eastAsia="en-US"/>
                <w14:ligatures w14:val="standardContextual"/>
              </w:rPr>
            </w:pPr>
            <w:r w:rsidRPr="000463DD">
              <w:rPr>
                <w:rFonts w:ascii="Roboto" w:hAnsi="Roboto"/>
                <w:b/>
                <w:sz w:val="18"/>
                <w:szCs w:val="18"/>
              </w:rPr>
              <w:t>5.280</w:t>
            </w:r>
          </w:p>
        </w:tc>
      </w:tr>
    </w:tbl>
    <w:p w14:paraId="07B99915" w14:textId="7D6968F7" w:rsidR="00832A45" w:rsidRPr="009E4D2F" w:rsidRDefault="00832A45" w:rsidP="7D481D26">
      <w:pPr>
        <w:spacing w:before="240"/>
        <w:rPr>
          <w:rFonts w:eastAsia="Times New Roman" w:cs="Times New Roman"/>
        </w:rPr>
      </w:pPr>
      <w:r w:rsidRPr="7D481D26">
        <w:rPr>
          <w:rFonts w:eastAsia="Times New Roman" w:cs="Times New Roman"/>
          <w:b/>
          <w:bCs/>
        </w:rPr>
        <w:t xml:space="preserve">Općina Seget (1.831) kontinuirano zaprima daleko najveći broj zahtjeva. </w:t>
      </w:r>
      <w:r w:rsidRPr="7D481D26">
        <w:rPr>
          <w:rFonts w:eastAsia="Times New Roman" w:cs="Times New Roman"/>
        </w:rPr>
        <w:t>Sada već tradicionalno, uz Općinu Seget više od 900 zahtjeva zaprimila su još</w:t>
      </w:r>
      <w:r w:rsidRPr="7D481D26">
        <w:t xml:space="preserve"> </w:t>
      </w:r>
      <w:r w:rsidRPr="7D481D26">
        <w:rPr>
          <w:rFonts w:eastAsia="Times New Roman" w:cs="Times New Roman"/>
        </w:rPr>
        <w:t>Državna geodetska uprava (1.341) i Hrvatske vode (9</w:t>
      </w:r>
      <w:r w:rsidR="009936B6">
        <w:rPr>
          <w:rFonts w:eastAsia="Times New Roman" w:cs="Times New Roman"/>
        </w:rPr>
        <w:t>45</w:t>
      </w:r>
      <w:r w:rsidRPr="7D481D26">
        <w:rPr>
          <w:rFonts w:eastAsia="Times New Roman" w:cs="Times New Roman"/>
        </w:rPr>
        <w:t xml:space="preserve">), što znači da, u odnosu na </w:t>
      </w:r>
      <w:r w:rsidRPr="00422879">
        <w:rPr>
          <w:rFonts w:eastAsia="Times New Roman" w:cs="Times New Roman"/>
        </w:rPr>
        <w:t>20.</w:t>
      </w:r>
      <w:r w:rsidR="00CD381D" w:rsidRPr="00422879">
        <w:rPr>
          <w:rFonts w:eastAsia="Times New Roman" w:cs="Times New Roman"/>
        </w:rPr>
        <w:t>453</w:t>
      </w:r>
      <w:r w:rsidRPr="7D481D26">
        <w:rPr>
          <w:rFonts w:eastAsia="Times New Roman" w:cs="Times New Roman"/>
        </w:rPr>
        <w:t xml:space="preserve"> zaprimljenih zahtjeva, ta tri tijela zaprimila su ukupno 20% svih zahtjeva. </w:t>
      </w:r>
    </w:p>
    <w:p w14:paraId="763279A4" w14:textId="710F0BB3" w:rsidR="00832A45" w:rsidRPr="009E4D2F" w:rsidRDefault="00832A45" w:rsidP="7D481D26">
      <w:pPr>
        <w:spacing w:before="240"/>
        <w:rPr>
          <w:rFonts w:eastAsia="Times New Roman" w:cs="Times New Roman"/>
        </w:rPr>
      </w:pPr>
      <w:r w:rsidRPr="7D481D26">
        <w:rPr>
          <w:rFonts w:eastAsia="Times New Roman" w:cs="Times New Roman"/>
        </w:rPr>
        <w:lastRenderedPageBreak/>
        <w:t>Tijela javne vlasti koja su zaprimila preko 100 zahtjeva, u odnosu na ukupan broj, odnosno koja su zaprimila ukupno 15% svih zahtjeva su: Ministarstvo financija (571), Grad Zagreb (4</w:t>
      </w:r>
      <w:r w:rsidR="009936B6">
        <w:rPr>
          <w:rFonts w:eastAsia="Times New Roman" w:cs="Times New Roman"/>
        </w:rPr>
        <w:t>8</w:t>
      </w:r>
      <w:r w:rsidRPr="7D481D26">
        <w:rPr>
          <w:rFonts w:eastAsia="Times New Roman" w:cs="Times New Roman"/>
        </w:rPr>
        <w:t>5), Ministarstvo unutarnjih poslova (23</w:t>
      </w:r>
      <w:r w:rsidR="00C40FDE">
        <w:rPr>
          <w:rFonts w:eastAsia="Times New Roman" w:cs="Times New Roman"/>
        </w:rPr>
        <w:t>9</w:t>
      </w:r>
      <w:r w:rsidRPr="7D481D26">
        <w:rPr>
          <w:rFonts w:eastAsia="Times New Roman" w:cs="Times New Roman"/>
        </w:rPr>
        <w:t>), Općinski građanski sud u Zagrebu (23</w:t>
      </w:r>
      <w:r w:rsidR="00C40FDE">
        <w:rPr>
          <w:rFonts w:eastAsia="Times New Roman" w:cs="Times New Roman"/>
        </w:rPr>
        <w:t>3</w:t>
      </w:r>
      <w:r w:rsidRPr="7D481D26">
        <w:rPr>
          <w:rFonts w:eastAsia="Times New Roman" w:cs="Times New Roman"/>
        </w:rPr>
        <w:t>), Grad Split (16</w:t>
      </w:r>
      <w:r w:rsidR="00C40FDE">
        <w:rPr>
          <w:rFonts w:eastAsia="Times New Roman" w:cs="Times New Roman"/>
        </w:rPr>
        <w:t>9</w:t>
      </w:r>
      <w:r w:rsidRPr="7D481D26">
        <w:rPr>
          <w:rFonts w:eastAsia="Times New Roman" w:cs="Times New Roman"/>
        </w:rPr>
        <w:t>), Ministarstvo poljoprivrede, šumarstva i ribarstva (1</w:t>
      </w:r>
      <w:r w:rsidR="00C40FDE">
        <w:rPr>
          <w:rFonts w:eastAsia="Times New Roman" w:cs="Times New Roman"/>
        </w:rPr>
        <w:t>62</w:t>
      </w:r>
      <w:r w:rsidRPr="7D481D26">
        <w:rPr>
          <w:rFonts w:eastAsia="Times New Roman" w:cs="Times New Roman"/>
        </w:rPr>
        <w:t>), Ministarstvo zaštite okoliša i zelene tranzicije (15</w:t>
      </w:r>
      <w:r w:rsidR="00C40FDE">
        <w:rPr>
          <w:rFonts w:eastAsia="Times New Roman" w:cs="Times New Roman"/>
        </w:rPr>
        <w:t>7</w:t>
      </w:r>
      <w:r w:rsidRPr="7D481D26">
        <w:rPr>
          <w:rFonts w:eastAsia="Times New Roman" w:cs="Times New Roman"/>
        </w:rPr>
        <w:t>), Ministarstvo prostornoga uređenja, graditeljstva i državne imovine (15</w:t>
      </w:r>
      <w:r w:rsidR="00E51E1E">
        <w:rPr>
          <w:rFonts w:eastAsia="Times New Roman" w:cs="Times New Roman"/>
        </w:rPr>
        <w:t>0</w:t>
      </w:r>
      <w:r w:rsidRPr="7D481D26">
        <w:rPr>
          <w:rFonts w:eastAsia="Times New Roman" w:cs="Times New Roman"/>
        </w:rPr>
        <w:t>), Ministarstvo znanosti, obrazovanja i mladih (13</w:t>
      </w:r>
      <w:r w:rsidR="00E51E1E">
        <w:rPr>
          <w:rFonts w:eastAsia="Times New Roman" w:cs="Times New Roman"/>
        </w:rPr>
        <w:t>3</w:t>
      </w:r>
      <w:r w:rsidRPr="7D481D26">
        <w:rPr>
          <w:rFonts w:eastAsia="Times New Roman" w:cs="Times New Roman"/>
        </w:rPr>
        <w:t>), Javna ustanova Zavod za prostorno uređenje Grada Zagreba (127), Hrvatski zavod za zdravstveno osiguranje – HZZO (12</w:t>
      </w:r>
      <w:r w:rsidR="00E51E1E">
        <w:rPr>
          <w:rFonts w:eastAsia="Times New Roman" w:cs="Times New Roman"/>
        </w:rPr>
        <w:t>1</w:t>
      </w:r>
      <w:r w:rsidRPr="7D481D26">
        <w:rPr>
          <w:rFonts w:eastAsia="Times New Roman" w:cs="Times New Roman"/>
        </w:rPr>
        <w:t>), Ministarstvo pravosuđa, uprave i digitalne transformacije (120), Vlada Republike Hrvatske (11</w:t>
      </w:r>
      <w:r w:rsidR="00531426">
        <w:rPr>
          <w:rFonts w:eastAsia="Times New Roman" w:cs="Times New Roman"/>
        </w:rPr>
        <w:t>9</w:t>
      </w:r>
      <w:r w:rsidRPr="7D481D26">
        <w:rPr>
          <w:rFonts w:eastAsia="Times New Roman" w:cs="Times New Roman"/>
        </w:rPr>
        <w:t>), Grad Rijeka (1</w:t>
      </w:r>
      <w:r w:rsidR="00531426">
        <w:rPr>
          <w:rFonts w:eastAsia="Times New Roman" w:cs="Times New Roman"/>
        </w:rPr>
        <w:t>13) i</w:t>
      </w:r>
      <w:r w:rsidR="00531426" w:rsidRPr="00531426">
        <w:rPr>
          <w:rFonts w:eastAsia="Times New Roman" w:cs="Times New Roman"/>
        </w:rPr>
        <w:t xml:space="preserve"> </w:t>
      </w:r>
      <w:r w:rsidR="00531426" w:rsidRPr="7D481D26">
        <w:rPr>
          <w:rFonts w:eastAsia="Times New Roman" w:cs="Times New Roman"/>
        </w:rPr>
        <w:t>Državni inspektorat (1</w:t>
      </w:r>
      <w:r w:rsidR="00531426">
        <w:rPr>
          <w:rFonts w:eastAsia="Times New Roman" w:cs="Times New Roman"/>
        </w:rPr>
        <w:t>09</w:t>
      </w:r>
      <w:r w:rsidR="00531426" w:rsidRPr="7D481D26">
        <w:rPr>
          <w:rFonts w:eastAsia="Times New Roman" w:cs="Times New Roman"/>
        </w:rPr>
        <w:t>)</w:t>
      </w:r>
      <w:r w:rsidRPr="7D481D26">
        <w:rPr>
          <w:rFonts w:eastAsia="Times New Roman" w:cs="Times New Roman"/>
        </w:rPr>
        <w:t>.</w:t>
      </w:r>
    </w:p>
    <w:p w14:paraId="14350504" w14:textId="77777777" w:rsidR="00832A45" w:rsidRPr="009E4D2F" w:rsidRDefault="00832A45" w:rsidP="001D3797">
      <w:pPr>
        <w:pBdr>
          <w:top w:val="single" w:sz="4" w:space="1" w:color="auto"/>
          <w:left w:val="single" w:sz="4" w:space="1" w:color="auto"/>
          <w:bottom w:val="single" w:sz="4" w:space="1" w:color="auto"/>
          <w:right w:val="single" w:sz="4" w:space="1" w:color="auto"/>
        </w:pBdr>
        <w:spacing w:before="240"/>
        <w:rPr>
          <w:rFonts w:eastAsia="Times New Roman" w:cs="Times New Roman"/>
        </w:rPr>
      </w:pPr>
      <w:r w:rsidRPr="7D481D26">
        <w:rPr>
          <w:rFonts w:eastAsia="Times New Roman" w:cs="Times New Roman"/>
        </w:rPr>
        <w:t xml:space="preserve">S obzirom da od 2022. godine kontinuirano raste broj tijela koja ne zaprimaju zahtjeve, za potrebe ovog izvješća analizirano je koliko tijela pet godina unazad, od 2021. do 2025. godine, nije zaprimilo niti jedan zahtjev godišnje. </w:t>
      </w:r>
    </w:p>
    <w:p w14:paraId="510E33A8" w14:textId="77777777" w:rsidR="00832A45" w:rsidRPr="00713AD5" w:rsidRDefault="00832A45" w:rsidP="001D3797">
      <w:pPr>
        <w:pBdr>
          <w:top w:val="single" w:sz="4" w:space="1" w:color="auto"/>
          <w:left w:val="single" w:sz="4" w:space="1" w:color="auto"/>
          <w:bottom w:val="single" w:sz="4" w:space="1" w:color="auto"/>
          <w:right w:val="single" w:sz="4" w:space="1" w:color="auto"/>
        </w:pBdr>
        <w:spacing w:before="240"/>
        <w:rPr>
          <w:rFonts w:eastAsia="Times New Roman" w:cs="Times New Roman"/>
        </w:rPr>
      </w:pPr>
      <w:r w:rsidRPr="00713AD5">
        <w:rPr>
          <w:rFonts w:eastAsia="Times New Roman" w:cs="Times New Roman"/>
        </w:rPr>
        <w:t>Navedena analiza ukazala je na iznenađujuću činjenicu, da jedna petina (21%; 1.091) tijela javne vlasti pet godina unazad, zaredom, nije zaprimilo niti jedan zahtjev za pristup informacijama ili ponovnu porabu informacija. Riječ je o 657 tijela iz područja obrazovanja i 98 iz područja kulture, 69 vatrogasnih zajednica i postrojbi, 67 trgovačkih društava od kojih je 35 veterinarskih stanica, 59 tijela iz područja socijalne skrbi, 51 društvo Crvenog križa, 30 tijela iz područja sporta, 24 turističke zajednice, 12 tijela iz područja regionalnog razvoja, 11 iz područja zdravstva i 10 iz područja zaštite okoliša te Odbor za standarde financijskog izvještavanja, Javna komunalna ustanova Otok Pašman i Hrvatska gorska služba spašavanja.</w:t>
      </w:r>
    </w:p>
    <w:p w14:paraId="118E7AA0" w14:textId="434C94CF" w:rsidR="00FD3A68" w:rsidRDefault="00FD3A68" w:rsidP="00811052">
      <w:pPr>
        <w:pStyle w:val="Naslov2"/>
        <w:ind w:left="1276" w:hanging="567"/>
      </w:pPr>
      <w:bookmarkStart w:id="27" w:name="_Toc225865559"/>
      <w:r w:rsidRPr="7D481D26">
        <w:t>Rješavanje zahtjeva</w:t>
      </w:r>
      <w:bookmarkEnd w:id="27"/>
      <w:r w:rsidRPr="7D481D26">
        <w:t xml:space="preserve"> </w:t>
      </w:r>
      <w:bookmarkEnd w:id="26"/>
    </w:p>
    <w:p w14:paraId="55B2B8DD" w14:textId="77777777" w:rsidR="00360C77" w:rsidRPr="00970580" w:rsidRDefault="00360C77" w:rsidP="00713AD5">
      <w:pPr>
        <w:pBdr>
          <w:top w:val="single" w:sz="4" w:space="1" w:color="auto"/>
          <w:left w:val="single" w:sz="4" w:space="4" w:color="auto"/>
          <w:bottom w:val="single" w:sz="4" w:space="1" w:color="auto"/>
          <w:right w:val="single" w:sz="4" w:space="4" w:color="auto"/>
        </w:pBdr>
        <w:rPr>
          <w:rFonts w:eastAsia="Times New Roman" w:cs="Times New Roman"/>
        </w:rPr>
      </w:pPr>
      <w:r w:rsidRPr="00970580">
        <w:rPr>
          <w:rFonts w:eastAsia="Times New Roman" w:cs="Times New Roman"/>
        </w:rPr>
        <w:t xml:space="preserve">Tijekom 2025. tijela su zaprimila ukupno 20.453 zahtjeva za pristup informacijama, dopunu ili ispravak informacije i za ponovnu uporabu informacija. Iz prethodne godine u rad su prenijela 347 zahtjeva, što znači da su u radu tijekom 2025. godine ukupno imala 20.800 svih zahtjeva. </w:t>
      </w:r>
    </w:p>
    <w:p w14:paraId="4350BAAC" w14:textId="2D59A36C" w:rsidR="00360C77" w:rsidRPr="00970580" w:rsidRDefault="00360C77" w:rsidP="00360C77">
      <w:pPr>
        <w:keepNext/>
        <w:widowControl w:val="0"/>
        <w:spacing w:before="240"/>
        <w:rPr>
          <w:rFonts w:cs="Arial"/>
          <w:sz w:val="18"/>
          <w:szCs w:val="18"/>
        </w:rPr>
      </w:pPr>
      <w:r w:rsidRPr="00970580">
        <w:rPr>
          <w:rFonts w:cs="Arial"/>
          <w:sz w:val="18"/>
          <w:szCs w:val="18"/>
        </w:rPr>
        <w:t>Tablica 3.</w:t>
      </w:r>
      <w:r w:rsidR="005A7B9E" w:rsidRPr="00970580">
        <w:rPr>
          <w:rFonts w:cs="Arial"/>
          <w:sz w:val="18"/>
          <w:szCs w:val="18"/>
        </w:rPr>
        <w:t>4</w:t>
      </w:r>
      <w:r w:rsidRPr="00970580">
        <w:rPr>
          <w:rFonts w:cs="Arial"/>
          <w:sz w:val="18"/>
          <w:szCs w:val="18"/>
        </w:rPr>
        <w:t>. Rješavanje zahtjeva u 2025. godini</w:t>
      </w:r>
    </w:p>
    <w:tbl>
      <w:tblPr>
        <w:tblStyle w:val="Tablicareetke2-isticanje12"/>
        <w:tblW w:w="5000" w:type="pct"/>
        <w:tblLook w:val="0480" w:firstRow="0" w:lastRow="0" w:firstColumn="1" w:lastColumn="0" w:noHBand="0" w:noVBand="1"/>
      </w:tblPr>
      <w:tblGrid>
        <w:gridCol w:w="4718"/>
        <w:gridCol w:w="2177"/>
        <w:gridCol w:w="2177"/>
      </w:tblGrid>
      <w:tr w:rsidR="00970580" w:rsidRPr="00970580" w14:paraId="14D2331B" w14:textId="77777777" w:rsidTr="00072C2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718" w:type="dxa"/>
            <w:vAlign w:val="center"/>
          </w:tcPr>
          <w:p w14:paraId="446ACCC1" w14:textId="4E6FEE42" w:rsidR="00360C77" w:rsidRPr="00970580" w:rsidRDefault="003F0991" w:rsidP="003E42F7">
            <w:pPr>
              <w:spacing w:before="20" w:after="20"/>
              <w:jc w:val="left"/>
              <w:rPr>
                <w:rFonts w:ascii="Roboto" w:eastAsia="Times New Roman" w:hAnsi="Roboto" w:cs="Times New Roman"/>
                <w:b w:val="0"/>
                <w:bCs w:val="0"/>
                <w:sz w:val="18"/>
                <w:szCs w:val="18"/>
              </w:rPr>
            </w:pPr>
            <w:r w:rsidRPr="00970580">
              <w:rPr>
                <w:rFonts w:ascii="Roboto" w:eastAsia="Times New Roman" w:hAnsi="Roboto" w:cs="Times New Roman"/>
                <w:b w:val="0"/>
                <w:bCs w:val="0"/>
                <w:sz w:val="18"/>
                <w:szCs w:val="18"/>
              </w:rPr>
              <w:t xml:space="preserve">Broj prenesenih zahtjeva iz </w:t>
            </w:r>
            <w:r w:rsidRPr="00970580">
              <w:rPr>
                <w:rFonts w:ascii="Roboto" w:hAnsi="Roboto" w:cs="Times New Roman"/>
                <w:b w:val="0"/>
                <w:bCs w:val="0"/>
                <w:sz w:val="18"/>
                <w:szCs w:val="18"/>
              </w:rPr>
              <w:t>2024.</w:t>
            </w:r>
          </w:p>
        </w:tc>
        <w:tc>
          <w:tcPr>
            <w:tcW w:w="2177" w:type="dxa"/>
            <w:vAlign w:val="center"/>
          </w:tcPr>
          <w:p w14:paraId="503DD31E" w14:textId="77777777" w:rsidR="00360C77" w:rsidRPr="00970580" w:rsidRDefault="00360C77" w:rsidP="003E42F7">
            <w:pPr>
              <w:spacing w:before="20" w:after="20"/>
              <w:ind w:right="602"/>
              <w:jc w:val="right"/>
              <w:cnfStyle w:val="000000100000" w:firstRow="0" w:lastRow="0" w:firstColumn="0" w:lastColumn="0" w:oddVBand="0" w:evenVBand="0" w:oddHBand="1" w:evenHBand="0" w:firstRowFirstColumn="0" w:firstRowLastColumn="0" w:lastRowFirstColumn="0" w:lastRowLastColumn="0"/>
              <w:rPr>
                <w:rFonts w:ascii="Roboto" w:eastAsia="Times New Roman" w:hAnsi="Roboto" w:cs="Times New Roman"/>
                <w:sz w:val="18"/>
                <w:szCs w:val="18"/>
              </w:rPr>
            </w:pPr>
          </w:p>
        </w:tc>
        <w:tc>
          <w:tcPr>
            <w:tcW w:w="2177" w:type="dxa"/>
            <w:vAlign w:val="center"/>
          </w:tcPr>
          <w:p w14:paraId="6ED8F8EB" w14:textId="51879D39" w:rsidR="00360C77" w:rsidRPr="00970580" w:rsidRDefault="003F0991" w:rsidP="003E42F7">
            <w:pPr>
              <w:spacing w:before="20" w:after="20"/>
              <w:jc w:val="right"/>
              <w:cnfStyle w:val="000000100000" w:firstRow="0" w:lastRow="0" w:firstColumn="0" w:lastColumn="0" w:oddVBand="0" w:evenVBand="0" w:oddHBand="1" w:evenHBand="0" w:firstRowFirstColumn="0" w:firstRowLastColumn="0" w:lastRowFirstColumn="0" w:lastRowLastColumn="0"/>
              <w:rPr>
                <w:rFonts w:ascii="Roboto" w:hAnsi="Roboto" w:cs="Times New Roman"/>
                <w:sz w:val="18"/>
                <w:szCs w:val="18"/>
              </w:rPr>
            </w:pPr>
            <w:r w:rsidRPr="00970580">
              <w:rPr>
                <w:rFonts w:ascii="Roboto" w:hAnsi="Roboto" w:cs="Times New Roman"/>
                <w:sz w:val="18"/>
                <w:szCs w:val="18"/>
              </w:rPr>
              <w:t>347</w:t>
            </w:r>
          </w:p>
        </w:tc>
      </w:tr>
      <w:tr w:rsidR="00970580" w:rsidRPr="00970580" w14:paraId="27B58214" w14:textId="77777777" w:rsidTr="00072C20">
        <w:trPr>
          <w:cantSplit/>
          <w:trHeight w:val="340"/>
        </w:trPr>
        <w:tc>
          <w:tcPr>
            <w:cnfStyle w:val="001000000000" w:firstRow="0" w:lastRow="0" w:firstColumn="1" w:lastColumn="0" w:oddVBand="0" w:evenVBand="0" w:oddHBand="0" w:evenHBand="0" w:firstRowFirstColumn="0" w:firstRowLastColumn="0" w:lastRowFirstColumn="0" w:lastRowLastColumn="0"/>
            <w:tcW w:w="4718" w:type="dxa"/>
            <w:vAlign w:val="center"/>
            <w:hideMark/>
          </w:tcPr>
          <w:p w14:paraId="6E780AB1" w14:textId="77777777" w:rsidR="00360C77" w:rsidRPr="00970580" w:rsidRDefault="00360C77" w:rsidP="003E42F7">
            <w:pPr>
              <w:spacing w:before="20" w:after="20"/>
              <w:jc w:val="left"/>
              <w:rPr>
                <w:rFonts w:ascii="Roboto" w:eastAsia="Times New Roman" w:hAnsi="Roboto" w:cs="Times New Roman"/>
                <w:b w:val="0"/>
                <w:bCs w:val="0"/>
                <w:sz w:val="18"/>
                <w:szCs w:val="18"/>
              </w:rPr>
            </w:pPr>
            <w:r w:rsidRPr="00970580">
              <w:rPr>
                <w:rFonts w:ascii="Roboto" w:eastAsia="Times New Roman" w:hAnsi="Roboto" w:cs="Times New Roman"/>
                <w:b w:val="0"/>
                <w:bCs w:val="0"/>
                <w:sz w:val="18"/>
                <w:szCs w:val="18"/>
              </w:rPr>
              <w:t xml:space="preserve">Broj zaprimljenih zahtjeva </w:t>
            </w:r>
          </w:p>
        </w:tc>
        <w:tc>
          <w:tcPr>
            <w:tcW w:w="4354" w:type="dxa"/>
            <w:gridSpan w:val="2"/>
            <w:vAlign w:val="center"/>
            <w:hideMark/>
          </w:tcPr>
          <w:p w14:paraId="0E3F2685" w14:textId="77777777" w:rsidR="00360C77" w:rsidRPr="00970580" w:rsidRDefault="00360C77" w:rsidP="003E42F7">
            <w:pPr>
              <w:spacing w:before="20" w:after="20"/>
              <w:jc w:val="right"/>
              <w:cnfStyle w:val="000000000000" w:firstRow="0" w:lastRow="0" w:firstColumn="0" w:lastColumn="0" w:oddVBand="0" w:evenVBand="0" w:oddHBand="0" w:evenHBand="0" w:firstRowFirstColumn="0" w:firstRowLastColumn="0" w:lastRowFirstColumn="0" w:lastRowLastColumn="0"/>
              <w:rPr>
                <w:rFonts w:ascii="Roboto" w:hAnsi="Roboto" w:cs="Times New Roman"/>
                <w:sz w:val="18"/>
                <w:szCs w:val="18"/>
              </w:rPr>
            </w:pPr>
            <w:r w:rsidRPr="00970580">
              <w:rPr>
                <w:rFonts w:ascii="Roboto" w:hAnsi="Roboto" w:cs="Times New Roman"/>
                <w:sz w:val="18"/>
                <w:szCs w:val="18"/>
              </w:rPr>
              <w:t>20.453</w:t>
            </w:r>
          </w:p>
        </w:tc>
      </w:tr>
      <w:tr w:rsidR="00970580" w:rsidRPr="00970580" w14:paraId="291C741E" w14:textId="77777777" w:rsidTr="00072C2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718" w:type="dxa"/>
            <w:vAlign w:val="center"/>
            <w:hideMark/>
          </w:tcPr>
          <w:p w14:paraId="794BF0DC" w14:textId="77777777" w:rsidR="00360C77" w:rsidRPr="00970580" w:rsidRDefault="00360C77" w:rsidP="003E42F7">
            <w:pPr>
              <w:spacing w:before="20" w:after="20"/>
              <w:jc w:val="left"/>
              <w:rPr>
                <w:rFonts w:ascii="Roboto" w:eastAsia="Times New Roman" w:hAnsi="Roboto" w:cs="Times New Roman"/>
                <w:b w:val="0"/>
                <w:bCs w:val="0"/>
                <w:sz w:val="18"/>
                <w:szCs w:val="18"/>
              </w:rPr>
            </w:pPr>
            <w:r w:rsidRPr="00970580">
              <w:rPr>
                <w:rFonts w:ascii="Roboto" w:eastAsia="Times New Roman" w:hAnsi="Roboto" w:cs="Times New Roman"/>
                <w:b w:val="0"/>
                <w:bCs w:val="0"/>
                <w:sz w:val="18"/>
                <w:szCs w:val="18"/>
              </w:rPr>
              <w:t>Ukupan broj zahtjeva na rješavanju</w:t>
            </w:r>
          </w:p>
        </w:tc>
        <w:tc>
          <w:tcPr>
            <w:tcW w:w="4354" w:type="dxa"/>
            <w:gridSpan w:val="2"/>
            <w:vAlign w:val="center"/>
            <w:hideMark/>
          </w:tcPr>
          <w:p w14:paraId="71641F94" w14:textId="77777777" w:rsidR="00360C77" w:rsidRPr="00970580" w:rsidRDefault="00360C77" w:rsidP="003E42F7">
            <w:pPr>
              <w:spacing w:before="20" w:after="20"/>
              <w:jc w:val="right"/>
              <w:cnfStyle w:val="000000100000" w:firstRow="0" w:lastRow="0" w:firstColumn="0" w:lastColumn="0" w:oddVBand="0" w:evenVBand="0" w:oddHBand="1" w:evenHBand="0" w:firstRowFirstColumn="0" w:firstRowLastColumn="0" w:lastRowFirstColumn="0" w:lastRowLastColumn="0"/>
              <w:rPr>
                <w:rFonts w:ascii="Roboto" w:hAnsi="Roboto" w:cs="Times New Roman"/>
                <w:sz w:val="18"/>
                <w:szCs w:val="18"/>
              </w:rPr>
            </w:pPr>
            <w:r w:rsidRPr="00970580">
              <w:rPr>
                <w:rFonts w:ascii="Roboto" w:hAnsi="Roboto" w:cs="Times New Roman"/>
                <w:sz w:val="18"/>
                <w:szCs w:val="18"/>
              </w:rPr>
              <w:t>20.800</w:t>
            </w:r>
          </w:p>
        </w:tc>
      </w:tr>
      <w:tr w:rsidR="00970580" w:rsidRPr="00970580" w14:paraId="16AFF6DF" w14:textId="77777777" w:rsidTr="00072C20">
        <w:trPr>
          <w:cantSplit/>
          <w:trHeight w:val="340"/>
        </w:trPr>
        <w:tc>
          <w:tcPr>
            <w:cnfStyle w:val="001000000000" w:firstRow="0" w:lastRow="0" w:firstColumn="1" w:lastColumn="0" w:oddVBand="0" w:evenVBand="0" w:oddHBand="0" w:evenHBand="0" w:firstRowFirstColumn="0" w:firstRowLastColumn="0" w:lastRowFirstColumn="0" w:lastRowLastColumn="0"/>
            <w:tcW w:w="4718" w:type="dxa"/>
            <w:vAlign w:val="center"/>
            <w:hideMark/>
          </w:tcPr>
          <w:p w14:paraId="439F6669" w14:textId="77777777" w:rsidR="00360C77" w:rsidRPr="00970580" w:rsidRDefault="00360C77" w:rsidP="003E42F7">
            <w:pPr>
              <w:spacing w:before="20" w:after="20"/>
              <w:jc w:val="left"/>
              <w:rPr>
                <w:rFonts w:ascii="Roboto" w:eastAsia="Times New Roman" w:hAnsi="Roboto" w:cs="Times New Roman"/>
                <w:b w:val="0"/>
                <w:bCs w:val="0"/>
                <w:sz w:val="18"/>
                <w:szCs w:val="18"/>
              </w:rPr>
            </w:pPr>
            <w:r w:rsidRPr="00970580">
              <w:rPr>
                <w:rFonts w:ascii="Roboto" w:hAnsi="Roboto" w:cs="Times New Roman"/>
                <w:b w:val="0"/>
                <w:bCs w:val="0"/>
                <w:sz w:val="18"/>
                <w:szCs w:val="18"/>
              </w:rPr>
              <w:t>Ustupljeno</w:t>
            </w:r>
          </w:p>
        </w:tc>
        <w:tc>
          <w:tcPr>
            <w:tcW w:w="2177" w:type="dxa"/>
            <w:vAlign w:val="center"/>
            <w:hideMark/>
          </w:tcPr>
          <w:p w14:paraId="552896DF" w14:textId="651DE9CA" w:rsidR="00360C77" w:rsidRPr="00970580" w:rsidRDefault="00360C77" w:rsidP="003E42F7">
            <w:pPr>
              <w:spacing w:before="20" w:after="20"/>
              <w:jc w:val="right"/>
              <w:cnfStyle w:val="000000000000" w:firstRow="0" w:lastRow="0" w:firstColumn="0" w:lastColumn="0" w:oddVBand="0" w:evenVBand="0" w:oddHBand="0" w:evenHBand="0" w:firstRowFirstColumn="0" w:firstRowLastColumn="0" w:lastRowFirstColumn="0" w:lastRowLastColumn="0"/>
              <w:rPr>
                <w:rFonts w:ascii="Roboto" w:hAnsi="Roboto" w:cs="Times New Roman"/>
                <w:sz w:val="18"/>
                <w:szCs w:val="18"/>
              </w:rPr>
            </w:pPr>
            <w:r w:rsidRPr="00970580">
              <w:rPr>
                <w:rFonts w:ascii="Roboto" w:hAnsi="Roboto" w:cs="Times New Roman"/>
                <w:sz w:val="18"/>
                <w:szCs w:val="18"/>
              </w:rPr>
              <w:t>1.081</w:t>
            </w:r>
          </w:p>
        </w:tc>
        <w:tc>
          <w:tcPr>
            <w:tcW w:w="2177" w:type="dxa"/>
            <w:vAlign w:val="center"/>
          </w:tcPr>
          <w:p w14:paraId="1130C2DB" w14:textId="77777777" w:rsidR="00360C77" w:rsidRPr="00970580" w:rsidRDefault="00360C77" w:rsidP="003E42F7">
            <w:pPr>
              <w:spacing w:before="20" w:after="20"/>
              <w:jc w:val="right"/>
              <w:cnfStyle w:val="000000000000" w:firstRow="0" w:lastRow="0" w:firstColumn="0" w:lastColumn="0" w:oddVBand="0" w:evenVBand="0" w:oddHBand="0" w:evenHBand="0" w:firstRowFirstColumn="0" w:firstRowLastColumn="0" w:lastRowFirstColumn="0" w:lastRowLastColumn="0"/>
              <w:rPr>
                <w:rFonts w:ascii="Roboto" w:hAnsi="Roboto" w:cs="Times New Roman"/>
                <w:sz w:val="18"/>
                <w:szCs w:val="18"/>
              </w:rPr>
            </w:pPr>
            <w:r w:rsidRPr="00970580">
              <w:rPr>
                <w:rFonts w:ascii="Roboto" w:hAnsi="Roboto" w:cs="Times New Roman"/>
                <w:sz w:val="18"/>
                <w:szCs w:val="18"/>
              </w:rPr>
              <w:t>5%</w:t>
            </w:r>
          </w:p>
        </w:tc>
      </w:tr>
      <w:tr w:rsidR="00970580" w:rsidRPr="00970580" w14:paraId="60C470D3" w14:textId="77777777" w:rsidTr="00072C2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718" w:type="dxa"/>
            <w:vAlign w:val="center"/>
          </w:tcPr>
          <w:p w14:paraId="779E7C09" w14:textId="77777777" w:rsidR="00360C77" w:rsidRPr="00970580" w:rsidRDefault="00360C77" w:rsidP="003E42F7">
            <w:pPr>
              <w:spacing w:before="20" w:after="20"/>
              <w:jc w:val="left"/>
              <w:rPr>
                <w:rFonts w:ascii="Roboto" w:hAnsi="Roboto" w:cs="Times New Roman"/>
                <w:b w:val="0"/>
                <w:bCs w:val="0"/>
                <w:sz w:val="18"/>
                <w:szCs w:val="18"/>
              </w:rPr>
            </w:pPr>
            <w:r w:rsidRPr="00970580">
              <w:rPr>
                <w:rFonts w:ascii="Roboto" w:hAnsi="Roboto" w:cs="Times New Roman"/>
                <w:b w:val="0"/>
                <w:bCs w:val="0"/>
                <w:sz w:val="18"/>
                <w:szCs w:val="18"/>
              </w:rPr>
              <w:t>Riješeno</w:t>
            </w:r>
          </w:p>
        </w:tc>
        <w:tc>
          <w:tcPr>
            <w:tcW w:w="2177" w:type="dxa"/>
            <w:vAlign w:val="center"/>
          </w:tcPr>
          <w:p w14:paraId="160959DC" w14:textId="77777777" w:rsidR="00360C77" w:rsidRPr="00970580" w:rsidRDefault="00360C77" w:rsidP="003E42F7">
            <w:pPr>
              <w:spacing w:before="20" w:after="20"/>
              <w:jc w:val="right"/>
              <w:cnfStyle w:val="000000100000" w:firstRow="0" w:lastRow="0" w:firstColumn="0" w:lastColumn="0" w:oddVBand="0" w:evenVBand="0" w:oddHBand="1" w:evenHBand="0" w:firstRowFirstColumn="0" w:firstRowLastColumn="0" w:lastRowFirstColumn="0" w:lastRowLastColumn="0"/>
              <w:rPr>
                <w:rFonts w:ascii="Roboto" w:hAnsi="Roboto" w:cs="Times New Roman"/>
                <w:sz w:val="18"/>
                <w:szCs w:val="18"/>
              </w:rPr>
            </w:pPr>
            <w:r w:rsidRPr="00970580">
              <w:rPr>
                <w:rFonts w:ascii="Roboto" w:hAnsi="Roboto" w:cs="Times New Roman"/>
                <w:sz w:val="18"/>
                <w:szCs w:val="18"/>
              </w:rPr>
              <w:t>19.354</w:t>
            </w:r>
          </w:p>
        </w:tc>
        <w:tc>
          <w:tcPr>
            <w:tcW w:w="2177" w:type="dxa"/>
            <w:vAlign w:val="center"/>
          </w:tcPr>
          <w:p w14:paraId="7FC918AC" w14:textId="77777777" w:rsidR="00360C77" w:rsidRPr="00970580" w:rsidRDefault="00360C77" w:rsidP="003E42F7">
            <w:pPr>
              <w:spacing w:before="20" w:after="20"/>
              <w:jc w:val="right"/>
              <w:cnfStyle w:val="000000100000" w:firstRow="0" w:lastRow="0" w:firstColumn="0" w:lastColumn="0" w:oddVBand="0" w:evenVBand="0" w:oddHBand="1" w:evenHBand="0" w:firstRowFirstColumn="0" w:firstRowLastColumn="0" w:lastRowFirstColumn="0" w:lastRowLastColumn="0"/>
              <w:rPr>
                <w:rFonts w:ascii="Roboto" w:hAnsi="Roboto" w:cs="Times New Roman"/>
                <w:sz w:val="18"/>
                <w:szCs w:val="18"/>
              </w:rPr>
            </w:pPr>
            <w:r w:rsidRPr="00970580">
              <w:rPr>
                <w:rFonts w:ascii="Roboto" w:hAnsi="Roboto" w:cs="Times New Roman"/>
                <w:sz w:val="18"/>
                <w:szCs w:val="18"/>
              </w:rPr>
              <w:t>93%</w:t>
            </w:r>
          </w:p>
        </w:tc>
      </w:tr>
      <w:tr w:rsidR="00970580" w:rsidRPr="00970580" w14:paraId="1A1B4945" w14:textId="77777777" w:rsidTr="00072C20">
        <w:trPr>
          <w:cantSplit/>
          <w:trHeight w:val="340"/>
        </w:trPr>
        <w:tc>
          <w:tcPr>
            <w:cnfStyle w:val="001000000000" w:firstRow="0" w:lastRow="0" w:firstColumn="1" w:lastColumn="0" w:oddVBand="0" w:evenVBand="0" w:oddHBand="0" w:evenHBand="0" w:firstRowFirstColumn="0" w:firstRowLastColumn="0" w:lastRowFirstColumn="0" w:lastRowLastColumn="0"/>
            <w:tcW w:w="4718" w:type="dxa"/>
            <w:vAlign w:val="center"/>
          </w:tcPr>
          <w:p w14:paraId="6B292FAF" w14:textId="77777777" w:rsidR="00360C77" w:rsidRPr="00A11394" w:rsidRDefault="00360C77" w:rsidP="003E42F7">
            <w:pPr>
              <w:spacing w:before="20" w:after="20"/>
              <w:jc w:val="right"/>
              <w:rPr>
                <w:rFonts w:ascii="Roboto" w:eastAsia="Times New Roman" w:hAnsi="Roboto" w:cs="Times New Roman"/>
                <w:sz w:val="18"/>
                <w:szCs w:val="18"/>
              </w:rPr>
            </w:pPr>
            <w:r w:rsidRPr="00A11394">
              <w:rPr>
                <w:rFonts w:ascii="Roboto" w:hAnsi="Roboto" w:cs="Times New Roman"/>
                <w:sz w:val="18"/>
                <w:szCs w:val="18"/>
              </w:rPr>
              <w:t>Riješeno u roku</w:t>
            </w:r>
          </w:p>
        </w:tc>
        <w:tc>
          <w:tcPr>
            <w:tcW w:w="2177" w:type="dxa"/>
            <w:vAlign w:val="center"/>
          </w:tcPr>
          <w:p w14:paraId="26172F08" w14:textId="77777777" w:rsidR="00360C77" w:rsidRPr="00A11394" w:rsidRDefault="00360C77" w:rsidP="003E42F7">
            <w:pPr>
              <w:spacing w:before="20" w:after="20"/>
              <w:jc w:val="right"/>
              <w:cnfStyle w:val="000000000000" w:firstRow="0" w:lastRow="0" w:firstColumn="0" w:lastColumn="0" w:oddVBand="0" w:evenVBand="0" w:oddHBand="0" w:evenHBand="0" w:firstRowFirstColumn="0" w:firstRowLastColumn="0" w:lastRowFirstColumn="0" w:lastRowLastColumn="0"/>
              <w:rPr>
                <w:rFonts w:ascii="Roboto" w:hAnsi="Roboto" w:cs="Times New Roman"/>
                <w:b/>
                <w:bCs/>
                <w:sz w:val="18"/>
                <w:szCs w:val="18"/>
              </w:rPr>
            </w:pPr>
            <w:r w:rsidRPr="00A11394">
              <w:rPr>
                <w:rFonts w:ascii="Roboto" w:hAnsi="Roboto" w:cs="Times New Roman"/>
                <w:b/>
                <w:bCs/>
                <w:sz w:val="18"/>
                <w:szCs w:val="18"/>
              </w:rPr>
              <w:t>16.963</w:t>
            </w:r>
          </w:p>
        </w:tc>
        <w:tc>
          <w:tcPr>
            <w:tcW w:w="2177" w:type="dxa"/>
            <w:vAlign w:val="center"/>
          </w:tcPr>
          <w:p w14:paraId="62741375" w14:textId="77777777" w:rsidR="00360C77" w:rsidRPr="00A11394" w:rsidRDefault="00360C77" w:rsidP="003E42F7">
            <w:pPr>
              <w:spacing w:before="20" w:after="20"/>
              <w:jc w:val="right"/>
              <w:cnfStyle w:val="000000000000" w:firstRow="0" w:lastRow="0" w:firstColumn="0" w:lastColumn="0" w:oddVBand="0" w:evenVBand="0" w:oddHBand="0" w:evenHBand="0" w:firstRowFirstColumn="0" w:firstRowLastColumn="0" w:lastRowFirstColumn="0" w:lastRowLastColumn="0"/>
              <w:rPr>
                <w:rFonts w:ascii="Roboto" w:hAnsi="Roboto" w:cs="Times New Roman"/>
                <w:b/>
                <w:bCs/>
                <w:sz w:val="18"/>
                <w:szCs w:val="18"/>
              </w:rPr>
            </w:pPr>
            <w:r w:rsidRPr="00A11394">
              <w:rPr>
                <w:rFonts w:ascii="Roboto" w:hAnsi="Roboto" w:cs="Times New Roman"/>
                <w:b/>
                <w:bCs/>
                <w:sz w:val="18"/>
                <w:szCs w:val="18"/>
              </w:rPr>
              <w:t>88%</w:t>
            </w:r>
          </w:p>
        </w:tc>
      </w:tr>
      <w:tr w:rsidR="00970580" w:rsidRPr="00970580" w14:paraId="7B7CC03F" w14:textId="77777777" w:rsidTr="00072C2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718" w:type="dxa"/>
            <w:vAlign w:val="center"/>
          </w:tcPr>
          <w:p w14:paraId="23D6A6C6" w14:textId="77777777" w:rsidR="00360C77" w:rsidRPr="00970580" w:rsidRDefault="00360C77" w:rsidP="003E42F7">
            <w:pPr>
              <w:spacing w:before="20" w:after="20"/>
              <w:jc w:val="right"/>
              <w:rPr>
                <w:rFonts w:ascii="Roboto" w:eastAsia="Times New Roman" w:hAnsi="Roboto" w:cs="Times New Roman"/>
                <w:b w:val="0"/>
                <w:bCs w:val="0"/>
                <w:sz w:val="18"/>
                <w:szCs w:val="18"/>
              </w:rPr>
            </w:pPr>
            <w:r w:rsidRPr="00970580">
              <w:rPr>
                <w:rFonts w:ascii="Roboto" w:hAnsi="Roboto" w:cs="Times New Roman"/>
                <w:b w:val="0"/>
                <w:bCs w:val="0"/>
                <w:sz w:val="18"/>
                <w:szCs w:val="18"/>
              </w:rPr>
              <w:t>Riješeno izvan roka</w:t>
            </w:r>
          </w:p>
        </w:tc>
        <w:tc>
          <w:tcPr>
            <w:tcW w:w="2177" w:type="dxa"/>
            <w:vAlign w:val="center"/>
          </w:tcPr>
          <w:p w14:paraId="7CC8B113" w14:textId="77777777" w:rsidR="00360C77" w:rsidRPr="00970580" w:rsidRDefault="00360C77" w:rsidP="003E42F7">
            <w:pPr>
              <w:spacing w:before="20" w:after="20"/>
              <w:jc w:val="right"/>
              <w:cnfStyle w:val="000000100000" w:firstRow="0" w:lastRow="0" w:firstColumn="0" w:lastColumn="0" w:oddVBand="0" w:evenVBand="0" w:oddHBand="1" w:evenHBand="0" w:firstRowFirstColumn="0" w:firstRowLastColumn="0" w:lastRowFirstColumn="0" w:lastRowLastColumn="0"/>
              <w:rPr>
                <w:rFonts w:ascii="Roboto" w:hAnsi="Roboto" w:cs="Times New Roman"/>
                <w:sz w:val="18"/>
                <w:szCs w:val="18"/>
              </w:rPr>
            </w:pPr>
            <w:r w:rsidRPr="00970580">
              <w:rPr>
                <w:rFonts w:ascii="Roboto" w:hAnsi="Roboto" w:cs="Times New Roman"/>
                <w:sz w:val="18"/>
                <w:szCs w:val="18"/>
              </w:rPr>
              <w:t>2.391</w:t>
            </w:r>
          </w:p>
        </w:tc>
        <w:tc>
          <w:tcPr>
            <w:tcW w:w="2177" w:type="dxa"/>
            <w:vAlign w:val="center"/>
          </w:tcPr>
          <w:p w14:paraId="3A3E1A1E" w14:textId="77777777" w:rsidR="00360C77" w:rsidRPr="00970580" w:rsidRDefault="00360C77" w:rsidP="003E42F7">
            <w:pPr>
              <w:spacing w:before="20" w:after="20"/>
              <w:jc w:val="right"/>
              <w:cnfStyle w:val="000000100000" w:firstRow="0" w:lastRow="0" w:firstColumn="0" w:lastColumn="0" w:oddVBand="0" w:evenVBand="0" w:oddHBand="1" w:evenHBand="0" w:firstRowFirstColumn="0" w:firstRowLastColumn="0" w:lastRowFirstColumn="0" w:lastRowLastColumn="0"/>
              <w:rPr>
                <w:rFonts w:ascii="Roboto" w:hAnsi="Roboto" w:cs="Times New Roman"/>
                <w:sz w:val="18"/>
                <w:szCs w:val="18"/>
              </w:rPr>
            </w:pPr>
            <w:r w:rsidRPr="00970580">
              <w:rPr>
                <w:rFonts w:ascii="Roboto" w:hAnsi="Roboto" w:cs="Times New Roman"/>
                <w:sz w:val="18"/>
                <w:szCs w:val="18"/>
              </w:rPr>
              <w:t>12%</w:t>
            </w:r>
          </w:p>
        </w:tc>
      </w:tr>
      <w:tr w:rsidR="00970580" w:rsidRPr="00970580" w14:paraId="5181C9FE" w14:textId="77777777" w:rsidTr="00072C20">
        <w:trPr>
          <w:cantSplit/>
          <w:trHeight w:val="340"/>
        </w:trPr>
        <w:tc>
          <w:tcPr>
            <w:cnfStyle w:val="001000000000" w:firstRow="0" w:lastRow="0" w:firstColumn="1" w:lastColumn="0" w:oddVBand="0" w:evenVBand="0" w:oddHBand="0" w:evenHBand="0" w:firstRowFirstColumn="0" w:firstRowLastColumn="0" w:lastRowFirstColumn="0" w:lastRowLastColumn="0"/>
            <w:tcW w:w="4718" w:type="dxa"/>
            <w:vAlign w:val="center"/>
          </w:tcPr>
          <w:p w14:paraId="7BE8186F" w14:textId="77777777" w:rsidR="00360C77" w:rsidRPr="00970580" w:rsidRDefault="00360C77" w:rsidP="003E42F7">
            <w:pPr>
              <w:spacing w:before="20" w:after="20"/>
              <w:jc w:val="left"/>
              <w:rPr>
                <w:rFonts w:ascii="Roboto" w:eastAsia="Times New Roman" w:hAnsi="Roboto" w:cs="Times New Roman"/>
                <w:b w:val="0"/>
                <w:bCs w:val="0"/>
                <w:sz w:val="18"/>
                <w:szCs w:val="18"/>
              </w:rPr>
            </w:pPr>
            <w:r w:rsidRPr="00970580">
              <w:rPr>
                <w:rFonts w:ascii="Roboto" w:hAnsi="Roboto" w:cs="Times New Roman"/>
                <w:b w:val="0"/>
                <w:bCs w:val="0"/>
                <w:sz w:val="18"/>
                <w:szCs w:val="18"/>
              </w:rPr>
              <w:t>Neriješeno</w:t>
            </w:r>
          </w:p>
        </w:tc>
        <w:tc>
          <w:tcPr>
            <w:tcW w:w="2177" w:type="dxa"/>
            <w:vAlign w:val="center"/>
          </w:tcPr>
          <w:p w14:paraId="11FE5BBB" w14:textId="77777777" w:rsidR="00360C77" w:rsidRPr="00970580" w:rsidRDefault="00360C77" w:rsidP="003E42F7">
            <w:pPr>
              <w:spacing w:before="20" w:after="20"/>
              <w:ind w:right="-17"/>
              <w:jc w:val="right"/>
              <w:cnfStyle w:val="000000000000" w:firstRow="0" w:lastRow="0" w:firstColumn="0" w:lastColumn="0" w:oddVBand="0" w:evenVBand="0" w:oddHBand="0" w:evenHBand="0" w:firstRowFirstColumn="0" w:firstRowLastColumn="0" w:lastRowFirstColumn="0" w:lastRowLastColumn="0"/>
              <w:rPr>
                <w:rFonts w:ascii="Roboto" w:eastAsia="Times New Roman" w:hAnsi="Roboto" w:cs="Times New Roman"/>
                <w:sz w:val="18"/>
                <w:szCs w:val="18"/>
              </w:rPr>
            </w:pPr>
            <w:r w:rsidRPr="00970580">
              <w:rPr>
                <w:rFonts w:ascii="Roboto" w:hAnsi="Roboto" w:cs="Times New Roman"/>
                <w:sz w:val="18"/>
                <w:szCs w:val="18"/>
              </w:rPr>
              <w:t>365</w:t>
            </w:r>
          </w:p>
        </w:tc>
        <w:tc>
          <w:tcPr>
            <w:tcW w:w="2177" w:type="dxa"/>
            <w:vAlign w:val="center"/>
          </w:tcPr>
          <w:p w14:paraId="6611BCB8" w14:textId="77777777" w:rsidR="00360C77" w:rsidRPr="00970580" w:rsidRDefault="00360C77" w:rsidP="003E42F7">
            <w:pPr>
              <w:spacing w:before="20" w:after="20"/>
              <w:jc w:val="right"/>
              <w:cnfStyle w:val="000000000000" w:firstRow="0" w:lastRow="0" w:firstColumn="0" w:lastColumn="0" w:oddVBand="0" w:evenVBand="0" w:oddHBand="0" w:evenHBand="0" w:firstRowFirstColumn="0" w:firstRowLastColumn="0" w:lastRowFirstColumn="0" w:lastRowLastColumn="0"/>
              <w:rPr>
                <w:rFonts w:ascii="Roboto" w:hAnsi="Roboto" w:cs="Times New Roman"/>
                <w:sz w:val="18"/>
                <w:szCs w:val="18"/>
              </w:rPr>
            </w:pPr>
            <w:r w:rsidRPr="00970580">
              <w:rPr>
                <w:rFonts w:ascii="Roboto" w:hAnsi="Roboto" w:cs="Times New Roman"/>
                <w:sz w:val="18"/>
                <w:szCs w:val="18"/>
              </w:rPr>
              <w:t>2%</w:t>
            </w:r>
          </w:p>
        </w:tc>
      </w:tr>
    </w:tbl>
    <w:p w14:paraId="51224E05" w14:textId="77777777" w:rsidR="00360C77" w:rsidRPr="003940C2" w:rsidRDefault="00360C77" w:rsidP="002156E5">
      <w:pPr>
        <w:pBdr>
          <w:top w:val="single" w:sz="4" w:space="1" w:color="auto"/>
          <w:left w:val="single" w:sz="4" w:space="4" w:color="auto"/>
          <w:bottom w:val="single" w:sz="4" w:space="1" w:color="auto"/>
          <w:right w:val="single" w:sz="4" w:space="4" w:color="auto"/>
        </w:pBdr>
        <w:spacing w:before="240"/>
        <w:rPr>
          <w:rFonts w:eastAsia="Times New Roman" w:cs="Times New Roman"/>
          <w:sz w:val="23"/>
          <w:szCs w:val="23"/>
        </w:rPr>
      </w:pPr>
      <w:r w:rsidRPr="003940C2">
        <w:rPr>
          <w:rFonts w:eastAsia="Times New Roman" w:cs="Times New Roman"/>
          <w:sz w:val="23"/>
          <w:szCs w:val="23"/>
        </w:rPr>
        <w:t>U zakonskom roku je riješeno 88% (19.354) zahtjeva, od sveukupno riješenih 93% (19.354) zahtjeva, dok je 2% zahtjeva u 2025. ostalo neriješeno odnosno tijela ih prenose u sljedeću godinu.</w:t>
      </w:r>
    </w:p>
    <w:p w14:paraId="2C17EDDC" w14:textId="77777777" w:rsidR="00360C77" w:rsidRPr="003940C2" w:rsidRDefault="00360C77" w:rsidP="00360C77">
      <w:pPr>
        <w:rPr>
          <w:rFonts w:eastAsia="Times New Roman" w:cs="Times New Roman"/>
          <w:sz w:val="23"/>
          <w:szCs w:val="23"/>
        </w:rPr>
      </w:pPr>
      <w:r w:rsidRPr="003940C2">
        <w:rPr>
          <w:rFonts w:eastAsia="Times New Roman" w:cs="Times New Roman"/>
          <w:sz w:val="23"/>
          <w:szCs w:val="23"/>
        </w:rPr>
        <w:lastRenderedPageBreak/>
        <w:t>Svaki zahtjev može biti riješen na nekoliko različitih načina, odnosno temeljem više pravnih osnova. Prema dostavljenim podacima tijela su u 2025. godini riješila 768 zahtjeva po više pravnih osnova, dok su ostali zahtjevi riješeni samo po jednoj pravnoj osnovi odnosno na jedan način.</w:t>
      </w:r>
    </w:p>
    <w:p w14:paraId="2D0CD4CF" w14:textId="7B074F58" w:rsidR="00360C77" w:rsidRPr="00D25ADC" w:rsidRDefault="00360C77" w:rsidP="00360C77">
      <w:pPr>
        <w:rPr>
          <w:rFonts w:eastAsia="Times New Roman" w:cs="Times New Roman"/>
          <w:sz w:val="23"/>
          <w:szCs w:val="23"/>
        </w:rPr>
      </w:pPr>
      <w:r w:rsidRPr="003271CA">
        <w:rPr>
          <w:rFonts w:eastAsia="Times New Roman" w:cs="Times New Roman"/>
          <w:sz w:val="23"/>
          <w:szCs w:val="23"/>
        </w:rPr>
        <w:t>Iz analize podataka proizlazi kako je 13.298 zahtjeva usvojeno (69% od ukupnog broja riješenih zahtjeva) i još 429 (2%) zahtjeva djelomično usvojeno (u jednom dijelu usvojeno, a u drugom odbijeno</w:t>
      </w:r>
      <w:r w:rsidRPr="7D2256E2">
        <w:rPr>
          <w:rFonts w:eastAsia="Times New Roman" w:cs="Times New Roman"/>
          <w:sz w:val="23"/>
          <w:szCs w:val="23"/>
        </w:rPr>
        <w:t xml:space="preserve"> ili odbačeno). U cijelosti je odbijeno 3.250 (17%) zahtjeva, 585 (3%) zahtjeva je (djelomično) odbačeno, a izdano je 2.</w:t>
      </w:r>
      <w:r w:rsidR="1F3D7067" w:rsidRPr="7D2256E2">
        <w:rPr>
          <w:rFonts w:eastAsia="Times New Roman" w:cs="Times New Roman"/>
          <w:sz w:val="23"/>
          <w:szCs w:val="23"/>
        </w:rPr>
        <w:t xml:space="preserve">832 </w:t>
      </w:r>
      <w:r w:rsidRPr="7D2256E2">
        <w:rPr>
          <w:rFonts w:eastAsia="Times New Roman" w:cs="Times New Roman"/>
          <w:sz w:val="23"/>
          <w:szCs w:val="23"/>
        </w:rPr>
        <w:t>obavijesti iz članka 23. stavka 2. Zakona.</w:t>
      </w:r>
    </w:p>
    <w:p w14:paraId="4638B263" w14:textId="2E347C62" w:rsidR="00422879" w:rsidRDefault="00360C77" w:rsidP="00360C77">
      <w:pPr>
        <w:rPr>
          <w:rFonts w:eastAsia="Times New Roman" w:cs="Times New Roman"/>
          <w:strike/>
          <w:sz w:val="23"/>
          <w:szCs w:val="23"/>
        </w:rPr>
      </w:pPr>
      <w:r w:rsidRPr="00D25ADC">
        <w:rPr>
          <w:rFonts w:eastAsia="Times New Roman" w:cs="Times New Roman"/>
          <w:sz w:val="23"/>
          <w:szCs w:val="23"/>
        </w:rPr>
        <w:t>ZPPI od 2022. osigurava korisnicima pravnu zaštitu u slučaju dobivanja obavijesti od tijela javne vlasti, odnosno mogućnost izjavljivanja prigovora čelniku tijela na obavijest iz članka 23. stavka 2. Zakona</w:t>
      </w:r>
      <w:r w:rsidR="00422879">
        <w:rPr>
          <w:rFonts w:eastAsia="Times New Roman" w:cs="Times New Roman"/>
          <w:sz w:val="23"/>
          <w:szCs w:val="23"/>
        </w:rPr>
        <w:t xml:space="preserve"> te su t</w:t>
      </w:r>
      <w:r w:rsidRPr="00D25ADC">
        <w:rPr>
          <w:rFonts w:eastAsia="Times New Roman" w:cs="Times New Roman"/>
          <w:sz w:val="23"/>
          <w:szCs w:val="23"/>
        </w:rPr>
        <w:t>ijekom 2025. tijela zaprimila 188 prigovora i riješila 162 prigovora</w:t>
      </w:r>
      <w:r w:rsidR="00422879" w:rsidRPr="00422879">
        <w:rPr>
          <w:rFonts w:eastAsia="Times New Roman" w:cs="Times New Roman"/>
          <w:sz w:val="23"/>
          <w:szCs w:val="23"/>
        </w:rPr>
        <w:t>.</w:t>
      </w:r>
    </w:p>
    <w:p w14:paraId="604CD267" w14:textId="58D85F4F" w:rsidR="00360C77" w:rsidRPr="00422879" w:rsidRDefault="00422879" w:rsidP="00360C77">
      <w:pPr>
        <w:rPr>
          <w:rFonts w:eastAsia="Times New Roman" w:cs="Times New Roman"/>
          <w:sz w:val="23"/>
          <w:szCs w:val="23"/>
        </w:rPr>
      </w:pPr>
      <w:r w:rsidRPr="00355E6F">
        <w:rPr>
          <w:rFonts w:eastAsia="Times New Roman" w:cs="Times New Roman"/>
          <w:sz w:val="23"/>
          <w:szCs w:val="23"/>
        </w:rPr>
        <w:t>Iz navedenih podataka vidljivo je kako su tijela javne vlasti tijekom 2025.</w:t>
      </w:r>
      <w:r w:rsidR="00440D6E" w:rsidRPr="00355E6F">
        <w:rPr>
          <w:rFonts w:eastAsia="Times New Roman" w:cs="Times New Roman"/>
          <w:sz w:val="23"/>
          <w:szCs w:val="23"/>
        </w:rPr>
        <w:t>,</w:t>
      </w:r>
      <w:r w:rsidRPr="00355E6F">
        <w:rPr>
          <w:rFonts w:eastAsia="Times New Roman" w:cs="Times New Roman"/>
          <w:sz w:val="23"/>
          <w:szCs w:val="23"/>
        </w:rPr>
        <w:t xml:space="preserve"> na 2.832 izdan</w:t>
      </w:r>
      <w:r w:rsidR="00355E6F" w:rsidRPr="00355E6F">
        <w:rPr>
          <w:rFonts w:eastAsia="Times New Roman" w:cs="Times New Roman"/>
          <w:sz w:val="23"/>
          <w:szCs w:val="23"/>
        </w:rPr>
        <w:t>e</w:t>
      </w:r>
      <w:r w:rsidRPr="00355E6F">
        <w:rPr>
          <w:rFonts w:eastAsia="Times New Roman" w:cs="Times New Roman"/>
          <w:sz w:val="23"/>
          <w:szCs w:val="23"/>
        </w:rPr>
        <w:t xml:space="preserve"> obavijesti zaprimila 6,6% prigovora, te da su riješila 86% zaprimljenih prigovora</w:t>
      </w:r>
      <w:r w:rsidR="00360C77" w:rsidRPr="00355E6F">
        <w:rPr>
          <w:rFonts w:eastAsia="Times New Roman" w:cs="Times New Roman"/>
          <w:sz w:val="23"/>
          <w:szCs w:val="23"/>
        </w:rPr>
        <w:t>.</w:t>
      </w:r>
    </w:p>
    <w:p w14:paraId="5D5FFEED" w14:textId="7D6D92A7" w:rsidR="00360C77" w:rsidRPr="00F819BB" w:rsidRDefault="00F819BB" w:rsidP="00F819BB">
      <w:pPr>
        <w:keepNext/>
        <w:widowControl w:val="0"/>
        <w:spacing w:before="240"/>
        <w:rPr>
          <w:rFonts w:cs="Arial"/>
          <w:sz w:val="18"/>
          <w:szCs w:val="18"/>
        </w:rPr>
      </w:pPr>
      <w:r w:rsidRPr="00A11394">
        <w:rPr>
          <w:rFonts w:cs="Arial"/>
          <w:sz w:val="18"/>
          <w:szCs w:val="18"/>
        </w:rPr>
        <w:t xml:space="preserve">Slika 3.2. </w:t>
      </w:r>
      <w:r w:rsidR="00A21600" w:rsidRPr="00A11394">
        <w:rPr>
          <w:rFonts w:cs="Arial"/>
          <w:sz w:val="18"/>
          <w:szCs w:val="18"/>
        </w:rPr>
        <w:t>Udio izdanih obavijesti po razlozima</w:t>
      </w:r>
    </w:p>
    <w:p w14:paraId="2C996C40" w14:textId="1C3BA369" w:rsidR="00360C77" w:rsidRDefault="00360C77" w:rsidP="00360C77">
      <w:pPr>
        <w:rPr>
          <w:rFonts w:eastAsia="Times New Roman" w:cs="Times New Roman"/>
          <w:color w:val="FF0000"/>
          <w:sz w:val="23"/>
          <w:szCs w:val="23"/>
        </w:rPr>
      </w:pPr>
      <w:r w:rsidRPr="009E4D2F">
        <w:rPr>
          <w:rFonts w:asciiTheme="minorHAnsi" w:eastAsiaTheme="minorHAnsi" w:hAnsiTheme="minorHAnsi" w:cstheme="minorBidi"/>
          <w:noProof/>
          <w:color w:val="FF0000"/>
          <w:lang w:eastAsia="en-US"/>
        </w:rPr>
        <w:drawing>
          <wp:inline distT="0" distB="0" distL="0" distR="0" wp14:anchorId="36F8B635" wp14:editId="061A0C3B">
            <wp:extent cx="5760720" cy="2441276"/>
            <wp:effectExtent l="0" t="0" r="17780" b="10160"/>
            <wp:docPr id="902034271" name="Grafikon 1">
              <a:extLst xmlns:a="http://schemas.openxmlformats.org/drawingml/2006/main">
                <a:ext uri="{FF2B5EF4-FFF2-40B4-BE49-F238E27FC236}">
                  <a16:creationId xmlns:a16="http://schemas.microsoft.com/office/drawing/2014/main" id="{0CE622F9-4FF3-58F6-4568-E71A62A10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02FD0E" w14:textId="77777777" w:rsidR="00FD3A68" w:rsidRPr="00F0315E" w:rsidRDefault="00FD3A68" w:rsidP="009032D7">
      <w:pPr>
        <w:pStyle w:val="Naslov3"/>
        <w:ind w:left="1985"/>
      </w:pPr>
      <w:bookmarkStart w:id="28" w:name="_Toc162445720"/>
      <w:bookmarkStart w:id="29" w:name="_Toc225865560"/>
      <w:r>
        <w:t>Zahtjevi za pristup informacijama</w:t>
      </w:r>
      <w:bookmarkEnd w:id="28"/>
      <w:bookmarkEnd w:id="29"/>
      <w:r>
        <w:t xml:space="preserve"> </w:t>
      </w:r>
    </w:p>
    <w:p w14:paraId="141E8A05" w14:textId="1F906C72" w:rsidR="00F819BB" w:rsidRDefault="00F819BB" w:rsidP="00D57687">
      <w:pPr>
        <w:rPr>
          <w:rFonts w:eastAsia="Times New Roman" w:cs="Times New Roman"/>
        </w:rPr>
      </w:pPr>
      <w:r w:rsidRPr="00F819BB">
        <w:rPr>
          <w:rFonts w:eastAsia="Times New Roman" w:cs="Times New Roman"/>
        </w:rPr>
        <w:t>Prema podacima iz dostavljenih izvješća, tijela su tijekom 2025. zaprimila 18.677 zahtjeva za pristup informacijama, što je 10% (1.762) zahtjeva više u odnosu na godinu ranije. Ujedno, tijela su iz ranijeg razdoblja u 2025. u rad prenijela 316 zahtjeva i ustupila 1.018 zahtjeva, što znači da je tijekom godine u radu bilo ukupno 18.993 zahtjeva za pristup informacijama.</w:t>
      </w:r>
    </w:p>
    <w:p w14:paraId="64772384" w14:textId="25711B34" w:rsidR="00F819BB" w:rsidRDefault="00F819BB" w:rsidP="00F819BB">
      <w:pPr>
        <w:keepNext/>
        <w:widowControl w:val="0"/>
        <w:spacing w:before="240"/>
        <w:rPr>
          <w:rFonts w:cs="Arial"/>
          <w:sz w:val="18"/>
          <w:szCs w:val="18"/>
        </w:rPr>
      </w:pPr>
      <w:r w:rsidRPr="005A7B9E">
        <w:rPr>
          <w:rFonts w:cs="Arial"/>
          <w:sz w:val="18"/>
          <w:szCs w:val="18"/>
        </w:rPr>
        <w:t>Tablica 3.</w:t>
      </w:r>
      <w:r w:rsidR="005A7B9E" w:rsidRPr="005A7B9E">
        <w:rPr>
          <w:rFonts w:cs="Arial"/>
          <w:sz w:val="18"/>
          <w:szCs w:val="18"/>
        </w:rPr>
        <w:t>5</w:t>
      </w:r>
      <w:r w:rsidRPr="005A7B9E">
        <w:rPr>
          <w:rFonts w:cs="Arial"/>
          <w:sz w:val="18"/>
          <w:szCs w:val="18"/>
        </w:rPr>
        <w:t>. Rješavanje zahtjeva</w:t>
      </w:r>
      <w:r w:rsidR="00DF130E" w:rsidRPr="005A7B9E">
        <w:rPr>
          <w:rFonts w:cs="Arial"/>
          <w:sz w:val="18"/>
          <w:szCs w:val="18"/>
        </w:rPr>
        <w:t xml:space="preserve"> za pristup informacijama</w:t>
      </w:r>
      <w:r w:rsidRPr="005A7B9E">
        <w:rPr>
          <w:rFonts w:cs="Arial"/>
          <w:sz w:val="18"/>
          <w:szCs w:val="18"/>
        </w:rPr>
        <w:t xml:space="preserve"> u 2025. godini</w:t>
      </w:r>
      <w:r w:rsidR="00E96E0C" w:rsidRPr="005A7B9E">
        <w:rPr>
          <w:rFonts w:cs="Arial"/>
          <w:sz w:val="18"/>
          <w:szCs w:val="18"/>
        </w:rPr>
        <w:t xml:space="preserve"> </w:t>
      </w:r>
    </w:p>
    <w:tbl>
      <w:tblPr>
        <w:tblStyle w:val="Tablicareetke2-isticanje1"/>
        <w:tblW w:w="5000" w:type="pct"/>
        <w:tblLook w:val="0480" w:firstRow="0" w:lastRow="0" w:firstColumn="1" w:lastColumn="0" w:noHBand="0" w:noVBand="1"/>
      </w:tblPr>
      <w:tblGrid>
        <w:gridCol w:w="4717"/>
        <w:gridCol w:w="2178"/>
        <w:gridCol w:w="2177"/>
      </w:tblGrid>
      <w:tr w:rsidR="00145D44" w:rsidRPr="00BE5A52" w14:paraId="29E5D504" w14:textId="77777777" w:rsidTr="007755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tcPr>
          <w:p w14:paraId="5AE14E84" w14:textId="7CD0F603" w:rsidR="00F819BB" w:rsidRPr="00E96E0C" w:rsidRDefault="00E96E0C" w:rsidP="003E42F7">
            <w:pPr>
              <w:spacing w:before="20" w:after="20" w:line="240" w:lineRule="auto"/>
              <w:rPr>
                <w:rFonts w:eastAsia="Times New Roman" w:cs="Times New Roman"/>
                <w:sz w:val="18"/>
                <w:szCs w:val="18"/>
              </w:rPr>
            </w:pPr>
            <w:r w:rsidRPr="00E96E0C">
              <w:rPr>
                <w:rFonts w:eastAsia="Times New Roman" w:cs="Times New Roman"/>
                <w:sz w:val="18"/>
                <w:szCs w:val="18"/>
              </w:rPr>
              <w:t>Zahtjevi za pristup informacijama</w:t>
            </w:r>
          </w:p>
        </w:tc>
        <w:tc>
          <w:tcPr>
            <w:tcW w:w="2178" w:type="dxa"/>
            <w:vAlign w:val="center"/>
          </w:tcPr>
          <w:p w14:paraId="108DFB64" w14:textId="510CD930" w:rsidR="00F819BB" w:rsidRPr="007755D2" w:rsidRDefault="00E96E0C" w:rsidP="003E42F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sz w:val="18"/>
                <w:szCs w:val="18"/>
              </w:rPr>
            </w:pPr>
            <w:r w:rsidRPr="007755D2">
              <w:rPr>
                <w:rFonts w:eastAsia="Times New Roman" w:cs="Times New Roman"/>
                <w:b/>
                <w:i/>
                <w:sz w:val="18"/>
                <w:szCs w:val="18"/>
              </w:rPr>
              <w:t>n</w:t>
            </w:r>
          </w:p>
        </w:tc>
        <w:tc>
          <w:tcPr>
            <w:tcW w:w="2177" w:type="dxa"/>
            <w:vAlign w:val="center"/>
          </w:tcPr>
          <w:p w14:paraId="31F1F236" w14:textId="5BD44A3B" w:rsidR="00F819BB" w:rsidRPr="007755D2" w:rsidRDefault="00E96E0C" w:rsidP="003E42F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sz w:val="18"/>
                <w:szCs w:val="18"/>
              </w:rPr>
            </w:pPr>
            <w:r w:rsidRPr="007755D2">
              <w:rPr>
                <w:rFonts w:eastAsia="Times New Roman" w:cs="Times New Roman"/>
                <w:b/>
                <w:i/>
                <w:sz w:val="18"/>
                <w:szCs w:val="18"/>
              </w:rPr>
              <w:t>%</w:t>
            </w:r>
          </w:p>
        </w:tc>
      </w:tr>
      <w:tr w:rsidR="00E96E0C" w:rsidRPr="00BE5A52" w14:paraId="7CE9FB85" w14:textId="77777777" w:rsidTr="007755D2">
        <w:trPr>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14:paraId="7129B44C" w14:textId="77777777" w:rsidR="00E96E0C" w:rsidRPr="00E96E0C" w:rsidRDefault="00E96E0C" w:rsidP="003E42F7">
            <w:pPr>
              <w:spacing w:before="20" w:after="20" w:line="240" w:lineRule="auto"/>
              <w:rPr>
                <w:rFonts w:eastAsia="Times New Roman" w:cs="Times New Roman"/>
                <w:b w:val="0"/>
                <w:bCs w:val="0"/>
                <w:sz w:val="18"/>
                <w:szCs w:val="18"/>
              </w:rPr>
            </w:pPr>
            <w:r w:rsidRPr="00E96E0C">
              <w:rPr>
                <w:rFonts w:eastAsia="Times New Roman" w:cs="Times New Roman"/>
                <w:b w:val="0"/>
                <w:bCs w:val="0"/>
                <w:sz w:val="18"/>
                <w:szCs w:val="18"/>
              </w:rPr>
              <w:t xml:space="preserve">Broj prenesenih zahtjeva iz </w:t>
            </w:r>
            <w:r w:rsidRPr="00E96E0C">
              <w:rPr>
                <w:rFonts w:cs="Times New Roman"/>
                <w:b w:val="0"/>
                <w:bCs w:val="0"/>
                <w:sz w:val="18"/>
                <w:szCs w:val="18"/>
              </w:rPr>
              <w:t>2024.</w:t>
            </w:r>
          </w:p>
        </w:tc>
        <w:tc>
          <w:tcPr>
            <w:tcW w:w="2178" w:type="dxa"/>
            <w:vAlign w:val="center"/>
            <w:hideMark/>
          </w:tcPr>
          <w:p w14:paraId="0E36F2CF" w14:textId="77777777" w:rsidR="00E96E0C" w:rsidRPr="00E96E0C" w:rsidRDefault="00E96E0C" w:rsidP="003E42F7">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E96E0C">
              <w:rPr>
                <w:rFonts w:eastAsia="Times New Roman" w:cs="Times New Roman"/>
                <w:sz w:val="18"/>
                <w:szCs w:val="18"/>
              </w:rPr>
              <w:t>316</w:t>
            </w:r>
          </w:p>
        </w:tc>
        <w:tc>
          <w:tcPr>
            <w:tcW w:w="2177" w:type="dxa"/>
            <w:vAlign w:val="center"/>
          </w:tcPr>
          <w:p w14:paraId="67F6AA23" w14:textId="7A2C3D41" w:rsidR="00E96E0C" w:rsidRPr="00E96E0C" w:rsidRDefault="00E96E0C" w:rsidP="003E42F7">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E96E0C" w:rsidRPr="00BE5A52" w14:paraId="6FB70954" w14:textId="77777777" w:rsidTr="007755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14:paraId="3763125B" w14:textId="77777777" w:rsidR="00E96E0C" w:rsidRPr="00E96E0C" w:rsidRDefault="00E96E0C" w:rsidP="003E42F7">
            <w:pPr>
              <w:spacing w:before="20" w:after="20" w:line="240" w:lineRule="auto"/>
              <w:rPr>
                <w:rFonts w:eastAsia="Times New Roman" w:cs="Times New Roman"/>
                <w:b w:val="0"/>
                <w:bCs w:val="0"/>
                <w:sz w:val="18"/>
                <w:szCs w:val="18"/>
              </w:rPr>
            </w:pPr>
            <w:r w:rsidRPr="00E96E0C">
              <w:rPr>
                <w:rFonts w:eastAsia="Times New Roman" w:cs="Times New Roman"/>
                <w:b w:val="0"/>
                <w:bCs w:val="0"/>
                <w:sz w:val="18"/>
                <w:szCs w:val="18"/>
              </w:rPr>
              <w:t xml:space="preserve">Broj zaprimljenih zahtjeva </w:t>
            </w:r>
          </w:p>
        </w:tc>
        <w:tc>
          <w:tcPr>
            <w:tcW w:w="2178" w:type="dxa"/>
            <w:vAlign w:val="center"/>
            <w:hideMark/>
          </w:tcPr>
          <w:p w14:paraId="043BB24C" w14:textId="77777777" w:rsidR="00E96E0C" w:rsidRPr="00E96E0C" w:rsidRDefault="00E96E0C" w:rsidP="003E42F7">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E96E0C">
              <w:rPr>
                <w:rFonts w:eastAsia="Times New Roman" w:cs="Times New Roman"/>
                <w:sz w:val="18"/>
                <w:szCs w:val="18"/>
              </w:rPr>
              <w:t>18.677</w:t>
            </w:r>
          </w:p>
        </w:tc>
        <w:tc>
          <w:tcPr>
            <w:tcW w:w="2177" w:type="dxa"/>
            <w:vAlign w:val="center"/>
          </w:tcPr>
          <w:p w14:paraId="6EC3FC68" w14:textId="0F211BFF" w:rsidR="00E96E0C" w:rsidRPr="00E96E0C" w:rsidRDefault="00E96E0C" w:rsidP="003E42F7">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E96E0C" w:rsidRPr="00BE5A52" w14:paraId="097E6678" w14:textId="77777777" w:rsidTr="007755D2">
        <w:trPr>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14:paraId="5BEDDCEA" w14:textId="77777777" w:rsidR="00E96E0C" w:rsidRPr="00E96E0C" w:rsidRDefault="00E96E0C" w:rsidP="003E42F7">
            <w:pPr>
              <w:spacing w:before="20" w:after="20" w:line="240" w:lineRule="auto"/>
              <w:rPr>
                <w:rFonts w:eastAsia="Times New Roman" w:cs="Times New Roman"/>
                <w:b w:val="0"/>
                <w:bCs w:val="0"/>
                <w:sz w:val="18"/>
                <w:szCs w:val="18"/>
              </w:rPr>
            </w:pPr>
            <w:r w:rsidRPr="00E96E0C">
              <w:rPr>
                <w:rFonts w:eastAsia="Times New Roman" w:cs="Times New Roman"/>
                <w:b w:val="0"/>
                <w:bCs w:val="0"/>
                <w:sz w:val="18"/>
                <w:szCs w:val="18"/>
              </w:rPr>
              <w:lastRenderedPageBreak/>
              <w:t>Ukupan broj zahtjeva na rješavanju</w:t>
            </w:r>
          </w:p>
        </w:tc>
        <w:tc>
          <w:tcPr>
            <w:tcW w:w="2178" w:type="dxa"/>
            <w:vAlign w:val="center"/>
            <w:hideMark/>
          </w:tcPr>
          <w:p w14:paraId="13FB8029" w14:textId="77777777" w:rsidR="00E96E0C" w:rsidRPr="00E96E0C" w:rsidRDefault="00E96E0C" w:rsidP="003E42F7">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E96E0C">
              <w:rPr>
                <w:rFonts w:eastAsia="Times New Roman" w:cs="Times New Roman"/>
                <w:sz w:val="18"/>
                <w:szCs w:val="18"/>
              </w:rPr>
              <w:t>18.993</w:t>
            </w:r>
          </w:p>
        </w:tc>
        <w:tc>
          <w:tcPr>
            <w:tcW w:w="2177" w:type="dxa"/>
            <w:vAlign w:val="center"/>
          </w:tcPr>
          <w:p w14:paraId="4F40F185" w14:textId="60436160" w:rsidR="00E96E0C" w:rsidRPr="00E96E0C" w:rsidRDefault="00E96E0C" w:rsidP="003E42F7">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F819BB" w:rsidRPr="00BE5A52" w14:paraId="28DD4298" w14:textId="77777777" w:rsidTr="007755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14:paraId="512DB354" w14:textId="77777777" w:rsidR="00F819BB" w:rsidRPr="00E96E0C" w:rsidRDefault="00F819BB" w:rsidP="003E42F7">
            <w:pPr>
              <w:spacing w:before="20" w:after="20" w:line="240" w:lineRule="auto"/>
              <w:rPr>
                <w:rFonts w:eastAsia="Times New Roman" w:cs="Times New Roman"/>
                <w:b w:val="0"/>
                <w:bCs w:val="0"/>
                <w:sz w:val="18"/>
                <w:szCs w:val="18"/>
              </w:rPr>
            </w:pPr>
            <w:r w:rsidRPr="00E96E0C">
              <w:rPr>
                <w:rFonts w:cs="Times New Roman"/>
                <w:b w:val="0"/>
                <w:bCs w:val="0"/>
                <w:sz w:val="18"/>
                <w:szCs w:val="18"/>
              </w:rPr>
              <w:t>Ustupljeno</w:t>
            </w:r>
          </w:p>
        </w:tc>
        <w:tc>
          <w:tcPr>
            <w:tcW w:w="2178" w:type="dxa"/>
            <w:vAlign w:val="center"/>
            <w:hideMark/>
          </w:tcPr>
          <w:p w14:paraId="61457E06" w14:textId="20C667FB" w:rsidR="00F819BB" w:rsidRPr="00E96E0C" w:rsidRDefault="00F819BB" w:rsidP="003E42F7">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E96E0C">
              <w:rPr>
                <w:rFonts w:cs="Times New Roman"/>
                <w:sz w:val="18"/>
                <w:szCs w:val="18"/>
              </w:rPr>
              <w:t>1.018</w:t>
            </w:r>
          </w:p>
        </w:tc>
        <w:tc>
          <w:tcPr>
            <w:tcW w:w="2177" w:type="dxa"/>
            <w:vAlign w:val="center"/>
          </w:tcPr>
          <w:p w14:paraId="42008438" w14:textId="77777777" w:rsidR="00F819BB" w:rsidRPr="00E96E0C" w:rsidRDefault="00F819BB" w:rsidP="003E42F7">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E96E0C">
              <w:rPr>
                <w:rFonts w:eastAsia="Times New Roman" w:cs="Times New Roman"/>
                <w:sz w:val="18"/>
                <w:szCs w:val="18"/>
              </w:rPr>
              <w:t>5%</w:t>
            </w:r>
          </w:p>
        </w:tc>
      </w:tr>
      <w:tr w:rsidR="00F819BB" w:rsidRPr="00BE5A52" w14:paraId="6D136DF4" w14:textId="77777777" w:rsidTr="007755D2">
        <w:trPr>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tcPr>
          <w:p w14:paraId="4B508A6C" w14:textId="77777777" w:rsidR="00F819BB" w:rsidRPr="00E96E0C" w:rsidRDefault="00F819BB" w:rsidP="003E42F7">
            <w:pPr>
              <w:spacing w:before="20" w:after="20" w:line="240" w:lineRule="auto"/>
              <w:rPr>
                <w:rFonts w:cs="Times New Roman"/>
                <w:b w:val="0"/>
                <w:bCs w:val="0"/>
                <w:sz w:val="18"/>
                <w:szCs w:val="18"/>
              </w:rPr>
            </w:pPr>
            <w:r w:rsidRPr="00E96E0C">
              <w:rPr>
                <w:rFonts w:cs="Times New Roman"/>
                <w:b w:val="0"/>
                <w:bCs w:val="0"/>
                <w:sz w:val="18"/>
                <w:szCs w:val="18"/>
              </w:rPr>
              <w:t>Riješeno</w:t>
            </w:r>
          </w:p>
        </w:tc>
        <w:tc>
          <w:tcPr>
            <w:tcW w:w="2178" w:type="dxa"/>
            <w:vAlign w:val="center"/>
          </w:tcPr>
          <w:p w14:paraId="6BDB3CD4" w14:textId="77777777" w:rsidR="00F819BB" w:rsidRPr="00E96E0C" w:rsidRDefault="00F819BB" w:rsidP="003E42F7">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E96E0C">
              <w:rPr>
                <w:rFonts w:cs="Times New Roman"/>
                <w:sz w:val="18"/>
                <w:szCs w:val="18"/>
              </w:rPr>
              <w:t>17.638</w:t>
            </w:r>
          </w:p>
        </w:tc>
        <w:tc>
          <w:tcPr>
            <w:tcW w:w="2177" w:type="dxa"/>
            <w:vAlign w:val="center"/>
          </w:tcPr>
          <w:p w14:paraId="54B98AEC" w14:textId="77777777" w:rsidR="00F819BB" w:rsidRPr="00E96E0C" w:rsidRDefault="00F819BB" w:rsidP="003E42F7">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E96E0C">
              <w:rPr>
                <w:rFonts w:eastAsia="Times New Roman" w:cs="Times New Roman"/>
                <w:sz w:val="18"/>
                <w:szCs w:val="18"/>
              </w:rPr>
              <w:t>93%</w:t>
            </w:r>
          </w:p>
        </w:tc>
      </w:tr>
      <w:tr w:rsidR="00F819BB" w:rsidRPr="00BE5A52" w14:paraId="217C3CDC" w14:textId="77777777" w:rsidTr="007755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tcPr>
          <w:p w14:paraId="1D6E0AE6" w14:textId="77777777" w:rsidR="00F819BB" w:rsidRPr="00E96E0C" w:rsidRDefault="00F819BB" w:rsidP="003E42F7">
            <w:pPr>
              <w:spacing w:before="20" w:after="20" w:line="240" w:lineRule="auto"/>
              <w:jc w:val="right"/>
              <w:rPr>
                <w:rFonts w:eastAsia="Times New Roman" w:cs="Times New Roman"/>
                <w:sz w:val="18"/>
                <w:szCs w:val="18"/>
              </w:rPr>
            </w:pPr>
            <w:r w:rsidRPr="00E96E0C">
              <w:rPr>
                <w:rFonts w:cs="Times New Roman"/>
                <w:sz w:val="18"/>
                <w:szCs w:val="18"/>
              </w:rPr>
              <w:t>Riješeno u roku</w:t>
            </w:r>
          </w:p>
        </w:tc>
        <w:tc>
          <w:tcPr>
            <w:tcW w:w="2178" w:type="dxa"/>
            <w:vAlign w:val="center"/>
          </w:tcPr>
          <w:p w14:paraId="21A4EAB4" w14:textId="77777777" w:rsidR="00F819BB" w:rsidRPr="00A11394" w:rsidRDefault="00F819BB" w:rsidP="003E42F7">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A11394">
              <w:rPr>
                <w:rFonts w:cs="Times New Roman"/>
                <w:b/>
                <w:bCs/>
                <w:sz w:val="18"/>
                <w:szCs w:val="18"/>
              </w:rPr>
              <w:t>15.285</w:t>
            </w:r>
          </w:p>
        </w:tc>
        <w:tc>
          <w:tcPr>
            <w:tcW w:w="2177" w:type="dxa"/>
            <w:vAlign w:val="center"/>
          </w:tcPr>
          <w:p w14:paraId="4ECCCA5D" w14:textId="77777777" w:rsidR="00F819BB" w:rsidRPr="00E96E0C" w:rsidRDefault="00F819BB" w:rsidP="003E42F7">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rPr>
            </w:pPr>
            <w:r w:rsidRPr="00E96E0C">
              <w:rPr>
                <w:rFonts w:eastAsia="Times New Roman" w:cs="Times New Roman"/>
                <w:b/>
                <w:bCs/>
                <w:sz w:val="18"/>
                <w:szCs w:val="18"/>
              </w:rPr>
              <w:t>87%</w:t>
            </w:r>
          </w:p>
        </w:tc>
      </w:tr>
      <w:tr w:rsidR="00F819BB" w:rsidRPr="00BE5A52" w14:paraId="24C2CB32" w14:textId="77777777" w:rsidTr="007755D2">
        <w:trPr>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tcPr>
          <w:p w14:paraId="36378D0E" w14:textId="77777777" w:rsidR="00F819BB" w:rsidRPr="00E96E0C" w:rsidRDefault="00F819BB" w:rsidP="003E42F7">
            <w:pPr>
              <w:spacing w:before="20" w:after="20" w:line="240" w:lineRule="auto"/>
              <w:jc w:val="right"/>
              <w:rPr>
                <w:rFonts w:eastAsia="Times New Roman" w:cs="Times New Roman"/>
                <w:b w:val="0"/>
                <w:bCs w:val="0"/>
                <w:sz w:val="18"/>
                <w:szCs w:val="18"/>
              </w:rPr>
            </w:pPr>
            <w:r w:rsidRPr="00E96E0C">
              <w:rPr>
                <w:rFonts w:cs="Times New Roman"/>
                <w:b w:val="0"/>
                <w:bCs w:val="0"/>
                <w:sz w:val="18"/>
                <w:szCs w:val="18"/>
              </w:rPr>
              <w:t>Riješeno izvan roka</w:t>
            </w:r>
          </w:p>
        </w:tc>
        <w:tc>
          <w:tcPr>
            <w:tcW w:w="2178" w:type="dxa"/>
            <w:vAlign w:val="center"/>
          </w:tcPr>
          <w:p w14:paraId="0C2B105B" w14:textId="77777777" w:rsidR="00F819BB" w:rsidRPr="00E96E0C" w:rsidRDefault="00F819BB" w:rsidP="003E42F7">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E96E0C">
              <w:rPr>
                <w:rFonts w:eastAsia="Times New Roman" w:cs="Times New Roman"/>
                <w:sz w:val="18"/>
                <w:szCs w:val="18"/>
              </w:rPr>
              <w:t>2.353</w:t>
            </w:r>
          </w:p>
        </w:tc>
        <w:tc>
          <w:tcPr>
            <w:tcW w:w="2177" w:type="dxa"/>
            <w:vAlign w:val="center"/>
          </w:tcPr>
          <w:p w14:paraId="6B1F245C" w14:textId="77777777" w:rsidR="00F819BB" w:rsidRPr="00E96E0C" w:rsidRDefault="00F819BB" w:rsidP="003E42F7">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E96E0C">
              <w:rPr>
                <w:rFonts w:eastAsia="Times New Roman" w:cs="Times New Roman"/>
                <w:sz w:val="18"/>
                <w:szCs w:val="18"/>
              </w:rPr>
              <w:t>13%</w:t>
            </w:r>
          </w:p>
        </w:tc>
      </w:tr>
      <w:tr w:rsidR="00F819BB" w:rsidRPr="00BE5A52" w14:paraId="3353F9C1" w14:textId="77777777" w:rsidTr="007755D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tcPr>
          <w:p w14:paraId="5FF9F4AF" w14:textId="77777777" w:rsidR="00F819BB" w:rsidRPr="00E96E0C" w:rsidRDefault="00F819BB" w:rsidP="003E42F7">
            <w:pPr>
              <w:spacing w:before="20" w:after="20" w:line="240" w:lineRule="auto"/>
              <w:rPr>
                <w:rFonts w:eastAsia="Times New Roman" w:cs="Times New Roman"/>
                <w:b w:val="0"/>
                <w:bCs w:val="0"/>
                <w:sz w:val="18"/>
                <w:szCs w:val="18"/>
              </w:rPr>
            </w:pPr>
            <w:r w:rsidRPr="00E96E0C">
              <w:rPr>
                <w:rFonts w:cs="Times New Roman"/>
                <w:b w:val="0"/>
                <w:bCs w:val="0"/>
                <w:sz w:val="18"/>
                <w:szCs w:val="18"/>
              </w:rPr>
              <w:t>Neriješeno</w:t>
            </w:r>
          </w:p>
        </w:tc>
        <w:tc>
          <w:tcPr>
            <w:tcW w:w="2178" w:type="dxa"/>
            <w:vAlign w:val="center"/>
          </w:tcPr>
          <w:p w14:paraId="132CCE45" w14:textId="77777777" w:rsidR="00F819BB" w:rsidRPr="00E96E0C" w:rsidRDefault="00F819BB" w:rsidP="003E42F7">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E96E0C">
              <w:rPr>
                <w:rFonts w:cs="Times New Roman"/>
                <w:sz w:val="18"/>
                <w:szCs w:val="18"/>
              </w:rPr>
              <w:t>337</w:t>
            </w:r>
          </w:p>
        </w:tc>
        <w:tc>
          <w:tcPr>
            <w:tcW w:w="2177" w:type="dxa"/>
            <w:vAlign w:val="center"/>
          </w:tcPr>
          <w:p w14:paraId="38F1E7BC" w14:textId="77777777" w:rsidR="00F819BB" w:rsidRPr="00E96E0C" w:rsidRDefault="00F819BB" w:rsidP="003E42F7">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E96E0C">
              <w:rPr>
                <w:rFonts w:eastAsia="Times New Roman" w:cs="Times New Roman"/>
                <w:sz w:val="18"/>
                <w:szCs w:val="18"/>
              </w:rPr>
              <w:t>2%</w:t>
            </w:r>
          </w:p>
        </w:tc>
      </w:tr>
    </w:tbl>
    <w:p w14:paraId="088D9965" w14:textId="77777777" w:rsidR="001C4409" w:rsidRPr="001C4409" w:rsidRDefault="001C4409" w:rsidP="003E42F7">
      <w:pPr>
        <w:spacing w:before="240"/>
        <w:rPr>
          <w:rFonts w:eastAsia="Times New Roman" w:cs="Times New Roman"/>
        </w:rPr>
      </w:pPr>
      <w:r w:rsidRPr="001C4409">
        <w:rPr>
          <w:rFonts w:eastAsia="Times New Roman" w:cs="Times New Roman"/>
        </w:rPr>
        <w:t xml:space="preserve">Tijela su izvijestila kako su riješila 17.638 zahtjeva, od čega 15.285 (87%) u zakonskom roku, što predstavlja neznatno povećanje u odnosu na godinu ranije (86,5% zahtjeva riješeno u roku), a 2.353 (13%) izvan propisanog roka (15+15 dana), dok 337 (2%) zahtjeva nije riješeno odnosno preneseno je u sljedeću godinu. </w:t>
      </w:r>
    </w:p>
    <w:p w14:paraId="56940B98" w14:textId="44FEE4E9" w:rsidR="001C4409" w:rsidRPr="001C4409" w:rsidRDefault="001C4409" w:rsidP="7D2256E2">
      <w:pPr>
        <w:rPr>
          <w:rFonts w:eastAsia="Times New Roman" w:cs="Times New Roman"/>
        </w:rPr>
      </w:pPr>
      <w:r w:rsidRPr="7D2256E2">
        <w:rPr>
          <w:rFonts w:eastAsia="Times New Roman" w:cs="Times New Roman"/>
        </w:rPr>
        <w:t>Iz podataka proizlazi kako je 11.927 zahtjeva usvojeno (68% od ukupnog broja riješenih zahtjeva) i još 428 (2%) zahtjeva djelomično usvojeno (u jednom dijelu usvojeno, a u drugom odbijeno ili odbačeno). U cijelosti je odbijeno 3.192 zahtjeva, 564 zahtjeva je (djelomično) odbačeno, a izdano je 2.</w:t>
      </w:r>
      <w:r w:rsidR="0318FCC4" w:rsidRPr="7D2256E2">
        <w:rPr>
          <w:rFonts w:eastAsia="Times New Roman" w:cs="Times New Roman"/>
        </w:rPr>
        <w:t>467</w:t>
      </w:r>
      <w:r w:rsidRPr="7D2256E2">
        <w:rPr>
          <w:rFonts w:eastAsia="Times New Roman" w:cs="Times New Roman"/>
        </w:rPr>
        <w:t xml:space="preserve"> obavijesti iz članka 23. stavka 2. Zakona</w:t>
      </w:r>
    </w:p>
    <w:p w14:paraId="659E36D5" w14:textId="3B3E0D61" w:rsidR="00145D44" w:rsidRPr="00145D44" w:rsidRDefault="00145D44" w:rsidP="00145D44">
      <w:pPr>
        <w:rPr>
          <w:rFonts w:eastAsia="Times New Roman" w:cs="Times New Roman"/>
        </w:rPr>
      </w:pPr>
      <w:r w:rsidRPr="003271CA">
        <w:rPr>
          <w:rFonts w:eastAsia="Times New Roman" w:cs="Times New Roman"/>
        </w:rPr>
        <w:t>Vezano za razloge odbijanja i djelomičnog odbijanja zahtjeva za pristup informacijama, najviše se slučajeva odnosilo na utvrđenu zlouporabu prava od strane korisnika, i to čak u 2.033 ili 58% slučajeva. Godinu ranije</w:t>
      </w:r>
      <w:r w:rsidRPr="00145D44">
        <w:rPr>
          <w:rFonts w:eastAsia="Times New Roman" w:cs="Times New Roman"/>
        </w:rPr>
        <w:t xml:space="preserve"> su zahtjevi bili odbijeni zbog zlouporabe u gotovo 69% slučajeva, dakle, došlo je do smanjivanja broja zahtjeva korisnika za koje su tijela utvrdila da se radi o zlouporabi prava na pristup informacijama. Razlog tome i ove godine leži u činjenici da je Općina Seget, koja je zaprimila najveći broj zahtjeva (u 2025. je imala 1.831 zahtjeva za pristup informacijama u postupku rješavanja), čak 1.825 (99,7%) zahtjeva odbila zbog zlouporabe prava. </w:t>
      </w:r>
    </w:p>
    <w:p w14:paraId="5CDF13DE" w14:textId="77777777" w:rsidR="004448DB" w:rsidRPr="004448DB" w:rsidRDefault="004448DB" w:rsidP="004448DB">
      <w:pPr>
        <w:rPr>
          <w:rFonts w:eastAsia="Times New Roman" w:cs="Times New Roman"/>
        </w:rPr>
      </w:pPr>
      <w:r w:rsidRPr="004448DB">
        <w:rPr>
          <w:rFonts w:eastAsia="Times New Roman" w:cs="Times New Roman"/>
        </w:rPr>
        <w:t xml:space="preserve">Od preostalih razloga, tijela su najčešće donosila rješenja o (djelomičnom) odbijanju zbog ocjene da se radi o informaciji klasificiranoj stupnjem tajnosti (14%), da se tražena informacija ne smatra informacijom (10%), da se radi o zaštićenim osobnim podacima (6%) te u ostalim slučajevima utvrđenim zakonom (2%). U manje od 2% zastupljeni su slučajevi koji su se, kao razlozi odbijanja i djelomičnog odbijanja zahtjeva za pristup informacijama, odnosili na prethodni i kazneni postupak, na poslovnu tajnu i jer se vodi sudski, upravni ili drugi postupak, dok su svi ostali razlozi odbijanja zastupljeni u otprilike 0,5% slučajeva. </w:t>
      </w:r>
    </w:p>
    <w:p w14:paraId="2BC48EAE" w14:textId="006CADED" w:rsidR="00F819BB" w:rsidRPr="00145D44" w:rsidRDefault="004448DB" w:rsidP="004448DB">
      <w:pPr>
        <w:rPr>
          <w:rFonts w:eastAsia="Times New Roman" w:cs="Times New Roman"/>
        </w:rPr>
      </w:pPr>
      <w:r w:rsidRPr="004448DB">
        <w:rPr>
          <w:rFonts w:eastAsia="Times New Roman" w:cs="Times New Roman"/>
        </w:rPr>
        <w:t>Vezano za klasificirane informacije, došlo je do povećanja broja slučajeva u kojima je to razlog za odbijanje zahtjeva za pristup informacijama, s 26 u 2024. na 493 u 2025. godini (17 tijela). Do povećanja je došlo jer je Ministarstvo financija u 2025. godini u 465 slučajeva kao razlog za odbijanje zahtjeva za pristup informacijama navelo da je riječ o klasificiranim podacima. Vezano uz pristup informacijama koje predstavljaju klasificirane informacije, o provedbi članka 16. stavka 1. ZPPI-ja, UVNS je izvijestio da je u 2025. zaprimio ukupno šest zahtjeva za davanjem prethodnog mišljenja u okviru provedbe testa razmjernosti i javnog interesa (godinu ranije ih je bilo pet), i to tri od Ministarstva unutarnjih poslova, dva od Ministarstva obrane i jedan od Ministarstva financija. UVNS je u 2025. u šest predmeta dao stručno mišljenje (u pet slučaj</w:t>
      </w:r>
      <w:r w:rsidR="00E341B3">
        <w:rPr>
          <w:rFonts w:eastAsia="Times New Roman" w:cs="Times New Roman"/>
        </w:rPr>
        <w:t>ev</w:t>
      </w:r>
      <w:r w:rsidRPr="004448DB">
        <w:rPr>
          <w:rFonts w:eastAsia="Times New Roman" w:cs="Times New Roman"/>
        </w:rPr>
        <w:t>a da se zadrži stupanj tajnosti, i to povjerljivo (2) i ograničeno (3) te u jednom slučaju da se informacije deklasificiraju).</w:t>
      </w:r>
    </w:p>
    <w:p w14:paraId="3D6E8A0E" w14:textId="0A2B87BC" w:rsidR="00145D44" w:rsidRPr="005A7B9E" w:rsidRDefault="00145D44" w:rsidP="00145D44">
      <w:pPr>
        <w:keepNext/>
        <w:widowControl w:val="0"/>
        <w:spacing w:before="240"/>
        <w:rPr>
          <w:rFonts w:cs="Arial"/>
          <w:sz w:val="18"/>
          <w:szCs w:val="18"/>
        </w:rPr>
      </w:pPr>
      <w:r w:rsidRPr="005A7B9E">
        <w:rPr>
          <w:rFonts w:cs="Arial"/>
          <w:sz w:val="18"/>
          <w:szCs w:val="18"/>
        </w:rPr>
        <w:lastRenderedPageBreak/>
        <w:t>Tablica 3.</w:t>
      </w:r>
      <w:r w:rsidR="005A7B9E" w:rsidRPr="005A7B9E">
        <w:rPr>
          <w:rFonts w:cs="Arial"/>
          <w:sz w:val="18"/>
          <w:szCs w:val="18"/>
        </w:rPr>
        <w:t>6</w:t>
      </w:r>
      <w:r w:rsidRPr="005A7B9E">
        <w:rPr>
          <w:rFonts w:cs="Arial"/>
          <w:sz w:val="18"/>
          <w:szCs w:val="18"/>
        </w:rPr>
        <w:t>. Zahtjevi za pristup informacijama prema razlozima odbijanja i djelomičnog odbijanja</w:t>
      </w:r>
    </w:p>
    <w:tbl>
      <w:tblPr>
        <w:tblW w:w="9180" w:type="dxa"/>
        <w:jc w:val="center"/>
        <w:tblBorders>
          <w:top w:val="single" w:sz="8" w:space="0" w:color="4F81BD"/>
          <w:bottom w:val="single" w:sz="8" w:space="0" w:color="4F81BD"/>
        </w:tblBorders>
        <w:tblLayout w:type="fixed"/>
        <w:tblLook w:val="04A0" w:firstRow="1" w:lastRow="0" w:firstColumn="1" w:lastColumn="0" w:noHBand="0" w:noVBand="1"/>
      </w:tblPr>
      <w:tblGrid>
        <w:gridCol w:w="5866"/>
        <w:gridCol w:w="1657"/>
        <w:gridCol w:w="1657"/>
      </w:tblGrid>
      <w:tr w:rsidR="00FD3A68" w:rsidRPr="00F0315E" w14:paraId="0B8BD3B3" w14:textId="77777777" w:rsidTr="007755D2">
        <w:trPr>
          <w:cantSplit/>
          <w:trHeight w:val="340"/>
          <w:jc w:val="center"/>
        </w:trPr>
        <w:tc>
          <w:tcPr>
            <w:tcW w:w="5866" w:type="dxa"/>
            <w:tcBorders>
              <w:top w:val="single" w:sz="8" w:space="0" w:color="4F81BD"/>
              <w:left w:val="nil"/>
              <w:bottom w:val="single" w:sz="8" w:space="0" w:color="4F81BD"/>
              <w:right w:val="nil"/>
            </w:tcBorders>
            <w:noWrap/>
            <w:vAlign w:val="center"/>
            <w:hideMark/>
          </w:tcPr>
          <w:p w14:paraId="328F45D3" w14:textId="77777777" w:rsidR="00FD3A68" w:rsidRPr="00362FDF" w:rsidRDefault="00FD3A68" w:rsidP="008C4DB4">
            <w:pPr>
              <w:spacing w:before="60" w:after="60"/>
              <w:jc w:val="center"/>
              <w:rPr>
                <w:rFonts w:eastAsia="Times New Roman" w:cs="Times New Roman"/>
                <w:b/>
                <w:bCs/>
                <w:color w:val="000000"/>
                <w:sz w:val="18"/>
                <w:szCs w:val="18"/>
              </w:rPr>
            </w:pPr>
            <w:r w:rsidRPr="00362FDF">
              <w:rPr>
                <w:rFonts w:eastAsia="Times New Roman" w:cs="Times New Roman"/>
                <w:b/>
                <w:color w:val="000000"/>
                <w:sz w:val="18"/>
                <w:szCs w:val="18"/>
              </w:rPr>
              <w:t>Razlog odbijanja zahtjeva za pristup informacijama</w:t>
            </w:r>
          </w:p>
        </w:tc>
        <w:tc>
          <w:tcPr>
            <w:tcW w:w="1657" w:type="dxa"/>
            <w:tcBorders>
              <w:top w:val="single" w:sz="8" w:space="0" w:color="4F81BD"/>
              <w:left w:val="nil"/>
              <w:bottom w:val="single" w:sz="8" w:space="0" w:color="4F81BD"/>
              <w:right w:val="nil"/>
            </w:tcBorders>
            <w:noWrap/>
            <w:vAlign w:val="center"/>
            <w:hideMark/>
          </w:tcPr>
          <w:p w14:paraId="3D766D78" w14:textId="77777777" w:rsidR="00FD3A68" w:rsidRPr="00362FDF" w:rsidRDefault="00FD3A68" w:rsidP="008C4DB4">
            <w:pPr>
              <w:spacing w:before="60" w:after="60"/>
              <w:jc w:val="center"/>
              <w:rPr>
                <w:rFonts w:eastAsia="Times New Roman" w:cs="Times New Roman"/>
                <w:b/>
                <w:bCs/>
                <w:color w:val="000000"/>
                <w:sz w:val="18"/>
                <w:szCs w:val="18"/>
              </w:rPr>
            </w:pPr>
            <w:r w:rsidRPr="00362FDF">
              <w:rPr>
                <w:rFonts w:eastAsia="Times New Roman" w:cs="Times New Roman"/>
                <w:b/>
                <w:color w:val="000000"/>
                <w:sz w:val="18"/>
                <w:szCs w:val="18"/>
              </w:rPr>
              <w:t>Broj</w:t>
            </w:r>
          </w:p>
        </w:tc>
        <w:tc>
          <w:tcPr>
            <w:tcW w:w="1657" w:type="dxa"/>
            <w:tcBorders>
              <w:top w:val="single" w:sz="8" w:space="0" w:color="4F81BD"/>
              <w:left w:val="nil"/>
              <w:bottom w:val="single" w:sz="8" w:space="0" w:color="4F81BD"/>
              <w:right w:val="nil"/>
            </w:tcBorders>
            <w:noWrap/>
            <w:vAlign w:val="center"/>
            <w:hideMark/>
          </w:tcPr>
          <w:p w14:paraId="035268D1" w14:textId="77777777" w:rsidR="00FD3A68" w:rsidRPr="00362FDF" w:rsidRDefault="00FD3A68" w:rsidP="008C4DB4">
            <w:pPr>
              <w:spacing w:before="60" w:after="60"/>
              <w:jc w:val="center"/>
              <w:rPr>
                <w:rFonts w:eastAsia="Times New Roman" w:cs="Times New Roman"/>
                <w:b/>
                <w:bCs/>
                <w:color w:val="000000"/>
                <w:sz w:val="18"/>
                <w:szCs w:val="18"/>
              </w:rPr>
            </w:pPr>
            <w:r w:rsidRPr="00362FDF">
              <w:rPr>
                <w:rFonts w:eastAsia="Times New Roman" w:cs="Times New Roman"/>
                <w:b/>
                <w:color w:val="000000"/>
                <w:sz w:val="18"/>
                <w:szCs w:val="18"/>
              </w:rPr>
              <w:t>%</w:t>
            </w:r>
          </w:p>
        </w:tc>
      </w:tr>
      <w:tr w:rsidR="00DF130E" w:rsidRPr="00F0315E" w14:paraId="32EAA6F7" w14:textId="77777777" w:rsidTr="007755D2">
        <w:trPr>
          <w:cantSplit/>
          <w:trHeight w:val="340"/>
          <w:jc w:val="center"/>
        </w:trPr>
        <w:tc>
          <w:tcPr>
            <w:tcW w:w="5866" w:type="dxa"/>
            <w:tcBorders>
              <w:top w:val="nil"/>
              <w:left w:val="nil"/>
              <w:bottom w:val="nil"/>
              <w:right w:val="nil"/>
            </w:tcBorders>
            <w:shd w:val="clear" w:color="auto" w:fill="D9E2F3" w:themeFill="accent1" w:themeFillTint="33"/>
            <w:vAlign w:val="center"/>
            <w:hideMark/>
          </w:tcPr>
          <w:p w14:paraId="0E452F3B"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prethodni i kazneni postupak</w:t>
            </w:r>
          </w:p>
        </w:tc>
        <w:tc>
          <w:tcPr>
            <w:tcW w:w="1657" w:type="dxa"/>
            <w:tcBorders>
              <w:top w:val="nil"/>
              <w:left w:val="nil"/>
              <w:bottom w:val="nil"/>
              <w:right w:val="nil"/>
            </w:tcBorders>
            <w:shd w:val="clear" w:color="auto" w:fill="D9E2F3" w:themeFill="accent1" w:themeFillTint="33"/>
            <w:noWrap/>
            <w:vAlign w:val="center"/>
            <w:hideMark/>
          </w:tcPr>
          <w:p w14:paraId="0F31B38F" w14:textId="6D6CB5FC" w:rsidR="00DF130E" w:rsidRPr="00362FDF" w:rsidRDefault="00DF130E" w:rsidP="00DF130E">
            <w:pPr>
              <w:snapToGrid w:val="0"/>
              <w:spacing w:before="20" w:afterLines="20" w:after="48"/>
              <w:jc w:val="center"/>
              <w:rPr>
                <w:rFonts w:eastAsia="Times New Roman" w:cs="Calibri"/>
                <w:sz w:val="18"/>
                <w:szCs w:val="18"/>
              </w:rPr>
            </w:pPr>
            <w:r w:rsidRPr="00145D44">
              <w:rPr>
                <w:sz w:val="18"/>
                <w:szCs w:val="18"/>
              </w:rPr>
              <w:t>65</w:t>
            </w:r>
          </w:p>
        </w:tc>
        <w:tc>
          <w:tcPr>
            <w:tcW w:w="1657" w:type="dxa"/>
            <w:tcBorders>
              <w:top w:val="nil"/>
              <w:left w:val="nil"/>
              <w:bottom w:val="nil"/>
              <w:right w:val="nil"/>
            </w:tcBorders>
            <w:shd w:val="clear" w:color="auto" w:fill="D9E2F3" w:themeFill="accent1" w:themeFillTint="33"/>
            <w:noWrap/>
            <w:vAlign w:val="center"/>
            <w:hideMark/>
          </w:tcPr>
          <w:p w14:paraId="00C223F9" w14:textId="1F87159B" w:rsidR="00DF130E" w:rsidRPr="00362FDF" w:rsidRDefault="00DF130E" w:rsidP="00DF130E">
            <w:pPr>
              <w:snapToGrid w:val="0"/>
              <w:spacing w:before="20" w:afterLines="20" w:after="48"/>
              <w:jc w:val="center"/>
              <w:rPr>
                <w:rFonts w:eastAsia="Times New Roman" w:cs="Calibri"/>
                <w:sz w:val="18"/>
                <w:szCs w:val="18"/>
                <w:highlight w:val="yellow"/>
              </w:rPr>
            </w:pPr>
            <w:r w:rsidRPr="00145D44">
              <w:rPr>
                <w:sz w:val="18"/>
                <w:szCs w:val="18"/>
              </w:rPr>
              <w:t>1,9</w:t>
            </w:r>
          </w:p>
        </w:tc>
      </w:tr>
      <w:tr w:rsidR="00DF130E" w:rsidRPr="00F0315E" w14:paraId="19555F47" w14:textId="77777777" w:rsidTr="007755D2">
        <w:trPr>
          <w:cantSplit/>
          <w:trHeight w:val="340"/>
          <w:jc w:val="center"/>
        </w:trPr>
        <w:tc>
          <w:tcPr>
            <w:tcW w:w="5866" w:type="dxa"/>
            <w:tcBorders>
              <w:top w:val="nil"/>
              <w:left w:val="nil"/>
              <w:bottom w:val="nil"/>
              <w:right w:val="nil"/>
            </w:tcBorders>
            <w:vAlign w:val="center"/>
            <w:hideMark/>
          </w:tcPr>
          <w:p w14:paraId="6F1426F6"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klasificirana informacija</w:t>
            </w:r>
          </w:p>
        </w:tc>
        <w:tc>
          <w:tcPr>
            <w:tcW w:w="1657" w:type="dxa"/>
            <w:tcBorders>
              <w:top w:val="nil"/>
              <w:left w:val="nil"/>
              <w:bottom w:val="nil"/>
              <w:right w:val="nil"/>
            </w:tcBorders>
            <w:noWrap/>
            <w:vAlign w:val="center"/>
            <w:hideMark/>
          </w:tcPr>
          <w:p w14:paraId="7327952A" w14:textId="3A42E59F" w:rsidR="00DF130E" w:rsidRPr="00A11394" w:rsidRDefault="00DF130E" w:rsidP="00DF130E">
            <w:pPr>
              <w:snapToGrid w:val="0"/>
              <w:spacing w:before="20" w:afterLines="20" w:after="48"/>
              <w:jc w:val="center"/>
              <w:rPr>
                <w:rFonts w:eastAsia="Times New Roman" w:cs="Calibri"/>
                <w:bCs/>
                <w:sz w:val="18"/>
                <w:szCs w:val="18"/>
              </w:rPr>
            </w:pPr>
            <w:r w:rsidRPr="00A11394">
              <w:rPr>
                <w:bCs/>
                <w:sz w:val="18"/>
                <w:szCs w:val="18"/>
              </w:rPr>
              <w:t>493</w:t>
            </w:r>
          </w:p>
        </w:tc>
        <w:tc>
          <w:tcPr>
            <w:tcW w:w="1657" w:type="dxa"/>
            <w:tcBorders>
              <w:top w:val="nil"/>
              <w:left w:val="nil"/>
              <w:bottom w:val="nil"/>
              <w:right w:val="nil"/>
            </w:tcBorders>
            <w:noWrap/>
            <w:vAlign w:val="center"/>
            <w:hideMark/>
          </w:tcPr>
          <w:p w14:paraId="50925861" w14:textId="73BCE944" w:rsidR="00DF130E" w:rsidRPr="00A11394" w:rsidRDefault="00DF130E" w:rsidP="00DF130E">
            <w:pPr>
              <w:snapToGrid w:val="0"/>
              <w:spacing w:before="20" w:afterLines="20" w:after="48"/>
              <w:jc w:val="center"/>
              <w:rPr>
                <w:rFonts w:eastAsia="Times New Roman" w:cs="Calibri"/>
                <w:bCs/>
                <w:sz w:val="18"/>
                <w:szCs w:val="18"/>
                <w:highlight w:val="yellow"/>
              </w:rPr>
            </w:pPr>
            <w:r w:rsidRPr="00A11394">
              <w:rPr>
                <w:bCs/>
                <w:sz w:val="18"/>
                <w:szCs w:val="18"/>
              </w:rPr>
              <w:t>14,2</w:t>
            </w:r>
          </w:p>
        </w:tc>
      </w:tr>
      <w:tr w:rsidR="00DF130E" w:rsidRPr="00F0315E" w14:paraId="665AB28F" w14:textId="77777777" w:rsidTr="007755D2">
        <w:trPr>
          <w:cantSplit/>
          <w:trHeight w:val="340"/>
          <w:jc w:val="center"/>
        </w:trPr>
        <w:tc>
          <w:tcPr>
            <w:tcW w:w="5866" w:type="dxa"/>
            <w:tcBorders>
              <w:top w:val="nil"/>
              <w:left w:val="nil"/>
              <w:bottom w:val="nil"/>
              <w:right w:val="nil"/>
            </w:tcBorders>
            <w:shd w:val="clear" w:color="auto" w:fill="D9E2F3" w:themeFill="accent1" w:themeFillTint="33"/>
            <w:vAlign w:val="center"/>
            <w:hideMark/>
          </w:tcPr>
          <w:p w14:paraId="7B34D8B1"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 xml:space="preserve">poslovna tajna </w:t>
            </w:r>
          </w:p>
        </w:tc>
        <w:tc>
          <w:tcPr>
            <w:tcW w:w="1657" w:type="dxa"/>
            <w:tcBorders>
              <w:top w:val="nil"/>
              <w:left w:val="nil"/>
              <w:bottom w:val="nil"/>
              <w:right w:val="nil"/>
            </w:tcBorders>
            <w:shd w:val="clear" w:color="auto" w:fill="D9E2F3" w:themeFill="accent1" w:themeFillTint="33"/>
            <w:noWrap/>
            <w:vAlign w:val="center"/>
            <w:hideMark/>
          </w:tcPr>
          <w:p w14:paraId="3569FD74" w14:textId="64FDD427" w:rsidR="00DF130E" w:rsidRPr="00A11394" w:rsidRDefault="00DF130E" w:rsidP="00DF130E">
            <w:pPr>
              <w:snapToGrid w:val="0"/>
              <w:spacing w:before="20" w:afterLines="20" w:after="48"/>
              <w:jc w:val="center"/>
              <w:rPr>
                <w:rFonts w:eastAsia="Times New Roman" w:cs="Calibri"/>
                <w:bCs/>
                <w:sz w:val="18"/>
                <w:szCs w:val="18"/>
              </w:rPr>
            </w:pPr>
            <w:r w:rsidRPr="00A11394">
              <w:rPr>
                <w:rFonts w:eastAsia="Times New Roman" w:cs="Calibri"/>
                <w:bCs/>
                <w:sz w:val="18"/>
                <w:szCs w:val="18"/>
              </w:rPr>
              <w:t>63</w:t>
            </w:r>
          </w:p>
        </w:tc>
        <w:tc>
          <w:tcPr>
            <w:tcW w:w="1657" w:type="dxa"/>
            <w:tcBorders>
              <w:top w:val="nil"/>
              <w:left w:val="nil"/>
              <w:bottom w:val="nil"/>
              <w:right w:val="nil"/>
            </w:tcBorders>
            <w:shd w:val="clear" w:color="auto" w:fill="D9E2F3" w:themeFill="accent1" w:themeFillTint="33"/>
            <w:noWrap/>
            <w:vAlign w:val="center"/>
            <w:hideMark/>
          </w:tcPr>
          <w:p w14:paraId="3E2D2E6C" w14:textId="11D629C6" w:rsidR="00DF130E" w:rsidRPr="00A11394" w:rsidRDefault="00DF130E" w:rsidP="00DF130E">
            <w:pPr>
              <w:snapToGrid w:val="0"/>
              <w:spacing w:before="20" w:afterLines="20" w:after="48"/>
              <w:jc w:val="center"/>
              <w:rPr>
                <w:rFonts w:eastAsia="Times New Roman" w:cs="Calibri"/>
                <w:bCs/>
                <w:sz w:val="18"/>
                <w:szCs w:val="18"/>
                <w:highlight w:val="yellow"/>
              </w:rPr>
            </w:pPr>
            <w:r w:rsidRPr="00A11394">
              <w:rPr>
                <w:bCs/>
                <w:sz w:val="18"/>
                <w:szCs w:val="18"/>
              </w:rPr>
              <w:t>1,8</w:t>
            </w:r>
          </w:p>
        </w:tc>
      </w:tr>
      <w:tr w:rsidR="00DF130E" w:rsidRPr="00F0315E" w14:paraId="143E7397" w14:textId="77777777" w:rsidTr="007755D2">
        <w:trPr>
          <w:cantSplit/>
          <w:trHeight w:val="340"/>
          <w:jc w:val="center"/>
        </w:trPr>
        <w:tc>
          <w:tcPr>
            <w:tcW w:w="5866" w:type="dxa"/>
            <w:tcBorders>
              <w:top w:val="nil"/>
              <w:left w:val="nil"/>
              <w:bottom w:val="nil"/>
              <w:right w:val="nil"/>
            </w:tcBorders>
            <w:vAlign w:val="center"/>
            <w:hideMark/>
          </w:tcPr>
          <w:p w14:paraId="4081032C"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 xml:space="preserve">profesionalna tajna </w:t>
            </w:r>
          </w:p>
        </w:tc>
        <w:tc>
          <w:tcPr>
            <w:tcW w:w="1657" w:type="dxa"/>
            <w:tcBorders>
              <w:top w:val="nil"/>
              <w:left w:val="nil"/>
              <w:bottom w:val="nil"/>
              <w:right w:val="nil"/>
            </w:tcBorders>
            <w:noWrap/>
            <w:vAlign w:val="center"/>
            <w:hideMark/>
          </w:tcPr>
          <w:p w14:paraId="3063860D" w14:textId="1486373A" w:rsidR="00DF130E" w:rsidRPr="00A11394" w:rsidRDefault="00DF130E" w:rsidP="00DF130E">
            <w:pPr>
              <w:snapToGrid w:val="0"/>
              <w:spacing w:before="20" w:afterLines="20" w:after="48"/>
              <w:jc w:val="center"/>
              <w:rPr>
                <w:rFonts w:eastAsia="Times New Roman" w:cs="Calibri"/>
                <w:bCs/>
                <w:sz w:val="18"/>
                <w:szCs w:val="18"/>
              </w:rPr>
            </w:pPr>
            <w:r w:rsidRPr="00A11394">
              <w:rPr>
                <w:bCs/>
                <w:sz w:val="18"/>
                <w:szCs w:val="18"/>
              </w:rPr>
              <w:t>22</w:t>
            </w:r>
          </w:p>
        </w:tc>
        <w:tc>
          <w:tcPr>
            <w:tcW w:w="1657" w:type="dxa"/>
            <w:tcBorders>
              <w:top w:val="nil"/>
              <w:left w:val="nil"/>
              <w:bottom w:val="nil"/>
              <w:right w:val="nil"/>
            </w:tcBorders>
            <w:noWrap/>
            <w:vAlign w:val="center"/>
            <w:hideMark/>
          </w:tcPr>
          <w:p w14:paraId="751A7D1B" w14:textId="7A4221B7" w:rsidR="00DF130E" w:rsidRPr="00A11394" w:rsidRDefault="00DF130E" w:rsidP="00DF130E">
            <w:pPr>
              <w:snapToGrid w:val="0"/>
              <w:spacing w:before="20" w:afterLines="20" w:after="48"/>
              <w:jc w:val="center"/>
              <w:rPr>
                <w:rFonts w:eastAsia="Times New Roman" w:cs="Calibri"/>
                <w:bCs/>
                <w:sz w:val="18"/>
                <w:szCs w:val="18"/>
                <w:highlight w:val="yellow"/>
              </w:rPr>
            </w:pPr>
            <w:r w:rsidRPr="00A11394">
              <w:rPr>
                <w:bCs/>
                <w:sz w:val="18"/>
                <w:szCs w:val="18"/>
              </w:rPr>
              <w:t>0,6</w:t>
            </w:r>
          </w:p>
        </w:tc>
      </w:tr>
      <w:tr w:rsidR="00DF130E" w:rsidRPr="00F0315E" w14:paraId="34560F23" w14:textId="77777777" w:rsidTr="007755D2">
        <w:trPr>
          <w:cantSplit/>
          <w:trHeight w:val="340"/>
          <w:jc w:val="center"/>
        </w:trPr>
        <w:tc>
          <w:tcPr>
            <w:tcW w:w="5866" w:type="dxa"/>
            <w:tcBorders>
              <w:top w:val="nil"/>
              <w:left w:val="nil"/>
              <w:bottom w:val="nil"/>
              <w:right w:val="nil"/>
            </w:tcBorders>
            <w:shd w:val="clear" w:color="auto" w:fill="D9E2F3" w:themeFill="accent1" w:themeFillTint="33"/>
            <w:vAlign w:val="center"/>
            <w:hideMark/>
          </w:tcPr>
          <w:p w14:paraId="3AE52838"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 xml:space="preserve">porezna tajna </w:t>
            </w:r>
          </w:p>
        </w:tc>
        <w:tc>
          <w:tcPr>
            <w:tcW w:w="1657" w:type="dxa"/>
            <w:tcBorders>
              <w:top w:val="nil"/>
              <w:left w:val="nil"/>
              <w:bottom w:val="nil"/>
              <w:right w:val="nil"/>
            </w:tcBorders>
            <w:shd w:val="clear" w:color="auto" w:fill="D9E2F3" w:themeFill="accent1" w:themeFillTint="33"/>
            <w:noWrap/>
            <w:vAlign w:val="center"/>
            <w:hideMark/>
          </w:tcPr>
          <w:p w14:paraId="0444C750" w14:textId="5FBAA17D" w:rsidR="00DF130E" w:rsidRPr="00A11394" w:rsidRDefault="00DF130E" w:rsidP="00DF130E">
            <w:pPr>
              <w:snapToGrid w:val="0"/>
              <w:spacing w:before="20" w:afterLines="20" w:after="48"/>
              <w:jc w:val="center"/>
              <w:rPr>
                <w:rFonts w:eastAsia="Times New Roman" w:cs="Calibri"/>
                <w:bCs/>
                <w:sz w:val="18"/>
                <w:szCs w:val="18"/>
              </w:rPr>
            </w:pPr>
            <w:r w:rsidRPr="00A11394">
              <w:rPr>
                <w:bCs/>
                <w:sz w:val="18"/>
                <w:szCs w:val="18"/>
              </w:rPr>
              <w:t>20</w:t>
            </w:r>
          </w:p>
        </w:tc>
        <w:tc>
          <w:tcPr>
            <w:tcW w:w="1657" w:type="dxa"/>
            <w:tcBorders>
              <w:top w:val="nil"/>
              <w:left w:val="nil"/>
              <w:bottom w:val="nil"/>
              <w:right w:val="nil"/>
            </w:tcBorders>
            <w:shd w:val="clear" w:color="auto" w:fill="D9E2F3" w:themeFill="accent1" w:themeFillTint="33"/>
            <w:noWrap/>
            <w:vAlign w:val="center"/>
            <w:hideMark/>
          </w:tcPr>
          <w:p w14:paraId="5D9EE8CE" w14:textId="65EB29FB" w:rsidR="00DF130E" w:rsidRPr="00A11394" w:rsidRDefault="00DF130E" w:rsidP="00DF130E">
            <w:pPr>
              <w:snapToGrid w:val="0"/>
              <w:spacing w:before="20" w:afterLines="20" w:after="48"/>
              <w:jc w:val="center"/>
              <w:rPr>
                <w:rFonts w:eastAsia="Times New Roman" w:cs="Calibri"/>
                <w:bCs/>
                <w:sz w:val="18"/>
                <w:szCs w:val="18"/>
                <w:highlight w:val="yellow"/>
              </w:rPr>
            </w:pPr>
            <w:r w:rsidRPr="00A11394">
              <w:rPr>
                <w:bCs/>
                <w:sz w:val="18"/>
                <w:szCs w:val="18"/>
              </w:rPr>
              <w:t>0,6</w:t>
            </w:r>
          </w:p>
        </w:tc>
      </w:tr>
      <w:tr w:rsidR="00DF130E" w:rsidRPr="00F0315E" w14:paraId="1832D53B" w14:textId="77777777" w:rsidTr="007755D2">
        <w:trPr>
          <w:cantSplit/>
          <w:trHeight w:val="340"/>
          <w:jc w:val="center"/>
        </w:trPr>
        <w:tc>
          <w:tcPr>
            <w:tcW w:w="5866" w:type="dxa"/>
            <w:tcBorders>
              <w:top w:val="nil"/>
              <w:left w:val="nil"/>
              <w:bottom w:val="nil"/>
              <w:right w:val="nil"/>
            </w:tcBorders>
            <w:vAlign w:val="center"/>
            <w:hideMark/>
          </w:tcPr>
          <w:p w14:paraId="648F858F"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osobni podaci</w:t>
            </w:r>
          </w:p>
        </w:tc>
        <w:tc>
          <w:tcPr>
            <w:tcW w:w="1657" w:type="dxa"/>
            <w:tcBorders>
              <w:top w:val="nil"/>
              <w:left w:val="nil"/>
              <w:bottom w:val="nil"/>
              <w:right w:val="nil"/>
            </w:tcBorders>
            <w:noWrap/>
            <w:vAlign w:val="center"/>
            <w:hideMark/>
          </w:tcPr>
          <w:p w14:paraId="7103A29A" w14:textId="3B62C143" w:rsidR="00DF130E" w:rsidRPr="00A11394" w:rsidRDefault="00DF130E" w:rsidP="00DF130E">
            <w:pPr>
              <w:snapToGrid w:val="0"/>
              <w:spacing w:before="20" w:afterLines="20" w:after="48"/>
              <w:jc w:val="center"/>
              <w:rPr>
                <w:rFonts w:eastAsia="Times New Roman" w:cs="Calibri"/>
                <w:bCs/>
                <w:sz w:val="18"/>
                <w:szCs w:val="18"/>
              </w:rPr>
            </w:pPr>
            <w:r w:rsidRPr="00A11394">
              <w:rPr>
                <w:bCs/>
                <w:sz w:val="18"/>
                <w:szCs w:val="18"/>
              </w:rPr>
              <w:t>220</w:t>
            </w:r>
          </w:p>
        </w:tc>
        <w:tc>
          <w:tcPr>
            <w:tcW w:w="1657" w:type="dxa"/>
            <w:tcBorders>
              <w:top w:val="nil"/>
              <w:left w:val="nil"/>
              <w:bottom w:val="nil"/>
              <w:right w:val="nil"/>
            </w:tcBorders>
            <w:noWrap/>
            <w:vAlign w:val="center"/>
            <w:hideMark/>
          </w:tcPr>
          <w:p w14:paraId="3381DE1D" w14:textId="360EABAB" w:rsidR="00DF130E" w:rsidRPr="00A11394" w:rsidRDefault="00DF130E" w:rsidP="00DF130E">
            <w:pPr>
              <w:snapToGrid w:val="0"/>
              <w:spacing w:before="20" w:afterLines="20" w:after="48"/>
              <w:jc w:val="center"/>
              <w:rPr>
                <w:rFonts w:eastAsia="Times New Roman" w:cs="Calibri"/>
                <w:bCs/>
                <w:sz w:val="18"/>
                <w:szCs w:val="18"/>
                <w:highlight w:val="yellow"/>
              </w:rPr>
            </w:pPr>
            <w:r w:rsidRPr="00A11394">
              <w:rPr>
                <w:bCs/>
                <w:sz w:val="18"/>
                <w:szCs w:val="18"/>
              </w:rPr>
              <w:t>6,3</w:t>
            </w:r>
          </w:p>
        </w:tc>
      </w:tr>
      <w:tr w:rsidR="00DF130E" w:rsidRPr="00F0315E" w14:paraId="7C851F71" w14:textId="77777777" w:rsidTr="007755D2">
        <w:trPr>
          <w:cantSplit/>
          <w:trHeight w:val="340"/>
          <w:jc w:val="center"/>
        </w:trPr>
        <w:tc>
          <w:tcPr>
            <w:tcW w:w="5866" w:type="dxa"/>
            <w:tcBorders>
              <w:top w:val="nil"/>
              <w:left w:val="nil"/>
              <w:bottom w:val="nil"/>
              <w:right w:val="nil"/>
            </w:tcBorders>
            <w:shd w:val="clear" w:color="auto" w:fill="D9E2F3" w:themeFill="accent1" w:themeFillTint="33"/>
            <w:vAlign w:val="center"/>
            <w:hideMark/>
          </w:tcPr>
          <w:p w14:paraId="712AF1FA"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pravo intelektualnog vlasništva</w:t>
            </w:r>
          </w:p>
        </w:tc>
        <w:tc>
          <w:tcPr>
            <w:tcW w:w="1657" w:type="dxa"/>
            <w:tcBorders>
              <w:top w:val="nil"/>
              <w:left w:val="nil"/>
              <w:bottom w:val="nil"/>
              <w:right w:val="nil"/>
            </w:tcBorders>
            <w:shd w:val="clear" w:color="auto" w:fill="D9E2F3" w:themeFill="accent1" w:themeFillTint="33"/>
            <w:noWrap/>
            <w:vAlign w:val="center"/>
            <w:hideMark/>
          </w:tcPr>
          <w:p w14:paraId="1791F0D8" w14:textId="5EC1E4B6" w:rsidR="00DF130E" w:rsidRPr="00A11394" w:rsidRDefault="00DF130E" w:rsidP="00DF130E">
            <w:pPr>
              <w:snapToGrid w:val="0"/>
              <w:spacing w:before="20" w:afterLines="20" w:after="48"/>
              <w:jc w:val="center"/>
              <w:rPr>
                <w:rFonts w:eastAsia="Times New Roman" w:cs="Calibri"/>
                <w:bCs/>
                <w:sz w:val="18"/>
                <w:szCs w:val="18"/>
              </w:rPr>
            </w:pPr>
            <w:r w:rsidRPr="00A11394">
              <w:rPr>
                <w:bCs/>
                <w:sz w:val="18"/>
                <w:szCs w:val="18"/>
              </w:rPr>
              <w:t>18</w:t>
            </w:r>
          </w:p>
        </w:tc>
        <w:tc>
          <w:tcPr>
            <w:tcW w:w="1657" w:type="dxa"/>
            <w:tcBorders>
              <w:top w:val="nil"/>
              <w:left w:val="nil"/>
              <w:bottom w:val="nil"/>
              <w:right w:val="nil"/>
            </w:tcBorders>
            <w:shd w:val="clear" w:color="auto" w:fill="D9E2F3" w:themeFill="accent1" w:themeFillTint="33"/>
            <w:noWrap/>
            <w:vAlign w:val="center"/>
            <w:hideMark/>
          </w:tcPr>
          <w:p w14:paraId="54D14D08" w14:textId="08524DA3" w:rsidR="00DF130E" w:rsidRPr="00A11394" w:rsidRDefault="00DF130E" w:rsidP="00DF130E">
            <w:pPr>
              <w:snapToGrid w:val="0"/>
              <w:spacing w:before="20" w:afterLines="20" w:after="48"/>
              <w:jc w:val="center"/>
              <w:rPr>
                <w:rFonts w:eastAsia="Times New Roman" w:cs="Calibri"/>
                <w:bCs/>
                <w:sz w:val="18"/>
                <w:szCs w:val="18"/>
                <w:highlight w:val="yellow"/>
              </w:rPr>
            </w:pPr>
            <w:r w:rsidRPr="00A11394">
              <w:rPr>
                <w:bCs/>
                <w:sz w:val="18"/>
                <w:szCs w:val="18"/>
              </w:rPr>
              <w:t>0,5</w:t>
            </w:r>
          </w:p>
        </w:tc>
      </w:tr>
      <w:tr w:rsidR="00DF130E" w:rsidRPr="00F0315E" w14:paraId="1D64D217" w14:textId="77777777" w:rsidTr="007755D2">
        <w:trPr>
          <w:cantSplit/>
          <w:trHeight w:val="340"/>
          <w:jc w:val="center"/>
        </w:trPr>
        <w:tc>
          <w:tcPr>
            <w:tcW w:w="5866" w:type="dxa"/>
            <w:tcBorders>
              <w:top w:val="nil"/>
              <w:left w:val="nil"/>
              <w:bottom w:val="nil"/>
              <w:right w:val="nil"/>
            </w:tcBorders>
            <w:vAlign w:val="center"/>
            <w:hideMark/>
          </w:tcPr>
          <w:p w14:paraId="1A1435B4"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 xml:space="preserve">međunarodni ugovori, pregovori, diplomatski odnosi </w:t>
            </w:r>
          </w:p>
        </w:tc>
        <w:tc>
          <w:tcPr>
            <w:tcW w:w="1657" w:type="dxa"/>
            <w:tcBorders>
              <w:top w:val="nil"/>
              <w:left w:val="nil"/>
              <w:bottom w:val="nil"/>
              <w:right w:val="nil"/>
            </w:tcBorders>
            <w:noWrap/>
            <w:vAlign w:val="center"/>
            <w:hideMark/>
          </w:tcPr>
          <w:p w14:paraId="145CF36A" w14:textId="17223655" w:rsidR="00DF130E" w:rsidRPr="00A11394" w:rsidRDefault="00DF130E" w:rsidP="00DF130E">
            <w:pPr>
              <w:snapToGrid w:val="0"/>
              <w:spacing w:before="20" w:afterLines="20" w:after="48"/>
              <w:jc w:val="center"/>
              <w:rPr>
                <w:rFonts w:eastAsia="Times New Roman" w:cs="Calibri"/>
                <w:bCs/>
                <w:sz w:val="18"/>
                <w:szCs w:val="18"/>
              </w:rPr>
            </w:pPr>
            <w:r w:rsidRPr="00A11394">
              <w:rPr>
                <w:bCs/>
                <w:sz w:val="18"/>
                <w:szCs w:val="18"/>
              </w:rPr>
              <w:t>5</w:t>
            </w:r>
          </w:p>
        </w:tc>
        <w:tc>
          <w:tcPr>
            <w:tcW w:w="1657" w:type="dxa"/>
            <w:tcBorders>
              <w:top w:val="nil"/>
              <w:left w:val="nil"/>
              <w:bottom w:val="nil"/>
              <w:right w:val="nil"/>
            </w:tcBorders>
            <w:noWrap/>
            <w:vAlign w:val="center"/>
            <w:hideMark/>
          </w:tcPr>
          <w:p w14:paraId="4CF2E5C0" w14:textId="3B8D4DEF" w:rsidR="00DF130E" w:rsidRPr="00A11394" w:rsidRDefault="00DF130E" w:rsidP="00DF130E">
            <w:pPr>
              <w:snapToGrid w:val="0"/>
              <w:spacing w:before="20" w:afterLines="20" w:after="48"/>
              <w:jc w:val="center"/>
              <w:rPr>
                <w:rFonts w:eastAsia="Times New Roman" w:cs="Calibri"/>
                <w:bCs/>
                <w:sz w:val="18"/>
                <w:szCs w:val="18"/>
                <w:highlight w:val="yellow"/>
              </w:rPr>
            </w:pPr>
            <w:r w:rsidRPr="00A11394">
              <w:rPr>
                <w:bCs/>
                <w:sz w:val="18"/>
                <w:szCs w:val="18"/>
              </w:rPr>
              <w:t>0,1</w:t>
            </w:r>
          </w:p>
        </w:tc>
      </w:tr>
      <w:tr w:rsidR="00DF130E" w:rsidRPr="00F0315E" w14:paraId="3A802E5B" w14:textId="77777777" w:rsidTr="007755D2">
        <w:trPr>
          <w:cantSplit/>
          <w:trHeight w:val="340"/>
          <w:jc w:val="center"/>
        </w:trPr>
        <w:tc>
          <w:tcPr>
            <w:tcW w:w="5866" w:type="dxa"/>
            <w:tcBorders>
              <w:top w:val="nil"/>
              <w:left w:val="nil"/>
              <w:bottom w:val="nil"/>
              <w:right w:val="nil"/>
            </w:tcBorders>
            <w:shd w:val="clear" w:color="auto" w:fill="D9E2F3" w:themeFill="accent1" w:themeFillTint="33"/>
            <w:vAlign w:val="center"/>
            <w:hideMark/>
          </w:tcPr>
          <w:p w14:paraId="3FDC7FF1"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 xml:space="preserve">ostali slučajevi utvrđenim zakonom </w:t>
            </w:r>
          </w:p>
        </w:tc>
        <w:tc>
          <w:tcPr>
            <w:tcW w:w="1657" w:type="dxa"/>
            <w:tcBorders>
              <w:top w:val="nil"/>
              <w:left w:val="nil"/>
              <w:bottom w:val="nil"/>
              <w:right w:val="nil"/>
            </w:tcBorders>
            <w:shd w:val="clear" w:color="auto" w:fill="D9E2F3" w:themeFill="accent1" w:themeFillTint="33"/>
            <w:noWrap/>
            <w:vAlign w:val="center"/>
            <w:hideMark/>
          </w:tcPr>
          <w:p w14:paraId="09251440" w14:textId="6F50CF20" w:rsidR="00DF130E" w:rsidRPr="00A11394" w:rsidRDefault="00DF130E" w:rsidP="00DF130E">
            <w:pPr>
              <w:snapToGrid w:val="0"/>
              <w:spacing w:before="20" w:afterLines="20" w:after="48"/>
              <w:jc w:val="center"/>
              <w:rPr>
                <w:rFonts w:eastAsia="Times New Roman" w:cs="Calibri"/>
                <w:bCs/>
                <w:sz w:val="18"/>
                <w:szCs w:val="18"/>
              </w:rPr>
            </w:pPr>
            <w:r w:rsidRPr="00A11394">
              <w:rPr>
                <w:bCs/>
                <w:sz w:val="18"/>
                <w:szCs w:val="18"/>
              </w:rPr>
              <w:t>81</w:t>
            </w:r>
          </w:p>
        </w:tc>
        <w:tc>
          <w:tcPr>
            <w:tcW w:w="1657" w:type="dxa"/>
            <w:tcBorders>
              <w:top w:val="nil"/>
              <w:left w:val="nil"/>
              <w:bottom w:val="nil"/>
              <w:right w:val="nil"/>
            </w:tcBorders>
            <w:shd w:val="clear" w:color="auto" w:fill="D9E2F3" w:themeFill="accent1" w:themeFillTint="33"/>
            <w:noWrap/>
            <w:vAlign w:val="center"/>
            <w:hideMark/>
          </w:tcPr>
          <w:p w14:paraId="6E868A9A" w14:textId="3D0B34B9" w:rsidR="00DF130E" w:rsidRPr="00A11394" w:rsidRDefault="00DF130E" w:rsidP="00DF130E">
            <w:pPr>
              <w:snapToGrid w:val="0"/>
              <w:spacing w:before="20" w:afterLines="20" w:after="48"/>
              <w:jc w:val="center"/>
              <w:rPr>
                <w:rFonts w:eastAsia="Times New Roman" w:cs="Calibri"/>
                <w:bCs/>
                <w:sz w:val="18"/>
                <w:szCs w:val="18"/>
                <w:highlight w:val="yellow"/>
              </w:rPr>
            </w:pPr>
            <w:r w:rsidRPr="00A11394">
              <w:rPr>
                <w:bCs/>
                <w:sz w:val="18"/>
                <w:szCs w:val="18"/>
              </w:rPr>
              <w:t>2,3</w:t>
            </w:r>
          </w:p>
        </w:tc>
      </w:tr>
      <w:tr w:rsidR="00DF130E" w:rsidRPr="00F0315E" w14:paraId="327E9F8D" w14:textId="77777777" w:rsidTr="007755D2">
        <w:trPr>
          <w:cantSplit/>
          <w:trHeight w:val="340"/>
          <w:jc w:val="center"/>
        </w:trPr>
        <w:tc>
          <w:tcPr>
            <w:tcW w:w="5866" w:type="dxa"/>
            <w:tcBorders>
              <w:top w:val="nil"/>
              <w:left w:val="nil"/>
              <w:bottom w:val="nil"/>
              <w:right w:val="nil"/>
            </w:tcBorders>
            <w:vAlign w:val="center"/>
            <w:hideMark/>
          </w:tcPr>
          <w:p w14:paraId="627F2F00"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vodi se sudski, upravni ili drugi postupak</w:t>
            </w:r>
          </w:p>
        </w:tc>
        <w:tc>
          <w:tcPr>
            <w:tcW w:w="1657" w:type="dxa"/>
            <w:tcBorders>
              <w:top w:val="nil"/>
              <w:left w:val="nil"/>
              <w:bottom w:val="nil"/>
              <w:right w:val="nil"/>
            </w:tcBorders>
            <w:noWrap/>
            <w:vAlign w:val="center"/>
            <w:hideMark/>
          </w:tcPr>
          <w:p w14:paraId="443AF9F4" w14:textId="12F9F490" w:rsidR="00DF130E" w:rsidRPr="00362FDF" w:rsidRDefault="00DF130E" w:rsidP="00DF130E">
            <w:pPr>
              <w:snapToGrid w:val="0"/>
              <w:spacing w:before="20" w:afterLines="20" w:after="48"/>
              <w:jc w:val="center"/>
              <w:rPr>
                <w:rFonts w:eastAsia="Times New Roman" w:cs="Calibri"/>
                <w:sz w:val="18"/>
                <w:szCs w:val="18"/>
              </w:rPr>
            </w:pPr>
            <w:r w:rsidRPr="00145D44">
              <w:rPr>
                <w:sz w:val="18"/>
                <w:szCs w:val="18"/>
              </w:rPr>
              <w:t>63</w:t>
            </w:r>
          </w:p>
        </w:tc>
        <w:tc>
          <w:tcPr>
            <w:tcW w:w="1657" w:type="dxa"/>
            <w:tcBorders>
              <w:top w:val="nil"/>
              <w:left w:val="nil"/>
              <w:bottom w:val="nil"/>
              <w:right w:val="nil"/>
            </w:tcBorders>
            <w:noWrap/>
            <w:vAlign w:val="center"/>
            <w:hideMark/>
          </w:tcPr>
          <w:p w14:paraId="2593CF26" w14:textId="7B837369" w:rsidR="00DF130E" w:rsidRPr="00362FDF" w:rsidRDefault="00DF130E" w:rsidP="00DF130E">
            <w:pPr>
              <w:snapToGrid w:val="0"/>
              <w:spacing w:before="20" w:afterLines="20" w:after="48"/>
              <w:jc w:val="center"/>
              <w:rPr>
                <w:rFonts w:eastAsia="Times New Roman" w:cs="Calibri"/>
                <w:sz w:val="18"/>
                <w:szCs w:val="18"/>
                <w:highlight w:val="yellow"/>
              </w:rPr>
            </w:pPr>
            <w:r w:rsidRPr="00145D44">
              <w:rPr>
                <w:sz w:val="18"/>
                <w:szCs w:val="18"/>
              </w:rPr>
              <w:t>1,8</w:t>
            </w:r>
          </w:p>
        </w:tc>
      </w:tr>
      <w:tr w:rsidR="00DF130E" w:rsidRPr="00F0315E" w14:paraId="38E53446" w14:textId="77777777" w:rsidTr="007755D2">
        <w:trPr>
          <w:cantSplit/>
          <w:trHeight w:val="340"/>
          <w:jc w:val="center"/>
        </w:trPr>
        <w:tc>
          <w:tcPr>
            <w:tcW w:w="5866" w:type="dxa"/>
            <w:tcBorders>
              <w:top w:val="nil"/>
              <w:left w:val="nil"/>
              <w:bottom w:val="nil"/>
              <w:right w:val="nil"/>
            </w:tcBorders>
            <w:shd w:val="clear" w:color="auto" w:fill="D9E2F3" w:themeFill="accent1" w:themeFillTint="33"/>
            <w:vAlign w:val="center"/>
            <w:hideMark/>
          </w:tcPr>
          <w:p w14:paraId="3EBBA749"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provodi se inspekcijski, upravni ili drugi nadzor</w:t>
            </w:r>
          </w:p>
        </w:tc>
        <w:tc>
          <w:tcPr>
            <w:tcW w:w="1657" w:type="dxa"/>
            <w:tcBorders>
              <w:top w:val="nil"/>
              <w:left w:val="nil"/>
              <w:bottom w:val="nil"/>
              <w:right w:val="nil"/>
            </w:tcBorders>
            <w:shd w:val="clear" w:color="auto" w:fill="D9E2F3" w:themeFill="accent1" w:themeFillTint="33"/>
            <w:noWrap/>
            <w:vAlign w:val="center"/>
            <w:hideMark/>
          </w:tcPr>
          <w:p w14:paraId="400D64CD" w14:textId="082E9A53" w:rsidR="00DF130E" w:rsidRPr="00362FDF" w:rsidRDefault="00DF130E" w:rsidP="00DF130E">
            <w:pPr>
              <w:snapToGrid w:val="0"/>
              <w:spacing w:before="20" w:afterLines="20" w:after="48"/>
              <w:jc w:val="center"/>
              <w:rPr>
                <w:rFonts w:eastAsia="Times New Roman" w:cs="Calibri"/>
                <w:sz w:val="18"/>
                <w:szCs w:val="18"/>
              </w:rPr>
            </w:pPr>
            <w:r w:rsidRPr="00145D44">
              <w:rPr>
                <w:sz w:val="18"/>
                <w:szCs w:val="18"/>
              </w:rPr>
              <w:t>8</w:t>
            </w:r>
          </w:p>
        </w:tc>
        <w:tc>
          <w:tcPr>
            <w:tcW w:w="1657" w:type="dxa"/>
            <w:tcBorders>
              <w:top w:val="nil"/>
              <w:left w:val="nil"/>
              <w:bottom w:val="nil"/>
              <w:right w:val="nil"/>
            </w:tcBorders>
            <w:shd w:val="clear" w:color="auto" w:fill="D9E2F3" w:themeFill="accent1" w:themeFillTint="33"/>
            <w:noWrap/>
            <w:vAlign w:val="center"/>
            <w:hideMark/>
          </w:tcPr>
          <w:p w14:paraId="5CE0D8AC" w14:textId="0B04C54A" w:rsidR="00DF130E" w:rsidRPr="00362FDF" w:rsidRDefault="00DF130E" w:rsidP="00DF130E">
            <w:pPr>
              <w:snapToGrid w:val="0"/>
              <w:spacing w:before="20" w:afterLines="20" w:after="48"/>
              <w:jc w:val="center"/>
              <w:rPr>
                <w:rFonts w:eastAsia="Times New Roman" w:cs="Calibri"/>
                <w:sz w:val="18"/>
                <w:szCs w:val="18"/>
                <w:highlight w:val="yellow"/>
              </w:rPr>
            </w:pPr>
            <w:r w:rsidRPr="00145D44">
              <w:rPr>
                <w:sz w:val="18"/>
                <w:szCs w:val="18"/>
              </w:rPr>
              <w:t>0,2</w:t>
            </w:r>
          </w:p>
        </w:tc>
      </w:tr>
      <w:tr w:rsidR="00DF130E" w:rsidRPr="00F0315E" w14:paraId="64605C18" w14:textId="77777777" w:rsidTr="007755D2">
        <w:trPr>
          <w:cantSplit/>
          <w:trHeight w:val="340"/>
          <w:jc w:val="center"/>
        </w:trPr>
        <w:tc>
          <w:tcPr>
            <w:tcW w:w="5866" w:type="dxa"/>
            <w:tcBorders>
              <w:top w:val="nil"/>
              <w:left w:val="nil"/>
              <w:bottom w:val="nil"/>
              <w:right w:val="nil"/>
            </w:tcBorders>
            <w:vAlign w:val="center"/>
            <w:hideMark/>
          </w:tcPr>
          <w:p w14:paraId="4C132996"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informacija u postupku izrade</w:t>
            </w:r>
          </w:p>
        </w:tc>
        <w:tc>
          <w:tcPr>
            <w:tcW w:w="1657" w:type="dxa"/>
            <w:tcBorders>
              <w:top w:val="nil"/>
              <w:left w:val="nil"/>
              <w:bottom w:val="nil"/>
              <w:right w:val="nil"/>
            </w:tcBorders>
            <w:noWrap/>
            <w:vAlign w:val="center"/>
            <w:hideMark/>
          </w:tcPr>
          <w:p w14:paraId="162F3643" w14:textId="6BD24FDA" w:rsidR="00DF130E" w:rsidRPr="00362FDF" w:rsidRDefault="00DF130E" w:rsidP="00DF130E">
            <w:pPr>
              <w:snapToGrid w:val="0"/>
              <w:spacing w:before="20" w:afterLines="20" w:after="48"/>
              <w:jc w:val="center"/>
              <w:rPr>
                <w:rFonts w:eastAsia="Times New Roman" w:cs="Calibri"/>
                <w:sz w:val="18"/>
                <w:szCs w:val="18"/>
              </w:rPr>
            </w:pPr>
            <w:r w:rsidRPr="00145D44">
              <w:rPr>
                <w:sz w:val="18"/>
                <w:szCs w:val="18"/>
              </w:rPr>
              <w:t>18</w:t>
            </w:r>
          </w:p>
        </w:tc>
        <w:tc>
          <w:tcPr>
            <w:tcW w:w="1657" w:type="dxa"/>
            <w:tcBorders>
              <w:top w:val="nil"/>
              <w:left w:val="nil"/>
              <w:bottom w:val="nil"/>
              <w:right w:val="nil"/>
            </w:tcBorders>
            <w:noWrap/>
            <w:vAlign w:val="center"/>
            <w:hideMark/>
          </w:tcPr>
          <w:p w14:paraId="2C4168DB" w14:textId="23CD945E" w:rsidR="00DF130E" w:rsidRPr="00362FDF" w:rsidRDefault="00DF130E" w:rsidP="00DF130E">
            <w:pPr>
              <w:snapToGrid w:val="0"/>
              <w:spacing w:before="20" w:afterLines="20" w:after="48"/>
              <w:jc w:val="center"/>
              <w:rPr>
                <w:rFonts w:eastAsia="Times New Roman" w:cs="Calibri"/>
                <w:sz w:val="18"/>
                <w:szCs w:val="18"/>
                <w:highlight w:val="yellow"/>
              </w:rPr>
            </w:pPr>
            <w:r w:rsidRPr="00145D44">
              <w:rPr>
                <w:sz w:val="18"/>
                <w:szCs w:val="18"/>
              </w:rPr>
              <w:t>0,5</w:t>
            </w:r>
          </w:p>
        </w:tc>
      </w:tr>
      <w:tr w:rsidR="00DF130E" w:rsidRPr="00F0315E" w14:paraId="03DAEB4B" w14:textId="77777777" w:rsidTr="007755D2">
        <w:trPr>
          <w:cantSplit/>
          <w:trHeight w:val="340"/>
          <w:jc w:val="center"/>
        </w:trPr>
        <w:tc>
          <w:tcPr>
            <w:tcW w:w="5866" w:type="dxa"/>
            <w:tcBorders>
              <w:top w:val="nil"/>
              <w:left w:val="nil"/>
              <w:bottom w:val="nil"/>
              <w:right w:val="nil"/>
            </w:tcBorders>
            <w:shd w:val="clear" w:color="auto" w:fill="D9E2F3" w:themeFill="accent1" w:themeFillTint="33"/>
            <w:vAlign w:val="center"/>
            <w:hideMark/>
          </w:tcPr>
          <w:p w14:paraId="5FB9E9F2"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 xml:space="preserve">informacija u postupku usuglašavanja </w:t>
            </w:r>
          </w:p>
        </w:tc>
        <w:tc>
          <w:tcPr>
            <w:tcW w:w="1657" w:type="dxa"/>
            <w:tcBorders>
              <w:top w:val="nil"/>
              <w:left w:val="nil"/>
              <w:bottom w:val="nil"/>
              <w:right w:val="nil"/>
            </w:tcBorders>
            <w:shd w:val="clear" w:color="auto" w:fill="D9E2F3" w:themeFill="accent1" w:themeFillTint="33"/>
            <w:noWrap/>
            <w:vAlign w:val="center"/>
            <w:hideMark/>
          </w:tcPr>
          <w:p w14:paraId="7A50D1F6" w14:textId="1D99D70C" w:rsidR="00DF130E" w:rsidRPr="00362FDF" w:rsidRDefault="00DF130E" w:rsidP="00DF130E">
            <w:pPr>
              <w:snapToGrid w:val="0"/>
              <w:spacing w:before="20" w:afterLines="20" w:after="48"/>
              <w:jc w:val="center"/>
              <w:rPr>
                <w:rFonts w:eastAsia="Times New Roman" w:cs="Calibri"/>
                <w:sz w:val="18"/>
                <w:szCs w:val="18"/>
              </w:rPr>
            </w:pPr>
            <w:r w:rsidRPr="00145D44">
              <w:rPr>
                <w:sz w:val="18"/>
                <w:szCs w:val="18"/>
              </w:rPr>
              <w:t>18</w:t>
            </w:r>
          </w:p>
        </w:tc>
        <w:tc>
          <w:tcPr>
            <w:tcW w:w="1657" w:type="dxa"/>
            <w:tcBorders>
              <w:top w:val="nil"/>
              <w:left w:val="nil"/>
              <w:bottom w:val="nil"/>
              <w:right w:val="nil"/>
            </w:tcBorders>
            <w:shd w:val="clear" w:color="auto" w:fill="D9E2F3" w:themeFill="accent1" w:themeFillTint="33"/>
            <w:noWrap/>
            <w:vAlign w:val="center"/>
            <w:hideMark/>
          </w:tcPr>
          <w:p w14:paraId="0993BD89" w14:textId="41CC8676" w:rsidR="00DF130E" w:rsidRPr="00362FDF" w:rsidRDefault="00DF130E" w:rsidP="00DF130E">
            <w:pPr>
              <w:snapToGrid w:val="0"/>
              <w:spacing w:before="20" w:afterLines="20" w:after="48"/>
              <w:jc w:val="center"/>
              <w:rPr>
                <w:rFonts w:eastAsia="Times New Roman" w:cs="Calibri"/>
                <w:sz w:val="18"/>
                <w:szCs w:val="18"/>
                <w:highlight w:val="yellow"/>
              </w:rPr>
            </w:pPr>
            <w:r w:rsidRPr="00145D44">
              <w:rPr>
                <w:sz w:val="18"/>
                <w:szCs w:val="18"/>
              </w:rPr>
              <w:t>0,5</w:t>
            </w:r>
          </w:p>
        </w:tc>
      </w:tr>
      <w:tr w:rsidR="00DF130E" w:rsidRPr="00362FDF" w14:paraId="564D1F5B" w14:textId="77777777" w:rsidTr="007755D2">
        <w:trPr>
          <w:cantSplit/>
          <w:trHeight w:val="340"/>
          <w:jc w:val="center"/>
        </w:trPr>
        <w:tc>
          <w:tcPr>
            <w:tcW w:w="5866" w:type="dxa"/>
            <w:tcBorders>
              <w:top w:val="nil"/>
              <w:left w:val="nil"/>
              <w:bottom w:val="nil"/>
              <w:right w:val="nil"/>
            </w:tcBorders>
            <w:vAlign w:val="center"/>
            <w:hideMark/>
          </w:tcPr>
          <w:p w14:paraId="00814A68" w14:textId="77777777" w:rsidR="00DF130E" w:rsidRPr="00362FDF" w:rsidRDefault="00DF130E" w:rsidP="00DF130E">
            <w:pPr>
              <w:snapToGrid w:val="0"/>
              <w:spacing w:before="20" w:afterLines="20" w:after="48"/>
              <w:rPr>
                <w:rFonts w:eastAsia="Times New Roman" w:cs="Times New Roman"/>
                <w:bCs/>
                <w:color w:val="000000"/>
                <w:sz w:val="18"/>
                <w:szCs w:val="18"/>
              </w:rPr>
            </w:pPr>
            <w:r w:rsidRPr="00362FDF">
              <w:rPr>
                <w:rFonts w:eastAsia="Times New Roman" w:cs="Times New Roman"/>
                <w:bCs/>
                <w:color w:val="000000"/>
                <w:sz w:val="18"/>
                <w:szCs w:val="18"/>
              </w:rPr>
              <w:t xml:space="preserve">ne smatra se informacijom u smislu ZPPI-ja </w:t>
            </w:r>
          </w:p>
        </w:tc>
        <w:tc>
          <w:tcPr>
            <w:tcW w:w="1657" w:type="dxa"/>
            <w:tcBorders>
              <w:top w:val="nil"/>
              <w:left w:val="nil"/>
              <w:bottom w:val="nil"/>
              <w:right w:val="nil"/>
            </w:tcBorders>
            <w:noWrap/>
            <w:vAlign w:val="center"/>
            <w:hideMark/>
          </w:tcPr>
          <w:p w14:paraId="7B10270F" w14:textId="548A2A7A" w:rsidR="00DF130E" w:rsidRPr="00362FDF" w:rsidRDefault="00DF130E" w:rsidP="00DF130E">
            <w:pPr>
              <w:snapToGrid w:val="0"/>
              <w:spacing w:before="20" w:afterLines="20" w:after="48"/>
              <w:jc w:val="center"/>
              <w:rPr>
                <w:rFonts w:eastAsia="Times New Roman" w:cs="Times New Roman"/>
                <w:bCs/>
                <w:color w:val="000000"/>
                <w:sz w:val="18"/>
                <w:szCs w:val="18"/>
              </w:rPr>
            </w:pPr>
            <w:r w:rsidRPr="00145D44">
              <w:rPr>
                <w:b/>
                <w:sz w:val="18"/>
                <w:szCs w:val="18"/>
              </w:rPr>
              <w:t>355</w:t>
            </w:r>
          </w:p>
        </w:tc>
        <w:tc>
          <w:tcPr>
            <w:tcW w:w="1657" w:type="dxa"/>
            <w:tcBorders>
              <w:top w:val="nil"/>
              <w:left w:val="nil"/>
              <w:bottom w:val="nil"/>
              <w:right w:val="nil"/>
            </w:tcBorders>
            <w:noWrap/>
            <w:vAlign w:val="center"/>
            <w:hideMark/>
          </w:tcPr>
          <w:p w14:paraId="35B75BE5" w14:textId="21290176" w:rsidR="00DF130E" w:rsidRPr="00362FDF" w:rsidRDefault="00DF130E" w:rsidP="00DF130E">
            <w:pPr>
              <w:snapToGrid w:val="0"/>
              <w:spacing w:before="20" w:afterLines="20" w:after="48"/>
              <w:jc w:val="center"/>
              <w:rPr>
                <w:rFonts w:eastAsia="Times New Roman" w:cs="Times New Roman"/>
                <w:bCs/>
                <w:color w:val="000000"/>
                <w:sz w:val="18"/>
                <w:szCs w:val="18"/>
              </w:rPr>
            </w:pPr>
            <w:r w:rsidRPr="00145D44">
              <w:rPr>
                <w:b/>
                <w:bCs/>
                <w:sz w:val="18"/>
                <w:szCs w:val="18"/>
              </w:rPr>
              <w:t>10</w:t>
            </w:r>
          </w:p>
        </w:tc>
      </w:tr>
      <w:tr w:rsidR="00DF130E" w:rsidRPr="00F0315E" w14:paraId="750E67DD" w14:textId="77777777" w:rsidTr="007755D2">
        <w:trPr>
          <w:cantSplit/>
          <w:trHeight w:val="340"/>
          <w:jc w:val="center"/>
        </w:trPr>
        <w:tc>
          <w:tcPr>
            <w:tcW w:w="5866" w:type="dxa"/>
            <w:tcBorders>
              <w:top w:val="nil"/>
              <w:left w:val="nil"/>
              <w:bottom w:val="single" w:sz="8" w:space="0" w:color="4F81BD"/>
              <w:right w:val="nil"/>
            </w:tcBorders>
            <w:shd w:val="clear" w:color="auto" w:fill="D9E2F3" w:themeFill="accent1" w:themeFillTint="33"/>
            <w:vAlign w:val="center"/>
            <w:hideMark/>
          </w:tcPr>
          <w:p w14:paraId="67B8C49E" w14:textId="77777777" w:rsidR="00DF130E" w:rsidRPr="00362FDF" w:rsidRDefault="00DF130E" w:rsidP="00DF130E">
            <w:pPr>
              <w:snapToGrid w:val="0"/>
              <w:spacing w:before="20" w:afterLines="20" w:after="48"/>
              <w:rPr>
                <w:rFonts w:eastAsia="Times New Roman" w:cs="Times New Roman"/>
                <w:b/>
                <w:bCs/>
                <w:color w:val="000000"/>
                <w:sz w:val="18"/>
                <w:szCs w:val="18"/>
              </w:rPr>
            </w:pPr>
            <w:r w:rsidRPr="00362FDF">
              <w:rPr>
                <w:rFonts w:eastAsia="Times New Roman" w:cs="Times New Roman"/>
                <w:bCs/>
                <w:color w:val="000000"/>
                <w:sz w:val="18"/>
                <w:szCs w:val="18"/>
              </w:rPr>
              <w:t>zlouporaba prava na pristup informacijama</w:t>
            </w:r>
          </w:p>
        </w:tc>
        <w:tc>
          <w:tcPr>
            <w:tcW w:w="1657" w:type="dxa"/>
            <w:tcBorders>
              <w:top w:val="nil"/>
              <w:left w:val="nil"/>
              <w:bottom w:val="single" w:sz="8" w:space="0" w:color="4F81BD"/>
              <w:right w:val="nil"/>
            </w:tcBorders>
            <w:shd w:val="clear" w:color="auto" w:fill="D9E2F3" w:themeFill="accent1" w:themeFillTint="33"/>
            <w:noWrap/>
            <w:vAlign w:val="center"/>
            <w:hideMark/>
          </w:tcPr>
          <w:p w14:paraId="365BC414" w14:textId="4DC87519" w:rsidR="00DF130E" w:rsidRPr="00362FDF" w:rsidRDefault="00DF130E" w:rsidP="00DF130E">
            <w:pPr>
              <w:snapToGrid w:val="0"/>
              <w:spacing w:before="20" w:afterLines="20" w:after="48"/>
              <w:jc w:val="center"/>
              <w:rPr>
                <w:rFonts w:eastAsia="Times New Roman" w:cs="Calibri"/>
                <w:sz w:val="18"/>
                <w:szCs w:val="18"/>
              </w:rPr>
            </w:pPr>
            <w:r w:rsidRPr="00145D44">
              <w:rPr>
                <w:b/>
                <w:sz w:val="18"/>
                <w:szCs w:val="18"/>
              </w:rPr>
              <w:t>2.033</w:t>
            </w:r>
          </w:p>
        </w:tc>
        <w:tc>
          <w:tcPr>
            <w:tcW w:w="1657" w:type="dxa"/>
            <w:tcBorders>
              <w:top w:val="nil"/>
              <w:left w:val="nil"/>
              <w:bottom w:val="single" w:sz="8" w:space="0" w:color="4F81BD"/>
              <w:right w:val="nil"/>
            </w:tcBorders>
            <w:shd w:val="clear" w:color="auto" w:fill="D9E2F3" w:themeFill="accent1" w:themeFillTint="33"/>
            <w:noWrap/>
            <w:vAlign w:val="center"/>
            <w:hideMark/>
          </w:tcPr>
          <w:p w14:paraId="797E1592" w14:textId="07D78B0A" w:rsidR="00DF130E" w:rsidRPr="00362FDF" w:rsidRDefault="00DF130E" w:rsidP="00DF130E">
            <w:pPr>
              <w:snapToGrid w:val="0"/>
              <w:spacing w:before="20" w:afterLines="20" w:after="48"/>
              <w:jc w:val="center"/>
              <w:rPr>
                <w:rFonts w:eastAsia="Times New Roman" w:cs="Calibri"/>
                <w:sz w:val="18"/>
                <w:szCs w:val="18"/>
                <w:highlight w:val="yellow"/>
              </w:rPr>
            </w:pPr>
            <w:r w:rsidRPr="00145D44">
              <w:rPr>
                <w:b/>
                <w:bCs/>
                <w:sz w:val="18"/>
                <w:szCs w:val="18"/>
              </w:rPr>
              <w:t>58</w:t>
            </w:r>
          </w:p>
        </w:tc>
      </w:tr>
    </w:tbl>
    <w:p w14:paraId="44B383CB" w14:textId="77777777" w:rsidR="00FD3A68" w:rsidRDefault="00FD3A68" w:rsidP="00BF0F8B">
      <w:pPr>
        <w:spacing w:before="120" w:after="0"/>
        <w:rPr>
          <w:rFonts w:eastAsia="Times New Roman" w:cs="Times New Roman"/>
          <w:i/>
          <w:sz w:val="20"/>
          <w:szCs w:val="20"/>
        </w:rPr>
      </w:pPr>
      <w:r w:rsidRPr="00F0315E">
        <w:rPr>
          <w:rFonts w:eastAsia="Times New Roman" w:cs="Times New Roman"/>
          <w:i/>
          <w:sz w:val="20"/>
          <w:szCs w:val="20"/>
        </w:rPr>
        <w:t>Napomena: zahtjevi mogu biti odbijeni po više osnova</w:t>
      </w:r>
    </w:p>
    <w:p w14:paraId="0BB6152E" w14:textId="04B3549C" w:rsidR="00DF130E" w:rsidRPr="00FB59DC" w:rsidRDefault="00DF130E" w:rsidP="002857FC">
      <w:pPr>
        <w:spacing w:before="240"/>
        <w:rPr>
          <w:rFonts w:eastAsia="Times New Roman" w:cs="Times New Roman"/>
          <w:sz w:val="23"/>
          <w:szCs w:val="23"/>
        </w:rPr>
      </w:pPr>
      <w:r w:rsidRPr="0098142F">
        <w:rPr>
          <w:rFonts w:eastAsia="Times New Roman" w:cs="Times New Roman"/>
          <w:sz w:val="23"/>
          <w:szCs w:val="23"/>
        </w:rPr>
        <w:t xml:space="preserve">Tijela su izvijestila </w:t>
      </w:r>
      <w:r>
        <w:rPr>
          <w:rFonts w:eastAsia="Times New Roman" w:cs="Times New Roman"/>
          <w:sz w:val="23"/>
          <w:szCs w:val="23"/>
        </w:rPr>
        <w:t xml:space="preserve">i </w:t>
      </w:r>
      <w:r w:rsidRPr="0098142F">
        <w:rPr>
          <w:rFonts w:eastAsia="Times New Roman" w:cs="Times New Roman"/>
          <w:sz w:val="23"/>
          <w:szCs w:val="23"/>
        </w:rPr>
        <w:t xml:space="preserve">da je </w:t>
      </w:r>
      <w:r>
        <w:rPr>
          <w:rFonts w:eastAsia="Times New Roman" w:cs="Times New Roman"/>
          <w:sz w:val="23"/>
          <w:szCs w:val="23"/>
        </w:rPr>
        <w:t>tijekom 2025. godine 68</w:t>
      </w:r>
      <w:r w:rsidRPr="0098142F">
        <w:rPr>
          <w:rFonts w:eastAsia="Times New Roman" w:cs="Times New Roman"/>
          <w:sz w:val="23"/>
          <w:szCs w:val="23"/>
        </w:rPr>
        <w:t xml:space="preserve"> postupaka ostvarivanja prava na pristup informacijama obustavljeno na prvom stupnju (kada je stranka odustala od zahtjeva ili u drugim slučajevima propisanim zakonom).</w:t>
      </w:r>
    </w:p>
    <w:p w14:paraId="35D3DBFD" w14:textId="77F4BB26" w:rsidR="00FD3A68" w:rsidRPr="00F0315E" w:rsidRDefault="00FD3A68" w:rsidP="009032D7">
      <w:pPr>
        <w:pStyle w:val="Naslov3"/>
        <w:ind w:left="1985"/>
      </w:pPr>
      <w:bookmarkStart w:id="30" w:name="_Toc225865561"/>
      <w:bookmarkStart w:id="31" w:name="_Toc162445721"/>
      <w:r>
        <w:t>Zahtjevi za dopun</w:t>
      </w:r>
      <w:r w:rsidR="00E341B3">
        <w:t>u</w:t>
      </w:r>
      <w:r>
        <w:t xml:space="preserve"> ili ispravak informacije</w:t>
      </w:r>
      <w:bookmarkEnd w:id="30"/>
    </w:p>
    <w:p w14:paraId="7B44EA61" w14:textId="09B89AE9" w:rsidR="00DF130E" w:rsidRPr="00DF130E" w:rsidRDefault="00DF130E" w:rsidP="00DF130E">
      <w:r w:rsidRPr="00DF130E">
        <w:t>Prema dostavljenim podacima, 177 tijela je izvijestilo je da je u 2025. godini zaprimilo 420 zahtjeva za dopunu ili ispravak informacije i prenijelo 24 zahtjeva za dopunu ili ispravak informacije iz 2024., što znači da je u rješavanju tijekom 2025. bilo ukupno 444 zahtjeva za dopunu ili ispravak informacije.</w:t>
      </w:r>
    </w:p>
    <w:p w14:paraId="16B80162" w14:textId="62CFF5C5" w:rsidR="00DF130E" w:rsidRDefault="00DF130E" w:rsidP="00DF130E">
      <w:pPr>
        <w:keepNext/>
        <w:widowControl w:val="0"/>
        <w:spacing w:before="240"/>
        <w:rPr>
          <w:rFonts w:cs="Arial"/>
          <w:sz w:val="18"/>
          <w:szCs w:val="18"/>
        </w:rPr>
      </w:pPr>
      <w:r w:rsidRPr="005A7B9E">
        <w:rPr>
          <w:rFonts w:cs="Arial"/>
          <w:sz w:val="18"/>
          <w:szCs w:val="18"/>
        </w:rPr>
        <w:t>Tablica 3.</w:t>
      </w:r>
      <w:r w:rsidR="005A7B9E" w:rsidRPr="005A7B9E">
        <w:rPr>
          <w:rFonts w:cs="Arial"/>
          <w:sz w:val="18"/>
          <w:szCs w:val="18"/>
        </w:rPr>
        <w:t>7</w:t>
      </w:r>
      <w:r w:rsidRPr="005A7B9E">
        <w:rPr>
          <w:rFonts w:cs="Arial"/>
          <w:sz w:val="18"/>
          <w:szCs w:val="18"/>
        </w:rPr>
        <w:t xml:space="preserve">. Rješavanje zahtjeva za dopunu ili ispravak informacije u 2025. godini </w:t>
      </w:r>
    </w:p>
    <w:tbl>
      <w:tblPr>
        <w:tblStyle w:val="Tablicareetke2-isticanje1"/>
        <w:tblW w:w="5000" w:type="pct"/>
        <w:tblLook w:val="04A0" w:firstRow="1" w:lastRow="0" w:firstColumn="1" w:lastColumn="0" w:noHBand="0" w:noVBand="1"/>
      </w:tblPr>
      <w:tblGrid>
        <w:gridCol w:w="4717"/>
        <w:gridCol w:w="2178"/>
        <w:gridCol w:w="2177"/>
      </w:tblGrid>
      <w:tr w:rsidR="00DF130E" w:rsidRPr="00BE5A52" w14:paraId="236C9C24" w14:textId="77777777" w:rsidTr="002857FC">
        <w:trPr>
          <w:cnfStyle w:val="100000000000" w:firstRow="1" w:lastRow="0"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717" w:type="dxa"/>
            <w:tcBorders>
              <w:top w:val="single" w:sz="18" w:space="0" w:color="9CC2E5" w:themeColor="accent5" w:themeTint="99"/>
              <w:right w:val="single" w:sz="8" w:space="0" w:color="9CC2E5" w:themeColor="accent5" w:themeTint="99"/>
            </w:tcBorders>
            <w:vAlign w:val="center"/>
          </w:tcPr>
          <w:p w14:paraId="2C19D7C2" w14:textId="2368D6A1" w:rsidR="00DF130E" w:rsidRPr="00DF130E" w:rsidRDefault="00DF130E" w:rsidP="002857FC">
            <w:pPr>
              <w:spacing w:before="20" w:after="20" w:line="240" w:lineRule="auto"/>
              <w:rPr>
                <w:rFonts w:eastAsia="Times New Roman" w:cs="Times New Roman"/>
                <w:sz w:val="18"/>
                <w:szCs w:val="18"/>
              </w:rPr>
            </w:pPr>
            <w:r w:rsidRPr="00DF130E">
              <w:rPr>
                <w:rFonts w:eastAsia="Times New Roman" w:cs="Times New Roman"/>
                <w:sz w:val="18"/>
                <w:szCs w:val="18"/>
              </w:rPr>
              <w:t>Zahtjevi za dopunu ili ispravak informacije</w:t>
            </w:r>
          </w:p>
        </w:tc>
        <w:tc>
          <w:tcPr>
            <w:tcW w:w="2178" w:type="dxa"/>
            <w:tcBorders>
              <w:top w:val="single" w:sz="18" w:space="0" w:color="9CC2E5" w:themeColor="accent5" w:themeTint="99"/>
              <w:left w:val="single" w:sz="8" w:space="0" w:color="9CC2E5" w:themeColor="accent5" w:themeTint="99"/>
              <w:right w:val="single" w:sz="8" w:space="0" w:color="9CC2E5" w:themeColor="accent5" w:themeTint="99"/>
            </w:tcBorders>
            <w:vAlign w:val="center"/>
          </w:tcPr>
          <w:p w14:paraId="7676E811" w14:textId="77777777" w:rsidR="00DF130E" w:rsidRPr="00DF130E" w:rsidRDefault="00DF130E" w:rsidP="002857F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18"/>
                <w:szCs w:val="18"/>
              </w:rPr>
            </w:pPr>
            <w:r w:rsidRPr="00DF130E">
              <w:rPr>
                <w:rFonts w:eastAsia="Times New Roman" w:cs="Times New Roman"/>
                <w:i/>
                <w:iCs/>
                <w:sz w:val="18"/>
                <w:szCs w:val="18"/>
              </w:rPr>
              <w:t>n</w:t>
            </w:r>
          </w:p>
        </w:tc>
        <w:tc>
          <w:tcPr>
            <w:tcW w:w="2177" w:type="dxa"/>
            <w:tcBorders>
              <w:top w:val="single" w:sz="18" w:space="0" w:color="9CC2E5" w:themeColor="accent5" w:themeTint="99"/>
              <w:left w:val="single" w:sz="8" w:space="0" w:color="9CC2E5" w:themeColor="accent5" w:themeTint="99"/>
            </w:tcBorders>
            <w:vAlign w:val="center"/>
          </w:tcPr>
          <w:p w14:paraId="4AB1D607" w14:textId="77777777" w:rsidR="00DF130E" w:rsidRPr="00DF130E" w:rsidRDefault="00DF130E" w:rsidP="002857F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18"/>
                <w:szCs w:val="18"/>
              </w:rPr>
            </w:pPr>
            <w:r w:rsidRPr="00DF130E">
              <w:rPr>
                <w:rFonts w:eastAsia="Times New Roman" w:cs="Times New Roman"/>
                <w:i/>
                <w:iCs/>
                <w:sz w:val="18"/>
                <w:szCs w:val="18"/>
              </w:rPr>
              <w:t>%</w:t>
            </w:r>
          </w:p>
        </w:tc>
      </w:tr>
      <w:tr w:rsidR="00DF130E" w:rsidRPr="00BE5A52" w14:paraId="564D661D" w14:textId="77777777" w:rsidTr="002857FC">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14:paraId="18AEE381" w14:textId="77777777" w:rsidR="00DF130E" w:rsidRPr="00DF130E" w:rsidRDefault="00DF130E" w:rsidP="002857FC">
            <w:pPr>
              <w:spacing w:before="20" w:after="20" w:line="240" w:lineRule="auto"/>
              <w:rPr>
                <w:rFonts w:eastAsia="Times New Roman" w:cs="Times New Roman"/>
                <w:b w:val="0"/>
                <w:bCs w:val="0"/>
                <w:sz w:val="18"/>
                <w:szCs w:val="18"/>
              </w:rPr>
            </w:pPr>
            <w:r w:rsidRPr="00DF130E">
              <w:rPr>
                <w:rFonts w:eastAsia="Times New Roman" w:cs="Times New Roman"/>
                <w:b w:val="0"/>
                <w:bCs w:val="0"/>
                <w:sz w:val="18"/>
                <w:szCs w:val="18"/>
              </w:rPr>
              <w:t xml:space="preserve">Broj prenesenih zahtjeva iz </w:t>
            </w:r>
            <w:r w:rsidRPr="00DF130E">
              <w:rPr>
                <w:rFonts w:cs="Times New Roman"/>
                <w:b w:val="0"/>
                <w:bCs w:val="0"/>
                <w:sz w:val="18"/>
                <w:szCs w:val="18"/>
              </w:rPr>
              <w:t>2024.</w:t>
            </w:r>
          </w:p>
        </w:tc>
        <w:tc>
          <w:tcPr>
            <w:tcW w:w="2178" w:type="dxa"/>
            <w:hideMark/>
          </w:tcPr>
          <w:p w14:paraId="085A77DA" w14:textId="424C1480" w:rsidR="00DF130E" w:rsidRPr="00DF130E" w:rsidRDefault="00DF130E" w:rsidP="002857F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DF130E">
              <w:rPr>
                <w:rFonts w:eastAsia="Times New Roman" w:cs="Times New Roman"/>
                <w:sz w:val="18"/>
                <w:szCs w:val="18"/>
              </w:rPr>
              <w:t>24</w:t>
            </w:r>
          </w:p>
        </w:tc>
        <w:tc>
          <w:tcPr>
            <w:tcW w:w="2177" w:type="dxa"/>
            <w:vAlign w:val="center"/>
          </w:tcPr>
          <w:p w14:paraId="11B48B37" w14:textId="77777777" w:rsidR="00DF130E" w:rsidRPr="00DF130E" w:rsidRDefault="00DF130E" w:rsidP="002857FC">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DF130E" w:rsidRPr="00BE5A52" w14:paraId="6C3AF82B" w14:textId="77777777" w:rsidTr="002857FC">
        <w:trPr>
          <w:cantSplit/>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14:paraId="72535C05" w14:textId="77777777" w:rsidR="00DF130E" w:rsidRPr="00DF130E" w:rsidRDefault="00DF130E" w:rsidP="002857FC">
            <w:pPr>
              <w:spacing w:before="20" w:after="20" w:line="240" w:lineRule="auto"/>
              <w:rPr>
                <w:rFonts w:eastAsia="Times New Roman" w:cs="Times New Roman"/>
                <w:b w:val="0"/>
                <w:bCs w:val="0"/>
                <w:sz w:val="18"/>
                <w:szCs w:val="18"/>
              </w:rPr>
            </w:pPr>
            <w:r w:rsidRPr="00DF130E">
              <w:rPr>
                <w:rFonts w:eastAsia="Times New Roman" w:cs="Times New Roman"/>
                <w:b w:val="0"/>
                <w:bCs w:val="0"/>
                <w:sz w:val="18"/>
                <w:szCs w:val="18"/>
              </w:rPr>
              <w:t xml:space="preserve">Broj zaprimljenih zahtjeva </w:t>
            </w:r>
          </w:p>
        </w:tc>
        <w:tc>
          <w:tcPr>
            <w:tcW w:w="2178" w:type="dxa"/>
            <w:hideMark/>
          </w:tcPr>
          <w:p w14:paraId="02FE24D4" w14:textId="5DF6310D" w:rsidR="00DF130E" w:rsidRPr="00DF130E" w:rsidRDefault="00DF130E" w:rsidP="002857F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F130E">
              <w:rPr>
                <w:rFonts w:eastAsia="Times New Roman" w:cs="Times New Roman"/>
                <w:sz w:val="18"/>
                <w:szCs w:val="18"/>
              </w:rPr>
              <w:t>420</w:t>
            </w:r>
          </w:p>
        </w:tc>
        <w:tc>
          <w:tcPr>
            <w:tcW w:w="2177" w:type="dxa"/>
            <w:vAlign w:val="center"/>
          </w:tcPr>
          <w:p w14:paraId="6AD799FA" w14:textId="77777777" w:rsidR="00DF130E" w:rsidRPr="00DF130E" w:rsidRDefault="00DF130E" w:rsidP="002857FC">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DF130E" w:rsidRPr="00BE5A52" w14:paraId="5BB78127" w14:textId="77777777" w:rsidTr="002857FC">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14:paraId="2D4F6D34" w14:textId="77777777" w:rsidR="00DF130E" w:rsidRPr="00DF130E" w:rsidRDefault="00DF130E" w:rsidP="002857FC">
            <w:pPr>
              <w:spacing w:before="20" w:after="20" w:line="240" w:lineRule="auto"/>
              <w:rPr>
                <w:rFonts w:eastAsia="Times New Roman" w:cs="Times New Roman"/>
                <w:b w:val="0"/>
                <w:bCs w:val="0"/>
                <w:sz w:val="18"/>
                <w:szCs w:val="18"/>
              </w:rPr>
            </w:pPr>
            <w:r w:rsidRPr="00DF130E">
              <w:rPr>
                <w:rFonts w:eastAsia="Times New Roman" w:cs="Times New Roman"/>
                <w:b w:val="0"/>
                <w:bCs w:val="0"/>
                <w:sz w:val="18"/>
                <w:szCs w:val="18"/>
              </w:rPr>
              <w:t>Ukupan broj zahtjeva na rješavanju</w:t>
            </w:r>
          </w:p>
        </w:tc>
        <w:tc>
          <w:tcPr>
            <w:tcW w:w="2178" w:type="dxa"/>
            <w:hideMark/>
          </w:tcPr>
          <w:p w14:paraId="5B1D26CD" w14:textId="3C015B6E" w:rsidR="00DF130E" w:rsidRPr="00DF130E" w:rsidRDefault="00DF130E" w:rsidP="002857F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DF130E">
              <w:rPr>
                <w:rFonts w:eastAsia="Times New Roman" w:cs="Times New Roman"/>
                <w:sz w:val="18"/>
                <w:szCs w:val="18"/>
              </w:rPr>
              <w:t>444</w:t>
            </w:r>
          </w:p>
        </w:tc>
        <w:tc>
          <w:tcPr>
            <w:tcW w:w="2177" w:type="dxa"/>
            <w:vAlign w:val="center"/>
          </w:tcPr>
          <w:p w14:paraId="0866682F" w14:textId="77777777" w:rsidR="00DF130E" w:rsidRPr="00DF130E" w:rsidRDefault="00DF130E" w:rsidP="002857FC">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DF130E" w:rsidRPr="00BE5A52" w14:paraId="4B2F503E" w14:textId="77777777" w:rsidTr="002857FC">
        <w:trPr>
          <w:cantSplit/>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14:paraId="29E2AA35" w14:textId="77777777" w:rsidR="00DF130E" w:rsidRPr="00DF130E" w:rsidRDefault="00DF130E" w:rsidP="002857FC">
            <w:pPr>
              <w:spacing w:before="20" w:after="20" w:line="240" w:lineRule="auto"/>
              <w:rPr>
                <w:rFonts w:eastAsia="Times New Roman" w:cs="Times New Roman"/>
                <w:b w:val="0"/>
                <w:bCs w:val="0"/>
                <w:sz w:val="18"/>
                <w:szCs w:val="18"/>
              </w:rPr>
            </w:pPr>
            <w:r w:rsidRPr="00DF130E">
              <w:rPr>
                <w:rFonts w:cs="Times New Roman"/>
                <w:b w:val="0"/>
                <w:bCs w:val="0"/>
                <w:sz w:val="18"/>
                <w:szCs w:val="18"/>
              </w:rPr>
              <w:t>Ustupljeno</w:t>
            </w:r>
          </w:p>
        </w:tc>
        <w:tc>
          <w:tcPr>
            <w:tcW w:w="2178" w:type="dxa"/>
            <w:vAlign w:val="center"/>
            <w:hideMark/>
          </w:tcPr>
          <w:p w14:paraId="77A88273" w14:textId="33DBB127" w:rsidR="00DF130E" w:rsidRPr="00DF130E" w:rsidRDefault="00DF130E" w:rsidP="002857F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F130E">
              <w:rPr>
                <w:rFonts w:cs="Times New Roman"/>
                <w:sz w:val="18"/>
                <w:szCs w:val="18"/>
              </w:rPr>
              <w:t>0</w:t>
            </w:r>
          </w:p>
        </w:tc>
        <w:tc>
          <w:tcPr>
            <w:tcW w:w="2177" w:type="dxa"/>
            <w:vAlign w:val="center"/>
          </w:tcPr>
          <w:p w14:paraId="16A175C2" w14:textId="64FAF9AF" w:rsidR="00DF130E" w:rsidRPr="00DF130E" w:rsidRDefault="00DF130E" w:rsidP="002857FC">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F130E">
              <w:rPr>
                <w:rFonts w:eastAsia="Times New Roman" w:cs="Times New Roman"/>
                <w:sz w:val="18"/>
                <w:szCs w:val="18"/>
              </w:rPr>
              <w:t>0%</w:t>
            </w:r>
          </w:p>
        </w:tc>
      </w:tr>
      <w:tr w:rsidR="00DF130E" w:rsidRPr="00BE5A52" w14:paraId="75E49986" w14:textId="77777777" w:rsidTr="002857FC">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tcPr>
          <w:p w14:paraId="71264046" w14:textId="77777777" w:rsidR="00DF130E" w:rsidRPr="00DF130E" w:rsidRDefault="00DF130E" w:rsidP="002857FC">
            <w:pPr>
              <w:spacing w:before="20" w:after="20" w:line="240" w:lineRule="auto"/>
              <w:rPr>
                <w:rFonts w:cs="Times New Roman"/>
                <w:b w:val="0"/>
                <w:bCs w:val="0"/>
                <w:sz w:val="18"/>
                <w:szCs w:val="18"/>
              </w:rPr>
            </w:pPr>
            <w:r w:rsidRPr="00DF130E">
              <w:rPr>
                <w:rFonts w:cs="Times New Roman"/>
                <w:b w:val="0"/>
                <w:bCs w:val="0"/>
                <w:sz w:val="18"/>
                <w:szCs w:val="18"/>
              </w:rPr>
              <w:t>Riješeno</w:t>
            </w:r>
          </w:p>
        </w:tc>
        <w:tc>
          <w:tcPr>
            <w:tcW w:w="2178" w:type="dxa"/>
            <w:vAlign w:val="center"/>
          </w:tcPr>
          <w:p w14:paraId="637CB0E4" w14:textId="6195568D" w:rsidR="00DF130E" w:rsidRPr="00DF130E" w:rsidRDefault="00DF130E" w:rsidP="002857F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DF130E">
              <w:rPr>
                <w:rFonts w:eastAsia="Times New Roman" w:cs="Times New Roman"/>
                <w:sz w:val="18"/>
                <w:szCs w:val="18"/>
              </w:rPr>
              <w:t>423</w:t>
            </w:r>
          </w:p>
        </w:tc>
        <w:tc>
          <w:tcPr>
            <w:tcW w:w="2177" w:type="dxa"/>
            <w:vAlign w:val="center"/>
          </w:tcPr>
          <w:p w14:paraId="419B1795" w14:textId="0EEB7880" w:rsidR="00DF130E" w:rsidRPr="00DF130E" w:rsidRDefault="00DF130E" w:rsidP="002857FC">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DF130E">
              <w:rPr>
                <w:rFonts w:eastAsia="Times New Roman" w:cs="Times New Roman"/>
                <w:sz w:val="18"/>
                <w:szCs w:val="18"/>
              </w:rPr>
              <w:t>95%</w:t>
            </w:r>
          </w:p>
        </w:tc>
      </w:tr>
      <w:tr w:rsidR="00DF130E" w:rsidRPr="00BE5A52" w14:paraId="55243F9B" w14:textId="77777777" w:rsidTr="002857FC">
        <w:trPr>
          <w:cantSplit/>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tcPr>
          <w:p w14:paraId="5DE2A72F" w14:textId="77777777" w:rsidR="00DF130E" w:rsidRPr="00DF130E" w:rsidRDefault="00DF130E" w:rsidP="002857FC">
            <w:pPr>
              <w:spacing w:before="20" w:after="20" w:line="240" w:lineRule="auto"/>
              <w:jc w:val="right"/>
              <w:rPr>
                <w:rFonts w:eastAsia="Times New Roman" w:cs="Times New Roman"/>
                <w:sz w:val="18"/>
                <w:szCs w:val="18"/>
              </w:rPr>
            </w:pPr>
            <w:r w:rsidRPr="00DF130E">
              <w:rPr>
                <w:rFonts w:cs="Times New Roman"/>
                <w:sz w:val="18"/>
                <w:szCs w:val="18"/>
              </w:rPr>
              <w:t>Riješeno u roku</w:t>
            </w:r>
          </w:p>
        </w:tc>
        <w:tc>
          <w:tcPr>
            <w:tcW w:w="2178" w:type="dxa"/>
            <w:vAlign w:val="center"/>
          </w:tcPr>
          <w:p w14:paraId="5B349981" w14:textId="612158F2" w:rsidR="00DF130E" w:rsidRPr="00A11394" w:rsidRDefault="00DF130E" w:rsidP="002857F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A11394">
              <w:rPr>
                <w:rFonts w:cs="Times New Roman"/>
                <w:b/>
                <w:bCs/>
                <w:sz w:val="18"/>
                <w:szCs w:val="18"/>
              </w:rPr>
              <w:t>391</w:t>
            </w:r>
          </w:p>
        </w:tc>
        <w:tc>
          <w:tcPr>
            <w:tcW w:w="2177" w:type="dxa"/>
            <w:vAlign w:val="center"/>
          </w:tcPr>
          <w:p w14:paraId="0BF1C521" w14:textId="774D4E6A" w:rsidR="00DF130E" w:rsidRPr="00DF130E" w:rsidRDefault="00DF130E" w:rsidP="002857FC">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DF130E">
              <w:rPr>
                <w:rFonts w:eastAsia="Times New Roman" w:cs="Times New Roman"/>
                <w:b/>
                <w:bCs/>
                <w:sz w:val="18"/>
                <w:szCs w:val="18"/>
              </w:rPr>
              <w:t>92%</w:t>
            </w:r>
          </w:p>
        </w:tc>
      </w:tr>
      <w:tr w:rsidR="00DF130E" w:rsidRPr="00BE5A52" w14:paraId="0FD54A05" w14:textId="77777777" w:rsidTr="002857FC">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tcPr>
          <w:p w14:paraId="6AA8F51F" w14:textId="77777777" w:rsidR="00DF130E" w:rsidRPr="00DF130E" w:rsidRDefault="00DF130E" w:rsidP="002857FC">
            <w:pPr>
              <w:spacing w:before="20" w:after="20" w:line="240" w:lineRule="auto"/>
              <w:jc w:val="right"/>
              <w:rPr>
                <w:rFonts w:eastAsia="Times New Roman" w:cs="Times New Roman"/>
                <w:b w:val="0"/>
                <w:bCs w:val="0"/>
                <w:sz w:val="18"/>
                <w:szCs w:val="18"/>
              </w:rPr>
            </w:pPr>
            <w:r w:rsidRPr="00DF130E">
              <w:rPr>
                <w:rFonts w:cs="Times New Roman"/>
                <w:b w:val="0"/>
                <w:bCs w:val="0"/>
                <w:sz w:val="18"/>
                <w:szCs w:val="18"/>
              </w:rPr>
              <w:t>Riješeno izvan roka</w:t>
            </w:r>
          </w:p>
        </w:tc>
        <w:tc>
          <w:tcPr>
            <w:tcW w:w="2178" w:type="dxa"/>
            <w:vAlign w:val="center"/>
          </w:tcPr>
          <w:p w14:paraId="6ED0A1F7" w14:textId="5DC5874D" w:rsidR="00DF130E" w:rsidRPr="00DF130E" w:rsidRDefault="00DF130E" w:rsidP="002857F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DF130E">
              <w:rPr>
                <w:rFonts w:eastAsia="Times New Roman" w:cs="Times New Roman"/>
                <w:sz w:val="18"/>
                <w:szCs w:val="18"/>
              </w:rPr>
              <w:t>32</w:t>
            </w:r>
          </w:p>
        </w:tc>
        <w:tc>
          <w:tcPr>
            <w:tcW w:w="2177" w:type="dxa"/>
            <w:vAlign w:val="center"/>
          </w:tcPr>
          <w:p w14:paraId="54E27CA9" w14:textId="53AC1D09" w:rsidR="00DF130E" w:rsidRPr="00DF130E" w:rsidRDefault="00DF130E" w:rsidP="002857FC">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DF130E">
              <w:rPr>
                <w:rFonts w:eastAsia="Times New Roman" w:cs="Times New Roman"/>
                <w:sz w:val="18"/>
                <w:szCs w:val="18"/>
              </w:rPr>
              <w:t>8%</w:t>
            </w:r>
          </w:p>
        </w:tc>
      </w:tr>
      <w:tr w:rsidR="00DF130E" w:rsidRPr="00BE5A52" w14:paraId="09AB9F57" w14:textId="77777777" w:rsidTr="002857FC">
        <w:trPr>
          <w:cantSplit/>
          <w:trHeight w:val="340"/>
        </w:trPr>
        <w:tc>
          <w:tcPr>
            <w:cnfStyle w:val="001000000000" w:firstRow="0" w:lastRow="0" w:firstColumn="1" w:lastColumn="0" w:oddVBand="0" w:evenVBand="0" w:oddHBand="0" w:evenHBand="0" w:firstRowFirstColumn="0" w:firstRowLastColumn="0" w:lastRowFirstColumn="0" w:lastRowLastColumn="0"/>
            <w:tcW w:w="4717" w:type="dxa"/>
            <w:vAlign w:val="center"/>
          </w:tcPr>
          <w:p w14:paraId="04856781" w14:textId="77777777" w:rsidR="00DF130E" w:rsidRPr="00DF130E" w:rsidRDefault="00DF130E" w:rsidP="002857FC">
            <w:pPr>
              <w:spacing w:before="20" w:after="20" w:line="240" w:lineRule="auto"/>
              <w:rPr>
                <w:rFonts w:eastAsia="Times New Roman" w:cs="Times New Roman"/>
                <w:b w:val="0"/>
                <w:bCs w:val="0"/>
                <w:sz w:val="18"/>
                <w:szCs w:val="18"/>
              </w:rPr>
            </w:pPr>
            <w:r w:rsidRPr="00DF130E">
              <w:rPr>
                <w:rFonts w:cs="Times New Roman"/>
                <w:b w:val="0"/>
                <w:bCs w:val="0"/>
                <w:sz w:val="18"/>
                <w:szCs w:val="18"/>
              </w:rPr>
              <w:t>Neriješeno</w:t>
            </w:r>
          </w:p>
        </w:tc>
        <w:tc>
          <w:tcPr>
            <w:tcW w:w="2178" w:type="dxa"/>
            <w:vAlign w:val="center"/>
          </w:tcPr>
          <w:p w14:paraId="0CE0707F" w14:textId="3B5AAF79" w:rsidR="00DF130E" w:rsidRPr="00DF130E" w:rsidRDefault="00DF130E" w:rsidP="002857F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F130E">
              <w:rPr>
                <w:rFonts w:cs="Times New Roman"/>
                <w:sz w:val="18"/>
                <w:szCs w:val="18"/>
              </w:rPr>
              <w:t>21</w:t>
            </w:r>
          </w:p>
        </w:tc>
        <w:tc>
          <w:tcPr>
            <w:tcW w:w="2177" w:type="dxa"/>
            <w:vAlign w:val="center"/>
          </w:tcPr>
          <w:p w14:paraId="19486732" w14:textId="2E84E93B" w:rsidR="00DF130E" w:rsidRPr="00DF130E" w:rsidRDefault="00DF130E" w:rsidP="002857FC">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F130E">
              <w:rPr>
                <w:rFonts w:eastAsia="Times New Roman" w:cs="Times New Roman"/>
                <w:sz w:val="18"/>
                <w:szCs w:val="18"/>
              </w:rPr>
              <w:t>5%</w:t>
            </w:r>
          </w:p>
        </w:tc>
      </w:tr>
    </w:tbl>
    <w:p w14:paraId="02ABA826" w14:textId="218FDD7F" w:rsidR="00DF130E" w:rsidRPr="0098142F" w:rsidRDefault="00DF130E" w:rsidP="00DF130E">
      <w:r w:rsidRPr="0098142F">
        <w:lastRenderedPageBreak/>
        <w:t xml:space="preserve">Tijela su izvijestila da </w:t>
      </w:r>
      <w:r w:rsidR="007A53E4">
        <w:t>su</w:t>
      </w:r>
      <w:r w:rsidRPr="0098142F">
        <w:t xml:space="preserve"> </w:t>
      </w:r>
      <w:r>
        <w:t>423</w:t>
      </w:r>
      <w:r w:rsidRPr="0098142F">
        <w:t xml:space="preserve"> zahtjeva za dopunu ili ispravak informacije riješ</w:t>
      </w:r>
      <w:r w:rsidR="007A53E4">
        <w:t>ila</w:t>
      </w:r>
      <w:r w:rsidRPr="0098142F">
        <w:t xml:space="preserve">, i to </w:t>
      </w:r>
      <w:r>
        <w:t xml:space="preserve">391 (92%) </w:t>
      </w:r>
      <w:r w:rsidRPr="0098142F">
        <w:t xml:space="preserve">zahtjev u </w:t>
      </w:r>
      <w:r>
        <w:t xml:space="preserve">zakonskom </w:t>
      </w:r>
      <w:r w:rsidRPr="0098142F">
        <w:t xml:space="preserve">roku i </w:t>
      </w:r>
      <w:r>
        <w:t>32</w:t>
      </w:r>
      <w:r w:rsidRPr="0098142F">
        <w:t xml:space="preserve"> izvan roka, dok </w:t>
      </w:r>
      <w:r>
        <w:t>21</w:t>
      </w:r>
      <w:r w:rsidRPr="0098142F">
        <w:t xml:space="preserve"> zahtjev nije riješen.</w:t>
      </w:r>
    </w:p>
    <w:p w14:paraId="0E5E5CE0" w14:textId="77777777" w:rsidR="00DF130E" w:rsidRDefault="00DF130E" w:rsidP="00DF130E">
      <w:pPr>
        <w:rPr>
          <w:sz w:val="23"/>
          <w:szCs w:val="23"/>
        </w:rPr>
      </w:pPr>
      <w:r w:rsidRPr="0098142F">
        <w:t xml:space="preserve">Što se tiče načina rješavanja, </w:t>
      </w:r>
      <w:r>
        <w:t>312</w:t>
      </w:r>
      <w:r w:rsidRPr="0098142F">
        <w:t xml:space="preserve"> (7</w:t>
      </w:r>
      <w:r>
        <w:t>7</w:t>
      </w:r>
      <w:r w:rsidRPr="0098142F">
        <w:t>%) zahtjeva je usvojeno</w:t>
      </w:r>
      <w:r>
        <w:t>,</w:t>
      </w:r>
      <w:r w:rsidRPr="0098142F">
        <w:t xml:space="preserve"> </w:t>
      </w:r>
      <w:r>
        <w:t>26</w:t>
      </w:r>
      <w:r w:rsidRPr="0098142F">
        <w:t xml:space="preserve"> </w:t>
      </w:r>
      <w:r>
        <w:t xml:space="preserve">(6%) </w:t>
      </w:r>
      <w:r w:rsidRPr="0098142F">
        <w:t>djelomično usvojeno</w:t>
      </w:r>
      <w:r>
        <w:t>,</w:t>
      </w:r>
      <w:r w:rsidRPr="0098142F">
        <w:t xml:space="preserve"> </w:t>
      </w:r>
      <w:r>
        <w:t>56</w:t>
      </w:r>
      <w:r w:rsidRPr="0098142F">
        <w:t xml:space="preserve"> </w:t>
      </w:r>
      <w:r>
        <w:t xml:space="preserve">(13%) </w:t>
      </w:r>
      <w:r w:rsidRPr="0098142F">
        <w:t xml:space="preserve">odbijeno i </w:t>
      </w:r>
      <w:r>
        <w:t>19 (4%)</w:t>
      </w:r>
      <w:r w:rsidRPr="0098142F">
        <w:t xml:space="preserve"> (djelomično) odbačeno</w:t>
      </w:r>
      <w:r w:rsidRPr="00F0315E">
        <w:rPr>
          <w:sz w:val="23"/>
          <w:szCs w:val="23"/>
        </w:rPr>
        <w:t>.</w:t>
      </w:r>
    </w:p>
    <w:p w14:paraId="08C50436" w14:textId="77777777" w:rsidR="00FD3A68" w:rsidRPr="00F0315E" w:rsidRDefault="00FD3A68" w:rsidP="009032D7">
      <w:pPr>
        <w:pStyle w:val="Naslov3"/>
        <w:ind w:left="1985"/>
      </w:pPr>
      <w:bookmarkStart w:id="32" w:name="_Toc225865562"/>
      <w:r>
        <w:t>Zahtjevi za ponovnu uporabu informacija</w:t>
      </w:r>
      <w:bookmarkEnd w:id="31"/>
      <w:bookmarkEnd w:id="32"/>
      <w:r>
        <w:t xml:space="preserve"> </w:t>
      </w:r>
    </w:p>
    <w:p w14:paraId="072B9DC1" w14:textId="502B2736" w:rsidR="00DF130E" w:rsidRDefault="00DF130E" w:rsidP="00DF130E">
      <w:pPr>
        <w:spacing w:before="240"/>
        <w:rPr>
          <w:rFonts w:cs="Arial"/>
        </w:rPr>
      </w:pPr>
      <w:r w:rsidRPr="0098142F">
        <w:rPr>
          <w:rFonts w:cs="Arial"/>
        </w:rPr>
        <w:t xml:space="preserve">Prema podacima iz izvješća, </w:t>
      </w:r>
      <w:r w:rsidRPr="00AD75C2">
        <w:rPr>
          <w:rFonts w:cs="Arial"/>
        </w:rPr>
        <w:t>2</w:t>
      </w:r>
      <w:r>
        <w:rPr>
          <w:rFonts w:cs="Arial"/>
        </w:rPr>
        <w:t>9</w:t>
      </w:r>
      <w:r w:rsidRPr="0098142F">
        <w:rPr>
          <w:rFonts w:cs="Arial"/>
        </w:rPr>
        <w:t xml:space="preserve"> tijela je izvijestilo da je zaprimilo </w:t>
      </w:r>
      <w:r>
        <w:rPr>
          <w:rFonts w:cs="Arial"/>
        </w:rPr>
        <w:t xml:space="preserve">1.356 </w:t>
      </w:r>
      <w:r w:rsidRPr="0098142F">
        <w:rPr>
          <w:rFonts w:cs="Arial"/>
        </w:rPr>
        <w:t xml:space="preserve">zahtjeva za ponovnu uporabu informacija, što predstavlja </w:t>
      </w:r>
      <w:r>
        <w:rPr>
          <w:rFonts w:cs="Arial"/>
        </w:rPr>
        <w:t xml:space="preserve">smanjenje </w:t>
      </w:r>
      <w:r w:rsidRPr="0098142F">
        <w:rPr>
          <w:rFonts w:cs="Arial"/>
        </w:rPr>
        <w:t>u odnosu na 202</w:t>
      </w:r>
      <w:r>
        <w:rPr>
          <w:rFonts w:cs="Arial"/>
        </w:rPr>
        <w:t>4</w:t>
      </w:r>
      <w:r w:rsidRPr="0098142F">
        <w:rPr>
          <w:rFonts w:cs="Arial"/>
        </w:rPr>
        <w:t xml:space="preserve">. godinu, kada je </w:t>
      </w:r>
      <w:r>
        <w:rPr>
          <w:rFonts w:cs="Arial"/>
        </w:rPr>
        <w:t>31</w:t>
      </w:r>
      <w:r w:rsidRPr="0098142F">
        <w:rPr>
          <w:rFonts w:cs="Arial"/>
        </w:rPr>
        <w:t xml:space="preserve"> tijel</w:t>
      </w:r>
      <w:r>
        <w:rPr>
          <w:rFonts w:cs="Arial"/>
        </w:rPr>
        <w:t>o</w:t>
      </w:r>
      <w:r w:rsidRPr="0098142F">
        <w:rPr>
          <w:rFonts w:cs="Arial"/>
        </w:rPr>
        <w:t xml:space="preserve"> zaprimilo </w:t>
      </w:r>
      <w:r>
        <w:rPr>
          <w:rFonts w:cs="Arial"/>
        </w:rPr>
        <w:t>1.548</w:t>
      </w:r>
      <w:r w:rsidRPr="0098142F">
        <w:rPr>
          <w:rFonts w:cs="Arial"/>
        </w:rPr>
        <w:t xml:space="preserve"> zahtjeva</w:t>
      </w:r>
      <w:r w:rsidR="00C151FD">
        <w:rPr>
          <w:rFonts w:cs="Arial"/>
        </w:rPr>
        <w:t>.</w:t>
      </w:r>
      <w:r w:rsidRPr="006A4705">
        <w:rPr>
          <w:rFonts w:cs="Arial"/>
        </w:rPr>
        <w:t xml:space="preserve"> </w:t>
      </w:r>
      <w:r w:rsidR="00C151FD">
        <w:rPr>
          <w:rFonts w:cs="Arial"/>
        </w:rPr>
        <w:t xml:space="preserve">U 2025. </w:t>
      </w:r>
      <w:r>
        <w:rPr>
          <w:rFonts w:cs="Arial"/>
        </w:rPr>
        <w:t>63</w:t>
      </w:r>
      <w:r w:rsidRPr="0098142F">
        <w:rPr>
          <w:rFonts w:cs="Arial"/>
        </w:rPr>
        <w:t xml:space="preserve"> </w:t>
      </w:r>
      <w:r w:rsidR="00173F48">
        <w:rPr>
          <w:rFonts w:cs="Arial"/>
        </w:rPr>
        <w:t xml:space="preserve">zahtjeva </w:t>
      </w:r>
      <w:r w:rsidRPr="0098142F">
        <w:rPr>
          <w:rFonts w:cs="Arial"/>
        </w:rPr>
        <w:t>ustupljeno</w:t>
      </w:r>
      <w:r w:rsidR="00173F48">
        <w:rPr>
          <w:rFonts w:cs="Arial"/>
        </w:rPr>
        <w:t xml:space="preserve"> je</w:t>
      </w:r>
      <w:r w:rsidRPr="0098142F">
        <w:rPr>
          <w:rFonts w:cs="Arial"/>
        </w:rPr>
        <w:t xml:space="preserve"> drugim tijelima na nadležno rješavanje.</w:t>
      </w:r>
    </w:p>
    <w:p w14:paraId="17EF03F6" w14:textId="308050E1" w:rsidR="00DF130E" w:rsidRDefault="00DF130E" w:rsidP="00DF130E">
      <w:pPr>
        <w:keepNext/>
        <w:widowControl w:val="0"/>
        <w:spacing w:before="240"/>
        <w:rPr>
          <w:rFonts w:cs="Arial"/>
          <w:sz w:val="18"/>
          <w:szCs w:val="18"/>
        </w:rPr>
      </w:pPr>
      <w:r w:rsidRPr="005A7B9E">
        <w:rPr>
          <w:rFonts w:cs="Arial"/>
          <w:sz w:val="18"/>
          <w:szCs w:val="18"/>
        </w:rPr>
        <w:t>Tablica 3.</w:t>
      </w:r>
      <w:r w:rsidR="005A7B9E" w:rsidRPr="005A7B9E">
        <w:rPr>
          <w:rFonts w:cs="Arial"/>
          <w:sz w:val="18"/>
          <w:szCs w:val="18"/>
        </w:rPr>
        <w:t>8</w:t>
      </w:r>
      <w:r w:rsidRPr="005A7B9E">
        <w:rPr>
          <w:rFonts w:cs="Arial"/>
          <w:sz w:val="18"/>
          <w:szCs w:val="18"/>
        </w:rPr>
        <w:t xml:space="preserve">. Rješavanje zahtjeva za ponovnu uporabu informacija u 2025. godini </w:t>
      </w:r>
    </w:p>
    <w:tbl>
      <w:tblPr>
        <w:tblStyle w:val="Tablicareetke2-isticanje1"/>
        <w:tblW w:w="4971" w:type="pct"/>
        <w:tblLook w:val="04A0" w:firstRow="1" w:lastRow="0" w:firstColumn="1" w:lastColumn="0" w:noHBand="0" w:noVBand="1"/>
      </w:tblPr>
      <w:tblGrid>
        <w:gridCol w:w="4690"/>
        <w:gridCol w:w="2165"/>
        <w:gridCol w:w="2164"/>
      </w:tblGrid>
      <w:tr w:rsidR="00DF130E" w:rsidRPr="001C4409" w14:paraId="58611CCA" w14:textId="77777777" w:rsidTr="002857F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0" w:type="dxa"/>
            <w:tcBorders>
              <w:top w:val="single" w:sz="18" w:space="0" w:color="9CC2E5" w:themeColor="accent5" w:themeTint="99"/>
              <w:right w:val="single" w:sz="8" w:space="0" w:color="9CC2E5" w:themeColor="accent5" w:themeTint="99"/>
            </w:tcBorders>
            <w:vAlign w:val="center"/>
          </w:tcPr>
          <w:p w14:paraId="4777B75A" w14:textId="11C73216" w:rsidR="00DF130E" w:rsidRPr="001C4409" w:rsidRDefault="00DF130E" w:rsidP="002857FC">
            <w:pPr>
              <w:spacing w:before="20" w:after="20" w:line="240" w:lineRule="auto"/>
              <w:rPr>
                <w:rFonts w:eastAsia="Times New Roman" w:cs="Times New Roman"/>
                <w:sz w:val="18"/>
                <w:szCs w:val="18"/>
              </w:rPr>
            </w:pPr>
            <w:r w:rsidRPr="001C4409">
              <w:rPr>
                <w:rFonts w:eastAsia="Times New Roman" w:cs="Times New Roman"/>
                <w:sz w:val="18"/>
                <w:szCs w:val="18"/>
              </w:rPr>
              <w:t>Zahtjevi za ponovnu uporabu informacija</w:t>
            </w:r>
          </w:p>
        </w:tc>
        <w:tc>
          <w:tcPr>
            <w:tcW w:w="2165" w:type="dxa"/>
            <w:tcBorders>
              <w:top w:val="single" w:sz="18" w:space="0" w:color="9CC2E5" w:themeColor="accent5" w:themeTint="99"/>
              <w:left w:val="single" w:sz="8" w:space="0" w:color="9CC2E5" w:themeColor="accent5" w:themeTint="99"/>
              <w:right w:val="single" w:sz="8" w:space="0" w:color="9CC2E5" w:themeColor="accent5" w:themeTint="99"/>
            </w:tcBorders>
            <w:vAlign w:val="center"/>
          </w:tcPr>
          <w:p w14:paraId="56C1E05E" w14:textId="77777777" w:rsidR="00DF130E" w:rsidRPr="001C4409" w:rsidRDefault="00DF130E" w:rsidP="002857F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18"/>
                <w:szCs w:val="18"/>
              </w:rPr>
            </w:pPr>
            <w:r w:rsidRPr="001C4409">
              <w:rPr>
                <w:rFonts w:eastAsia="Times New Roman" w:cs="Times New Roman"/>
                <w:i/>
                <w:iCs/>
                <w:sz w:val="18"/>
                <w:szCs w:val="18"/>
              </w:rPr>
              <w:t>n</w:t>
            </w:r>
          </w:p>
        </w:tc>
        <w:tc>
          <w:tcPr>
            <w:tcW w:w="2164" w:type="dxa"/>
            <w:tcBorders>
              <w:top w:val="single" w:sz="18" w:space="0" w:color="9CC2E5" w:themeColor="accent5" w:themeTint="99"/>
              <w:left w:val="single" w:sz="8" w:space="0" w:color="9CC2E5" w:themeColor="accent5" w:themeTint="99"/>
            </w:tcBorders>
            <w:vAlign w:val="center"/>
          </w:tcPr>
          <w:p w14:paraId="66C96CD5" w14:textId="77777777" w:rsidR="00DF130E" w:rsidRPr="001C4409" w:rsidRDefault="00DF130E" w:rsidP="002857F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18"/>
                <w:szCs w:val="18"/>
              </w:rPr>
            </w:pPr>
            <w:r w:rsidRPr="001C4409">
              <w:rPr>
                <w:rFonts w:eastAsia="Times New Roman" w:cs="Times New Roman"/>
                <w:i/>
                <w:iCs/>
                <w:sz w:val="18"/>
                <w:szCs w:val="18"/>
              </w:rPr>
              <w:t>%</w:t>
            </w:r>
          </w:p>
        </w:tc>
      </w:tr>
      <w:tr w:rsidR="00DF130E" w:rsidRPr="001C4409" w14:paraId="59396D35" w14:textId="77777777" w:rsidTr="002857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0" w:type="dxa"/>
            <w:vAlign w:val="center"/>
            <w:hideMark/>
          </w:tcPr>
          <w:p w14:paraId="209A636D" w14:textId="77777777" w:rsidR="00DF130E" w:rsidRPr="001C4409" w:rsidRDefault="00DF130E" w:rsidP="002857FC">
            <w:pPr>
              <w:spacing w:before="20" w:after="20" w:line="240" w:lineRule="auto"/>
              <w:rPr>
                <w:rFonts w:eastAsia="Times New Roman" w:cs="Times New Roman"/>
                <w:b w:val="0"/>
                <w:bCs w:val="0"/>
                <w:sz w:val="18"/>
                <w:szCs w:val="18"/>
              </w:rPr>
            </w:pPr>
            <w:r w:rsidRPr="001C4409">
              <w:rPr>
                <w:rFonts w:eastAsia="Times New Roman" w:cs="Times New Roman"/>
                <w:b w:val="0"/>
                <w:bCs w:val="0"/>
                <w:sz w:val="18"/>
                <w:szCs w:val="18"/>
              </w:rPr>
              <w:t xml:space="preserve">Broj prenesenih zahtjeva iz </w:t>
            </w:r>
            <w:r w:rsidRPr="001C4409">
              <w:rPr>
                <w:rFonts w:cs="Times New Roman"/>
                <w:b w:val="0"/>
                <w:bCs w:val="0"/>
                <w:sz w:val="18"/>
                <w:szCs w:val="18"/>
              </w:rPr>
              <w:t>2024.</w:t>
            </w:r>
          </w:p>
        </w:tc>
        <w:tc>
          <w:tcPr>
            <w:tcW w:w="2165" w:type="dxa"/>
            <w:vAlign w:val="center"/>
            <w:hideMark/>
          </w:tcPr>
          <w:p w14:paraId="5DE5119B" w14:textId="730543F1" w:rsidR="00DF130E" w:rsidRPr="001C4409" w:rsidRDefault="00DF130E" w:rsidP="002857F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1C4409">
              <w:rPr>
                <w:rFonts w:eastAsia="Times New Roman" w:cs="Times New Roman"/>
                <w:sz w:val="18"/>
                <w:szCs w:val="18"/>
              </w:rPr>
              <w:t>7</w:t>
            </w:r>
          </w:p>
        </w:tc>
        <w:tc>
          <w:tcPr>
            <w:tcW w:w="2164" w:type="dxa"/>
            <w:vAlign w:val="center"/>
          </w:tcPr>
          <w:p w14:paraId="37E14C50" w14:textId="77777777" w:rsidR="00DF130E" w:rsidRPr="001C4409" w:rsidRDefault="00DF130E" w:rsidP="002857FC">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DF130E" w:rsidRPr="001C4409" w14:paraId="16161E3F" w14:textId="77777777" w:rsidTr="002857FC">
        <w:trPr>
          <w:trHeight w:val="340"/>
        </w:trPr>
        <w:tc>
          <w:tcPr>
            <w:cnfStyle w:val="001000000000" w:firstRow="0" w:lastRow="0" w:firstColumn="1" w:lastColumn="0" w:oddVBand="0" w:evenVBand="0" w:oddHBand="0" w:evenHBand="0" w:firstRowFirstColumn="0" w:firstRowLastColumn="0" w:lastRowFirstColumn="0" w:lastRowLastColumn="0"/>
            <w:tcW w:w="4690" w:type="dxa"/>
            <w:vAlign w:val="center"/>
            <w:hideMark/>
          </w:tcPr>
          <w:p w14:paraId="0B1F636C" w14:textId="77777777" w:rsidR="00DF130E" w:rsidRPr="001C4409" w:rsidRDefault="00DF130E" w:rsidP="002857FC">
            <w:pPr>
              <w:spacing w:before="20" w:after="20" w:line="240" w:lineRule="auto"/>
              <w:rPr>
                <w:rFonts w:eastAsia="Times New Roman" w:cs="Times New Roman"/>
                <w:b w:val="0"/>
                <w:bCs w:val="0"/>
                <w:sz w:val="18"/>
                <w:szCs w:val="18"/>
              </w:rPr>
            </w:pPr>
            <w:r w:rsidRPr="001C4409">
              <w:rPr>
                <w:rFonts w:eastAsia="Times New Roman" w:cs="Times New Roman"/>
                <w:b w:val="0"/>
                <w:bCs w:val="0"/>
                <w:sz w:val="18"/>
                <w:szCs w:val="18"/>
              </w:rPr>
              <w:t xml:space="preserve">Broj zaprimljenih zahtjeva </w:t>
            </w:r>
          </w:p>
        </w:tc>
        <w:tc>
          <w:tcPr>
            <w:tcW w:w="2165" w:type="dxa"/>
            <w:vAlign w:val="center"/>
            <w:hideMark/>
          </w:tcPr>
          <w:p w14:paraId="4E35DF8E" w14:textId="7072B546" w:rsidR="00DF130E" w:rsidRPr="001C4409" w:rsidRDefault="00DF130E" w:rsidP="002857F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1C4409">
              <w:rPr>
                <w:rFonts w:eastAsia="Times New Roman" w:cs="Times New Roman"/>
                <w:sz w:val="18"/>
                <w:szCs w:val="18"/>
              </w:rPr>
              <w:t>1.356</w:t>
            </w:r>
          </w:p>
        </w:tc>
        <w:tc>
          <w:tcPr>
            <w:tcW w:w="2164" w:type="dxa"/>
            <w:vAlign w:val="center"/>
          </w:tcPr>
          <w:p w14:paraId="03CE22B5" w14:textId="77777777" w:rsidR="00DF130E" w:rsidRPr="001C4409" w:rsidRDefault="00DF130E" w:rsidP="002857FC">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DF130E" w:rsidRPr="001C4409" w14:paraId="33D9B711" w14:textId="77777777" w:rsidTr="002857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0" w:type="dxa"/>
            <w:vAlign w:val="center"/>
            <w:hideMark/>
          </w:tcPr>
          <w:p w14:paraId="69931BF8" w14:textId="77777777" w:rsidR="00DF130E" w:rsidRPr="001C4409" w:rsidRDefault="00DF130E" w:rsidP="002857FC">
            <w:pPr>
              <w:spacing w:before="20" w:after="20" w:line="240" w:lineRule="auto"/>
              <w:rPr>
                <w:rFonts w:eastAsia="Times New Roman" w:cs="Times New Roman"/>
                <w:b w:val="0"/>
                <w:bCs w:val="0"/>
                <w:sz w:val="18"/>
                <w:szCs w:val="18"/>
              </w:rPr>
            </w:pPr>
            <w:r w:rsidRPr="001C4409">
              <w:rPr>
                <w:rFonts w:eastAsia="Times New Roman" w:cs="Times New Roman"/>
                <w:b w:val="0"/>
                <w:bCs w:val="0"/>
                <w:sz w:val="18"/>
                <w:szCs w:val="18"/>
              </w:rPr>
              <w:t>Ukupan broj zahtjeva na rješavanju</w:t>
            </w:r>
          </w:p>
        </w:tc>
        <w:tc>
          <w:tcPr>
            <w:tcW w:w="2165" w:type="dxa"/>
            <w:vAlign w:val="center"/>
            <w:hideMark/>
          </w:tcPr>
          <w:p w14:paraId="4BA4E511" w14:textId="73E9BECD" w:rsidR="00DF130E" w:rsidRPr="001C4409" w:rsidRDefault="00DF130E" w:rsidP="002857F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1C4409">
              <w:rPr>
                <w:rFonts w:eastAsia="Times New Roman" w:cs="Times New Roman"/>
                <w:sz w:val="18"/>
                <w:szCs w:val="18"/>
              </w:rPr>
              <w:t>1.363</w:t>
            </w:r>
          </w:p>
        </w:tc>
        <w:tc>
          <w:tcPr>
            <w:tcW w:w="2164" w:type="dxa"/>
            <w:vAlign w:val="center"/>
          </w:tcPr>
          <w:p w14:paraId="0FF48D34" w14:textId="77777777" w:rsidR="00DF130E" w:rsidRPr="001C4409" w:rsidRDefault="00DF130E" w:rsidP="002857FC">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011D81" w:rsidRPr="001C4409" w14:paraId="5E1676F6" w14:textId="77777777" w:rsidTr="002857FC">
        <w:trPr>
          <w:trHeight w:val="340"/>
        </w:trPr>
        <w:tc>
          <w:tcPr>
            <w:cnfStyle w:val="001000000000" w:firstRow="0" w:lastRow="0" w:firstColumn="1" w:lastColumn="0" w:oddVBand="0" w:evenVBand="0" w:oddHBand="0" w:evenHBand="0" w:firstRowFirstColumn="0" w:firstRowLastColumn="0" w:lastRowFirstColumn="0" w:lastRowLastColumn="0"/>
            <w:tcW w:w="4690" w:type="dxa"/>
            <w:vAlign w:val="center"/>
            <w:hideMark/>
          </w:tcPr>
          <w:p w14:paraId="4250E356" w14:textId="77777777" w:rsidR="00011D81" w:rsidRPr="001C4409" w:rsidRDefault="00011D81" w:rsidP="002857FC">
            <w:pPr>
              <w:spacing w:before="20" w:after="20" w:line="240" w:lineRule="auto"/>
              <w:rPr>
                <w:rFonts w:eastAsia="Times New Roman" w:cs="Times New Roman"/>
                <w:b w:val="0"/>
                <w:bCs w:val="0"/>
                <w:sz w:val="18"/>
                <w:szCs w:val="18"/>
              </w:rPr>
            </w:pPr>
            <w:r w:rsidRPr="001C4409">
              <w:rPr>
                <w:rFonts w:cs="Times New Roman"/>
                <w:b w:val="0"/>
                <w:bCs w:val="0"/>
                <w:sz w:val="18"/>
                <w:szCs w:val="18"/>
              </w:rPr>
              <w:t>Ustupljeno</w:t>
            </w:r>
          </w:p>
        </w:tc>
        <w:tc>
          <w:tcPr>
            <w:tcW w:w="2165" w:type="dxa"/>
            <w:vAlign w:val="center"/>
            <w:hideMark/>
          </w:tcPr>
          <w:p w14:paraId="342E441E" w14:textId="28397A7D" w:rsidR="00011D81" w:rsidRPr="001C4409" w:rsidRDefault="00011D81" w:rsidP="002857F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1C4409">
              <w:rPr>
                <w:rFonts w:cs="Times New Roman"/>
                <w:sz w:val="18"/>
                <w:szCs w:val="18"/>
              </w:rPr>
              <w:t>63</w:t>
            </w:r>
          </w:p>
        </w:tc>
        <w:tc>
          <w:tcPr>
            <w:tcW w:w="2164" w:type="dxa"/>
            <w:vAlign w:val="center"/>
          </w:tcPr>
          <w:p w14:paraId="6DF7FF9F" w14:textId="2F8A2630" w:rsidR="00011D81" w:rsidRPr="001C4409" w:rsidRDefault="00011D81" w:rsidP="002857FC">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1C4409">
              <w:rPr>
                <w:rFonts w:eastAsia="Times New Roman" w:cs="Times New Roman"/>
                <w:sz w:val="18"/>
                <w:szCs w:val="18"/>
              </w:rPr>
              <w:t>4,5%</w:t>
            </w:r>
          </w:p>
        </w:tc>
      </w:tr>
      <w:tr w:rsidR="00011D81" w:rsidRPr="001C4409" w14:paraId="00351F8F" w14:textId="77777777" w:rsidTr="002857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0" w:type="dxa"/>
            <w:vAlign w:val="center"/>
          </w:tcPr>
          <w:p w14:paraId="1EDEB37B" w14:textId="77777777" w:rsidR="00011D81" w:rsidRPr="001C4409" w:rsidRDefault="00011D81" w:rsidP="002857FC">
            <w:pPr>
              <w:spacing w:before="20" w:after="20" w:line="240" w:lineRule="auto"/>
              <w:rPr>
                <w:rFonts w:cs="Times New Roman"/>
                <w:b w:val="0"/>
                <w:bCs w:val="0"/>
                <w:sz w:val="18"/>
                <w:szCs w:val="18"/>
              </w:rPr>
            </w:pPr>
            <w:r w:rsidRPr="001C4409">
              <w:rPr>
                <w:rFonts w:cs="Times New Roman"/>
                <w:b w:val="0"/>
                <w:bCs w:val="0"/>
                <w:sz w:val="18"/>
                <w:szCs w:val="18"/>
              </w:rPr>
              <w:t>Riješeno</w:t>
            </w:r>
          </w:p>
        </w:tc>
        <w:tc>
          <w:tcPr>
            <w:tcW w:w="2165" w:type="dxa"/>
            <w:vAlign w:val="center"/>
          </w:tcPr>
          <w:p w14:paraId="60982FAD" w14:textId="1705C4C7" w:rsidR="00011D81" w:rsidRPr="001C4409" w:rsidRDefault="00011D81" w:rsidP="002857F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1C4409">
              <w:rPr>
                <w:rFonts w:cs="Times New Roman"/>
                <w:sz w:val="18"/>
                <w:szCs w:val="18"/>
              </w:rPr>
              <w:t>1.293</w:t>
            </w:r>
          </w:p>
        </w:tc>
        <w:tc>
          <w:tcPr>
            <w:tcW w:w="2164" w:type="dxa"/>
            <w:vAlign w:val="center"/>
          </w:tcPr>
          <w:p w14:paraId="4969F051" w14:textId="5C16BAE8" w:rsidR="00011D81" w:rsidRPr="001C4409" w:rsidRDefault="00011D81" w:rsidP="002857FC">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1C4409">
              <w:rPr>
                <w:rFonts w:eastAsia="Times New Roman" w:cs="Times New Roman"/>
                <w:sz w:val="18"/>
                <w:szCs w:val="18"/>
              </w:rPr>
              <w:t>95%</w:t>
            </w:r>
          </w:p>
        </w:tc>
      </w:tr>
      <w:tr w:rsidR="00011D81" w:rsidRPr="001C4409" w14:paraId="20A1D9E4" w14:textId="77777777" w:rsidTr="002857FC">
        <w:trPr>
          <w:trHeight w:val="340"/>
        </w:trPr>
        <w:tc>
          <w:tcPr>
            <w:cnfStyle w:val="001000000000" w:firstRow="0" w:lastRow="0" w:firstColumn="1" w:lastColumn="0" w:oddVBand="0" w:evenVBand="0" w:oddHBand="0" w:evenHBand="0" w:firstRowFirstColumn="0" w:firstRowLastColumn="0" w:lastRowFirstColumn="0" w:lastRowLastColumn="0"/>
            <w:tcW w:w="4690" w:type="dxa"/>
            <w:vAlign w:val="center"/>
          </w:tcPr>
          <w:p w14:paraId="1108530B" w14:textId="77777777" w:rsidR="00011D81" w:rsidRPr="001C4409" w:rsidRDefault="00011D81" w:rsidP="002857FC">
            <w:pPr>
              <w:spacing w:before="20" w:after="20" w:line="240" w:lineRule="auto"/>
              <w:jc w:val="right"/>
              <w:rPr>
                <w:rFonts w:eastAsia="Times New Roman" w:cs="Times New Roman"/>
                <w:sz w:val="18"/>
                <w:szCs w:val="18"/>
              </w:rPr>
            </w:pPr>
            <w:r w:rsidRPr="001C4409">
              <w:rPr>
                <w:rFonts w:cs="Times New Roman"/>
                <w:sz w:val="18"/>
                <w:szCs w:val="18"/>
              </w:rPr>
              <w:t>Riješeno u roku</w:t>
            </w:r>
          </w:p>
        </w:tc>
        <w:tc>
          <w:tcPr>
            <w:tcW w:w="2165" w:type="dxa"/>
            <w:vAlign w:val="center"/>
          </w:tcPr>
          <w:p w14:paraId="07669947" w14:textId="586E28D1" w:rsidR="00011D81" w:rsidRPr="00A11394" w:rsidRDefault="00011D81" w:rsidP="002857F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A11394">
              <w:rPr>
                <w:rFonts w:cs="Times New Roman"/>
                <w:b/>
                <w:bCs/>
                <w:sz w:val="18"/>
                <w:szCs w:val="18"/>
              </w:rPr>
              <w:t>1.287</w:t>
            </w:r>
          </w:p>
        </w:tc>
        <w:tc>
          <w:tcPr>
            <w:tcW w:w="2164" w:type="dxa"/>
            <w:vAlign w:val="center"/>
          </w:tcPr>
          <w:p w14:paraId="0612F732" w14:textId="242CC5E7" w:rsidR="00011D81" w:rsidRPr="001C4409" w:rsidRDefault="00011D81" w:rsidP="002857FC">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1C4409">
              <w:rPr>
                <w:rFonts w:eastAsia="Times New Roman" w:cs="Times New Roman"/>
                <w:b/>
                <w:bCs/>
                <w:sz w:val="18"/>
                <w:szCs w:val="18"/>
              </w:rPr>
              <w:t>99,5%</w:t>
            </w:r>
          </w:p>
        </w:tc>
      </w:tr>
      <w:tr w:rsidR="00011D81" w:rsidRPr="001C4409" w14:paraId="12166EEB" w14:textId="77777777" w:rsidTr="002857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0" w:type="dxa"/>
            <w:vAlign w:val="center"/>
          </w:tcPr>
          <w:p w14:paraId="7C30C99C" w14:textId="77777777" w:rsidR="00011D81" w:rsidRPr="001C4409" w:rsidRDefault="00011D81" w:rsidP="002857FC">
            <w:pPr>
              <w:spacing w:before="20" w:after="20" w:line="240" w:lineRule="auto"/>
              <w:jc w:val="right"/>
              <w:rPr>
                <w:rFonts w:eastAsia="Times New Roman" w:cs="Times New Roman"/>
                <w:b w:val="0"/>
                <w:bCs w:val="0"/>
                <w:sz w:val="18"/>
                <w:szCs w:val="18"/>
              </w:rPr>
            </w:pPr>
            <w:r w:rsidRPr="001C4409">
              <w:rPr>
                <w:rFonts w:cs="Times New Roman"/>
                <w:b w:val="0"/>
                <w:bCs w:val="0"/>
                <w:sz w:val="18"/>
                <w:szCs w:val="18"/>
              </w:rPr>
              <w:t>Riješeno izvan roka</w:t>
            </w:r>
          </w:p>
        </w:tc>
        <w:tc>
          <w:tcPr>
            <w:tcW w:w="2165" w:type="dxa"/>
            <w:vAlign w:val="center"/>
          </w:tcPr>
          <w:p w14:paraId="76B36A84" w14:textId="713D6A9C" w:rsidR="00011D81" w:rsidRPr="001C4409" w:rsidRDefault="00011D81" w:rsidP="002857F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1C4409">
              <w:rPr>
                <w:rFonts w:cs="Times New Roman"/>
                <w:sz w:val="18"/>
                <w:szCs w:val="18"/>
              </w:rPr>
              <w:t>6</w:t>
            </w:r>
          </w:p>
        </w:tc>
        <w:tc>
          <w:tcPr>
            <w:tcW w:w="2164" w:type="dxa"/>
            <w:vAlign w:val="center"/>
          </w:tcPr>
          <w:p w14:paraId="5C0A4C1A" w14:textId="3364A59B" w:rsidR="00011D81" w:rsidRPr="001C4409" w:rsidRDefault="00011D81" w:rsidP="002857FC">
            <w:pPr>
              <w:spacing w:before="20" w:after="20" w:line="240" w:lineRule="auto"/>
              <w:ind w:right="32"/>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1C4409">
              <w:rPr>
                <w:rFonts w:eastAsia="Times New Roman" w:cs="Times New Roman"/>
                <w:sz w:val="18"/>
                <w:szCs w:val="18"/>
              </w:rPr>
              <w:t>0,5%</w:t>
            </w:r>
          </w:p>
        </w:tc>
      </w:tr>
      <w:tr w:rsidR="00DF130E" w:rsidRPr="001C4409" w14:paraId="118BAA84" w14:textId="77777777" w:rsidTr="002857FC">
        <w:trPr>
          <w:trHeight w:val="340"/>
        </w:trPr>
        <w:tc>
          <w:tcPr>
            <w:cnfStyle w:val="001000000000" w:firstRow="0" w:lastRow="0" w:firstColumn="1" w:lastColumn="0" w:oddVBand="0" w:evenVBand="0" w:oddHBand="0" w:evenHBand="0" w:firstRowFirstColumn="0" w:firstRowLastColumn="0" w:lastRowFirstColumn="0" w:lastRowLastColumn="0"/>
            <w:tcW w:w="4690" w:type="dxa"/>
            <w:vAlign w:val="center"/>
          </w:tcPr>
          <w:p w14:paraId="01A9EF50" w14:textId="77777777" w:rsidR="00DF130E" w:rsidRPr="001C4409" w:rsidRDefault="00DF130E" w:rsidP="002857FC">
            <w:pPr>
              <w:spacing w:before="20" w:after="20" w:line="240" w:lineRule="auto"/>
              <w:rPr>
                <w:rFonts w:eastAsia="Times New Roman" w:cs="Times New Roman"/>
                <w:b w:val="0"/>
                <w:bCs w:val="0"/>
                <w:sz w:val="18"/>
                <w:szCs w:val="18"/>
              </w:rPr>
            </w:pPr>
            <w:r w:rsidRPr="001C4409">
              <w:rPr>
                <w:rFonts w:cs="Times New Roman"/>
                <w:b w:val="0"/>
                <w:bCs w:val="0"/>
                <w:sz w:val="18"/>
                <w:szCs w:val="18"/>
              </w:rPr>
              <w:t>Neriješeno</w:t>
            </w:r>
          </w:p>
        </w:tc>
        <w:tc>
          <w:tcPr>
            <w:tcW w:w="2165" w:type="dxa"/>
            <w:vAlign w:val="center"/>
          </w:tcPr>
          <w:p w14:paraId="6F4E7D8B" w14:textId="518F6B90" w:rsidR="00DF130E" w:rsidRPr="001C4409" w:rsidRDefault="00011D81" w:rsidP="002857F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1C4409">
              <w:rPr>
                <w:rFonts w:cs="Times New Roman"/>
                <w:sz w:val="18"/>
                <w:szCs w:val="18"/>
              </w:rPr>
              <w:t>7</w:t>
            </w:r>
          </w:p>
        </w:tc>
        <w:tc>
          <w:tcPr>
            <w:tcW w:w="2164" w:type="dxa"/>
            <w:vAlign w:val="center"/>
          </w:tcPr>
          <w:p w14:paraId="31332127" w14:textId="528B6DF6" w:rsidR="00DF130E" w:rsidRPr="001C4409" w:rsidRDefault="00011D81" w:rsidP="002857FC">
            <w:pPr>
              <w:spacing w:before="20" w:after="20" w:line="240" w:lineRule="auto"/>
              <w:ind w:right="32"/>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1C4409">
              <w:rPr>
                <w:rFonts w:eastAsia="Times New Roman" w:cs="Times New Roman"/>
                <w:sz w:val="18"/>
                <w:szCs w:val="18"/>
              </w:rPr>
              <w:t>0,</w:t>
            </w:r>
            <w:r w:rsidR="00DF130E" w:rsidRPr="001C4409">
              <w:rPr>
                <w:rFonts w:eastAsia="Times New Roman" w:cs="Times New Roman"/>
                <w:sz w:val="18"/>
                <w:szCs w:val="18"/>
              </w:rPr>
              <w:t>5%</w:t>
            </w:r>
          </w:p>
        </w:tc>
      </w:tr>
    </w:tbl>
    <w:p w14:paraId="7673A2CD" w14:textId="77777777" w:rsidR="00011D81" w:rsidRDefault="00011D81" w:rsidP="00D57687">
      <w:pPr>
        <w:rPr>
          <w:rFonts w:cs="Arial"/>
        </w:rPr>
      </w:pPr>
    </w:p>
    <w:p w14:paraId="3BD138DB" w14:textId="77777777" w:rsidR="00011D81" w:rsidRPr="0098142F" w:rsidRDefault="00011D81" w:rsidP="00011D81">
      <w:pPr>
        <w:spacing w:before="120"/>
        <w:rPr>
          <w:rFonts w:cs="Arial"/>
        </w:rPr>
      </w:pPr>
      <w:r w:rsidRPr="0098142F">
        <w:rPr>
          <w:rFonts w:cs="Arial"/>
        </w:rPr>
        <w:t>Tijela su izvijestila da je 1.</w:t>
      </w:r>
      <w:r>
        <w:rPr>
          <w:rFonts w:cs="Arial"/>
        </w:rPr>
        <w:t xml:space="preserve">293 </w:t>
      </w:r>
      <w:r w:rsidRPr="0098142F">
        <w:rPr>
          <w:rFonts w:cs="Arial"/>
        </w:rPr>
        <w:t xml:space="preserve">zahtjeva za ponovnu uporabu informacija riješeno, i to </w:t>
      </w:r>
      <w:r>
        <w:rPr>
          <w:rFonts w:cs="Arial"/>
        </w:rPr>
        <w:t>1.287 (99,5%)</w:t>
      </w:r>
      <w:r w:rsidRPr="0098142F">
        <w:rPr>
          <w:rFonts w:cs="Arial"/>
        </w:rPr>
        <w:t xml:space="preserve"> u roku i </w:t>
      </w:r>
      <w:r>
        <w:rPr>
          <w:rFonts w:cs="Arial"/>
        </w:rPr>
        <w:t>6</w:t>
      </w:r>
      <w:r w:rsidRPr="0098142F">
        <w:rPr>
          <w:rFonts w:cs="Arial"/>
        </w:rPr>
        <w:t xml:space="preserve"> izvan roka,</w:t>
      </w:r>
      <w:r>
        <w:rPr>
          <w:rFonts w:cs="Arial"/>
        </w:rPr>
        <w:t xml:space="preserve"> dok 7 zahtjeva nije riješeno</w:t>
      </w:r>
      <w:r w:rsidRPr="0098142F">
        <w:rPr>
          <w:rFonts w:cs="Arial"/>
        </w:rPr>
        <w:t>.</w:t>
      </w:r>
    </w:p>
    <w:p w14:paraId="3512FC5C" w14:textId="0622E219" w:rsidR="00011D81" w:rsidRDefault="00011D81" w:rsidP="7D2256E2">
      <w:pPr>
        <w:rPr>
          <w:rFonts w:eastAsia="Times New Roman" w:cs="Times New Roman"/>
          <w:sz w:val="23"/>
          <w:szCs w:val="23"/>
        </w:rPr>
      </w:pPr>
      <w:r w:rsidRPr="7D2256E2">
        <w:rPr>
          <w:rFonts w:cs="Arial"/>
        </w:rPr>
        <w:t>Vezano za način rješavanja, iz odgovora tijela proizlazi da su u 1.345 (99%) slučaj</w:t>
      </w:r>
      <w:r w:rsidR="00FE378B">
        <w:rPr>
          <w:rFonts w:cs="Arial"/>
        </w:rPr>
        <w:t>ev</w:t>
      </w:r>
      <w:r w:rsidRPr="7D2256E2">
        <w:rPr>
          <w:rFonts w:cs="Arial"/>
        </w:rPr>
        <w:t>a usvojila zahtjev za ponovnu uporabu i u još jednom slučaju su to učinila djelomično. Nadalje, u dva slučaja su zahtjevi odbijeni, a u dva (djelomično) odbačeni</w:t>
      </w:r>
      <w:r w:rsidR="61E9618F" w:rsidRPr="7D2256E2">
        <w:rPr>
          <w:rFonts w:cs="Arial"/>
        </w:rPr>
        <w:t>. I</w:t>
      </w:r>
      <w:r w:rsidR="61E9618F" w:rsidRPr="7D2256E2">
        <w:rPr>
          <w:rFonts w:eastAsia="Times New Roman" w:cs="Times New Roman"/>
          <w:sz w:val="23"/>
          <w:szCs w:val="23"/>
        </w:rPr>
        <w:t xml:space="preserve">zdano je </w:t>
      </w:r>
      <w:r w:rsidR="6F98E05C" w:rsidRPr="7D2256E2">
        <w:rPr>
          <w:rFonts w:eastAsia="Times New Roman" w:cs="Times New Roman"/>
          <w:sz w:val="23"/>
          <w:szCs w:val="23"/>
        </w:rPr>
        <w:t>365</w:t>
      </w:r>
      <w:r w:rsidR="61E9618F" w:rsidRPr="7D2256E2">
        <w:rPr>
          <w:rFonts w:eastAsia="Times New Roman" w:cs="Times New Roman"/>
          <w:sz w:val="23"/>
          <w:szCs w:val="23"/>
        </w:rPr>
        <w:t xml:space="preserve"> obavijesti iz članka 23. stavka 2. Zakona.</w:t>
      </w:r>
    </w:p>
    <w:p w14:paraId="74E3920E" w14:textId="77777777" w:rsidR="00011D81" w:rsidRPr="00F0315E" w:rsidRDefault="00011D81" w:rsidP="00011D81">
      <w:pPr>
        <w:rPr>
          <w:rFonts w:cs="Arial"/>
        </w:rPr>
      </w:pPr>
      <w:r>
        <w:rPr>
          <w:rFonts w:cs="Arial"/>
        </w:rPr>
        <w:t>N</w:t>
      </w:r>
      <w:r w:rsidRPr="0098142F">
        <w:rPr>
          <w:rFonts w:cs="Arial"/>
        </w:rPr>
        <w:t>ajčešći razlo</w:t>
      </w:r>
      <w:r>
        <w:rPr>
          <w:rFonts w:cs="Arial"/>
        </w:rPr>
        <w:t>zi</w:t>
      </w:r>
      <w:r w:rsidRPr="0098142F">
        <w:rPr>
          <w:rFonts w:cs="Arial"/>
        </w:rPr>
        <w:t xml:space="preserve"> odbijanja zahtjeva za ponovnu uporabu informacija </w:t>
      </w:r>
      <w:r>
        <w:rPr>
          <w:rFonts w:cs="Arial"/>
        </w:rPr>
        <w:t xml:space="preserve">tijekom 2025. bili su jer se radilo o informaciji </w:t>
      </w:r>
      <w:r w:rsidRPr="006D208E">
        <w:rPr>
          <w:rFonts w:cs="Arial"/>
        </w:rPr>
        <w:t>ko</w:t>
      </w:r>
      <w:r>
        <w:rPr>
          <w:rFonts w:cs="Arial"/>
        </w:rPr>
        <w:t>ja</w:t>
      </w:r>
      <w:r w:rsidRPr="006D208E">
        <w:rPr>
          <w:rFonts w:cs="Arial"/>
        </w:rPr>
        <w:t xml:space="preserve"> </w:t>
      </w:r>
      <w:r>
        <w:rPr>
          <w:rFonts w:cs="Arial"/>
        </w:rPr>
        <w:t xml:space="preserve">je </w:t>
      </w:r>
      <w:r w:rsidRPr="006D208E">
        <w:rPr>
          <w:rFonts w:cs="Arial"/>
        </w:rPr>
        <w:t>zaštićen</w:t>
      </w:r>
      <w:r>
        <w:rPr>
          <w:rFonts w:cs="Arial"/>
        </w:rPr>
        <w:t>a</w:t>
      </w:r>
      <w:r w:rsidRPr="006D208E">
        <w:rPr>
          <w:rFonts w:cs="Arial"/>
        </w:rPr>
        <w:t xml:space="preserve"> propisima kojima se uređuje područje zaštite osobnih podataka</w:t>
      </w:r>
      <w:r>
        <w:rPr>
          <w:rFonts w:cs="Arial"/>
        </w:rPr>
        <w:t xml:space="preserve">, o informaciji koja se ne prikuplja u svrhu obavljanja javnog posla (22%) </w:t>
      </w:r>
      <w:r w:rsidRPr="0098142F">
        <w:rPr>
          <w:rFonts w:cs="Arial"/>
        </w:rPr>
        <w:t xml:space="preserve">te </w:t>
      </w:r>
      <w:r>
        <w:rPr>
          <w:rFonts w:cs="Arial"/>
        </w:rPr>
        <w:t xml:space="preserve">u ostalim slučajevima utvrđenim zakonom </w:t>
      </w:r>
      <w:r w:rsidRPr="0098142F">
        <w:rPr>
          <w:rFonts w:cs="Arial"/>
        </w:rPr>
        <w:t>(1</w:t>
      </w:r>
      <w:r>
        <w:rPr>
          <w:rFonts w:cs="Arial"/>
        </w:rPr>
        <w:t>9</w:t>
      </w:r>
      <w:r w:rsidRPr="0098142F">
        <w:rPr>
          <w:rFonts w:cs="Arial"/>
        </w:rPr>
        <w:t>%)</w:t>
      </w:r>
      <w:r w:rsidRPr="00F0315E">
        <w:rPr>
          <w:rFonts w:cs="Arial"/>
        </w:rPr>
        <w:t>.</w:t>
      </w:r>
    </w:p>
    <w:p w14:paraId="4B2A5D65" w14:textId="27AC589D" w:rsidR="00FD3A68" w:rsidRPr="00DF1683" w:rsidRDefault="00FD3A68" w:rsidP="00811052">
      <w:pPr>
        <w:pStyle w:val="Naslov2"/>
        <w:ind w:left="1276" w:hanging="567"/>
      </w:pPr>
      <w:bookmarkStart w:id="33" w:name="_Toc162445722"/>
      <w:bookmarkStart w:id="34" w:name="_Toc225865563"/>
      <w:r>
        <w:t>Troškovi pružanja informacija</w:t>
      </w:r>
      <w:bookmarkEnd w:id="33"/>
      <w:bookmarkEnd w:id="34"/>
    </w:p>
    <w:p w14:paraId="334DBD97" w14:textId="08333B7E" w:rsidR="00FD3A68" w:rsidRPr="00F0315E" w:rsidRDefault="00FD3A68" w:rsidP="00D57687">
      <w:pPr>
        <w:rPr>
          <w:rFonts w:cs="Arial"/>
        </w:rPr>
      </w:pPr>
      <w:r w:rsidRPr="00F0315E">
        <w:rPr>
          <w:rFonts w:cs="Arial"/>
        </w:rPr>
        <w:t xml:space="preserve">U Tablici </w:t>
      </w:r>
      <w:r w:rsidR="008C0929" w:rsidRPr="00F0315E">
        <w:rPr>
          <w:rFonts w:cs="Arial"/>
        </w:rPr>
        <w:t>3</w:t>
      </w:r>
      <w:r w:rsidRPr="00F0315E">
        <w:rPr>
          <w:rFonts w:cs="Arial"/>
        </w:rPr>
        <w:t>.</w:t>
      </w:r>
      <w:r w:rsidR="005A7B9E">
        <w:rPr>
          <w:rFonts w:cs="Arial"/>
        </w:rPr>
        <w:t>9</w:t>
      </w:r>
      <w:r w:rsidRPr="00F0315E">
        <w:rPr>
          <w:rFonts w:cs="Arial"/>
        </w:rPr>
        <w:t>. su prikazani iznosi koje su tijela javne vlasti naplatila korisnicima u svrhu ostvarenja naknade stvarnih materijalnih troškova pružanja i dostave informacije (kopiranje, skeniranje, dostava), sukladno Kriterijima koje je donio Povjerenik.</w:t>
      </w:r>
    </w:p>
    <w:p w14:paraId="5B6616F8" w14:textId="77777777" w:rsidR="0008327E" w:rsidRDefault="0008327E" w:rsidP="00D57687">
      <w:pPr>
        <w:rPr>
          <w:rFonts w:cs="Arial"/>
        </w:rPr>
      </w:pPr>
      <w:r w:rsidRPr="0008327E">
        <w:rPr>
          <w:rFonts w:cs="Arial"/>
        </w:rPr>
        <w:lastRenderedPageBreak/>
        <w:t>Visina ostvarene naknade stvarnih troškova, koju je tijekom 2025. korisnicima naplatilo 18 tijela, iznosila je 981,01 EUR, i to 970,01 EUR naknade ostvarene pružanjem informacija temeljem zahtjeva za pristup informacijama i 11,00 EUR naknade ostvarene pružanjem informacija temeljem zahtjeva za ponovnu uporabu informacija, što predstavlja povećanje za oko 20% u odnosi na 2024. godinu, kada je naplaćeno 807,03 EUR.</w:t>
      </w:r>
    </w:p>
    <w:p w14:paraId="680A343E" w14:textId="4BDB2454" w:rsidR="00FD3A68" w:rsidRPr="00F0315E" w:rsidRDefault="0008327E" w:rsidP="00D57687">
      <w:pPr>
        <w:rPr>
          <w:rFonts w:cs="Arial"/>
        </w:rPr>
      </w:pPr>
      <w:r w:rsidRPr="0008327E">
        <w:rPr>
          <w:rFonts w:cs="Arial"/>
        </w:rPr>
        <w:t xml:space="preserve">Najveće iznose ostvarene naknade za pristup informacijama naveli su Centar za restrukturiranje i prodaju - CERP (143,86 </w:t>
      </w:r>
      <w:r>
        <w:rPr>
          <w:rFonts w:cs="Arial"/>
        </w:rPr>
        <w:t>EUR</w:t>
      </w:r>
      <w:r w:rsidRPr="0008327E">
        <w:rPr>
          <w:rFonts w:cs="Arial"/>
        </w:rPr>
        <w:t xml:space="preserve">), Vatrogasna zajednica Zagrebačke županije (103,46 </w:t>
      </w:r>
      <w:r>
        <w:rPr>
          <w:rFonts w:cs="Arial"/>
        </w:rPr>
        <w:t>EUR</w:t>
      </w:r>
      <w:r w:rsidRPr="0008327E">
        <w:rPr>
          <w:rFonts w:cs="Arial"/>
        </w:rPr>
        <w:t xml:space="preserve">), Dječji vrtić Tintilinić Karlovac (76,29 </w:t>
      </w:r>
      <w:r>
        <w:rPr>
          <w:rFonts w:cs="Arial"/>
        </w:rPr>
        <w:t>EUR</w:t>
      </w:r>
      <w:r w:rsidRPr="0008327E">
        <w:rPr>
          <w:rFonts w:cs="Arial"/>
        </w:rPr>
        <w:t xml:space="preserve">), Općina Cerna (71,49 </w:t>
      </w:r>
      <w:r>
        <w:rPr>
          <w:rFonts w:cs="Arial"/>
        </w:rPr>
        <w:t>EUR</w:t>
      </w:r>
      <w:r w:rsidRPr="0008327E">
        <w:rPr>
          <w:rFonts w:cs="Arial"/>
        </w:rPr>
        <w:t xml:space="preserve">), Grad Kastav (64,47 </w:t>
      </w:r>
      <w:r>
        <w:rPr>
          <w:rFonts w:cs="Arial"/>
        </w:rPr>
        <w:t>EUR</w:t>
      </w:r>
      <w:r w:rsidRPr="0008327E">
        <w:rPr>
          <w:rFonts w:cs="Arial"/>
        </w:rPr>
        <w:t>).</w:t>
      </w:r>
    </w:p>
    <w:p w14:paraId="43B31D9E" w14:textId="62689332" w:rsidR="00FD3A68" w:rsidRPr="00F0315E" w:rsidRDefault="00FD3A68" w:rsidP="00BF0F8B">
      <w:pPr>
        <w:keepNext/>
        <w:widowControl w:val="0"/>
        <w:spacing w:before="240"/>
        <w:rPr>
          <w:rFonts w:cs="Arial"/>
          <w:sz w:val="18"/>
          <w:szCs w:val="18"/>
        </w:rPr>
      </w:pPr>
      <w:r w:rsidRPr="00F0315E">
        <w:rPr>
          <w:rFonts w:cs="Arial"/>
          <w:sz w:val="18"/>
          <w:szCs w:val="18"/>
        </w:rPr>
        <w:t xml:space="preserve">Tablica </w:t>
      </w:r>
      <w:r w:rsidR="001430BE" w:rsidRPr="00F0315E">
        <w:rPr>
          <w:rFonts w:cs="Arial"/>
          <w:sz w:val="18"/>
          <w:szCs w:val="18"/>
        </w:rPr>
        <w:t>3</w:t>
      </w:r>
      <w:r w:rsidRPr="00F0315E">
        <w:rPr>
          <w:rFonts w:cs="Arial"/>
          <w:sz w:val="18"/>
          <w:szCs w:val="18"/>
        </w:rPr>
        <w:t>.</w:t>
      </w:r>
      <w:r w:rsidR="005A7B9E">
        <w:rPr>
          <w:rFonts w:cs="Arial"/>
          <w:sz w:val="18"/>
          <w:szCs w:val="18"/>
        </w:rPr>
        <w:t>9</w:t>
      </w:r>
      <w:r w:rsidRPr="00F0315E">
        <w:rPr>
          <w:rFonts w:cs="Arial"/>
          <w:sz w:val="18"/>
          <w:szCs w:val="18"/>
        </w:rPr>
        <w:t>. Iznos naplaćene naknade za pristup i ponovnu uporabu informacija u 202</w:t>
      </w:r>
      <w:r w:rsidR="0008327E">
        <w:rPr>
          <w:rFonts w:cs="Arial"/>
          <w:sz w:val="18"/>
          <w:szCs w:val="18"/>
        </w:rPr>
        <w:t>5</w:t>
      </w:r>
      <w:r w:rsidRPr="00F0315E">
        <w:rPr>
          <w:rFonts w:cs="Arial"/>
          <w:sz w:val="18"/>
          <w:szCs w:val="18"/>
        </w:rPr>
        <w:t>. (u EUR)</w:t>
      </w:r>
    </w:p>
    <w:tbl>
      <w:tblPr>
        <w:tblW w:w="4990" w:type="pct"/>
        <w:jc w:val="center"/>
        <w:tblBorders>
          <w:top w:val="single" w:sz="8" w:space="0" w:color="4F81BD"/>
          <w:bottom w:val="single" w:sz="8" w:space="0" w:color="4F81BD"/>
        </w:tblBorders>
        <w:tblLook w:val="04A0" w:firstRow="1" w:lastRow="0" w:firstColumn="1" w:lastColumn="0" w:noHBand="0" w:noVBand="1"/>
      </w:tblPr>
      <w:tblGrid>
        <w:gridCol w:w="4669"/>
        <w:gridCol w:w="1948"/>
        <w:gridCol w:w="2437"/>
      </w:tblGrid>
      <w:tr w:rsidR="00FD3A68" w:rsidRPr="008C4DB4" w14:paraId="5E6F9862" w14:textId="77777777" w:rsidTr="002857FC">
        <w:trPr>
          <w:trHeight w:val="340"/>
          <w:jc w:val="center"/>
        </w:trPr>
        <w:tc>
          <w:tcPr>
            <w:tcW w:w="2578" w:type="pct"/>
            <w:tcBorders>
              <w:top w:val="single" w:sz="8" w:space="0" w:color="4F81BD"/>
              <w:left w:val="nil"/>
              <w:bottom w:val="single" w:sz="8" w:space="0" w:color="4F81BD"/>
              <w:right w:val="nil"/>
            </w:tcBorders>
            <w:vAlign w:val="center"/>
            <w:hideMark/>
          </w:tcPr>
          <w:p w14:paraId="4983FFD4" w14:textId="77777777" w:rsidR="00FD3A68" w:rsidRPr="008C4DB4" w:rsidRDefault="00FD3A68" w:rsidP="002857FC">
            <w:pPr>
              <w:spacing w:before="20" w:after="20"/>
              <w:jc w:val="center"/>
              <w:rPr>
                <w:rFonts w:cs="Arial"/>
                <w:b/>
                <w:bCs/>
                <w:sz w:val="18"/>
                <w:szCs w:val="18"/>
              </w:rPr>
            </w:pPr>
            <w:r w:rsidRPr="008C4DB4">
              <w:rPr>
                <w:rFonts w:cs="Arial"/>
                <w:b/>
                <w:sz w:val="18"/>
                <w:szCs w:val="18"/>
              </w:rPr>
              <w:t>Tijela javne vlasti</w:t>
            </w:r>
          </w:p>
        </w:tc>
        <w:tc>
          <w:tcPr>
            <w:tcW w:w="1076" w:type="pct"/>
            <w:tcBorders>
              <w:top w:val="single" w:sz="8" w:space="0" w:color="4F81BD"/>
              <w:left w:val="nil"/>
              <w:bottom w:val="single" w:sz="8" w:space="0" w:color="4F81BD"/>
              <w:right w:val="nil"/>
            </w:tcBorders>
            <w:vAlign w:val="center"/>
            <w:hideMark/>
          </w:tcPr>
          <w:p w14:paraId="67FA4227" w14:textId="38A25014" w:rsidR="00FD3A68" w:rsidRPr="008C4DB4" w:rsidRDefault="00FD3A68" w:rsidP="002857FC">
            <w:pPr>
              <w:spacing w:before="20" w:after="20"/>
              <w:jc w:val="center"/>
              <w:rPr>
                <w:rFonts w:cs="Arial"/>
                <w:b/>
                <w:bCs/>
                <w:sz w:val="18"/>
                <w:szCs w:val="18"/>
              </w:rPr>
            </w:pPr>
            <w:r w:rsidRPr="008C4DB4">
              <w:rPr>
                <w:rFonts w:cs="Arial"/>
                <w:b/>
                <w:sz w:val="18"/>
                <w:szCs w:val="18"/>
              </w:rPr>
              <w:t>Naknada za pristup informacijama</w:t>
            </w:r>
            <w:r w:rsidR="006A673C" w:rsidRPr="008C4DB4">
              <w:rPr>
                <w:rFonts w:cs="Arial"/>
                <w:b/>
                <w:sz w:val="18"/>
                <w:szCs w:val="18"/>
              </w:rPr>
              <w:t xml:space="preserve"> (EUR)</w:t>
            </w:r>
          </w:p>
        </w:tc>
        <w:tc>
          <w:tcPr>
            <w:tcW w:w="1346" w:type="pct"/>
            <w:tcBorders>
              <w:top w:val="single" w:sz="8" w:space="0" w:color="4F81BD"/>
              <w:left w:val="nil"/>
              <w:bottom w:val="single" w:sz="8" w:space="0" w:color="4F81BD"/>
              <w:right w:val="nil"/>
            </w:tcBorders>
            <w:vAlign w:val="center"/>
            <w:hideMark/>
          </w:tcPr>
          <w:p w14:paraId="06C8BFB8" w14:textId="582D0FBC" w:rsidR="00FD3A68" w:rsidRPr="008C4DB4" w:rsidRDefault="00FD3A68" w:rsidP="002857FC">
            <w:pPr>
              <w:spacing w:before="20" w:after="20"/>
              <w:jc w:val="center"/>
              <w:rPr>
                <w:rFonts w:cs="Arial"/>
                <w:b/>
                <w:bCs/>
                <w:sz w:val="18"/>
                <w:szCs w:val="18"/>
              </w:rPr>
            </w:pPr>
            <w:r w:rsidRPr="008C4DB4">
              <w:rPr>
                <w:rFonts w:cs="Arial"/>
                <w:b/>
                <w:sz w:val="18"/>
                <w:szCs w:val="18"/>
              </w:rPr>
              <w:t>Naknada za ponovnu uporabu informacija</w:t>
            </w:r>
            <w:r w:rsidR="006A673C" w:rsidRPr="008C4DB4">
              <w:rPr>
                <w:rFonts w:cs="Arial"/>
                <w:b/>
                <w:sz w:val="18"/>
                <w:szCs w:val="18"/>
              </w:rPr>
              <w:t xml:space="preserve"> (EUR)</w:t>
            </w:r>
          </w:p>
        </w:tc>
      </w:tr>
      <w:tr w:rsidR="0008327E" w:rsidRPr="008C4DB4" w14:paraId="4FE24732" w14:textId="77777777" w:rsidTr="002857FC">
        <w:trPr>
          <w:trHeight w:val="340"/>
          <w:jc w:val="center"/>
        </w:trPr>
        <w:tc>
          <w:tcPr>
            <w:tcW w:w="2578" w:type="pct"/>
            <w:tcBorders>
              <w:top w:val="single" w:sz="8" w:space="0" w:color="4F81BD"/>
              <w:left w:val="nil"/>
              <w:bottom w:val="single" w:sz="4" w:space="0" w:color="8EAADB" w:themeColor="accent1" w:themeTint="99"/>
              <w:right w:val="nil"/>
            </w:tcBorders>
            <w:shd w:val="clear" w:color="auto" w:fill="D9E2F3" w:themeFill="accent1" w:themeFillTint="33"/>
            <w:vAlign w:val="center"/>
            <w:hideMark/>
          </w:tcPr>
          <w:p w14:paraId="7A35DDAF" w14:textId="77777777" w:rsidR="0008327E" w:rsidRPr="008C4DB4" w:rsidRDefault="0008327E" w:rsidP="0008327E">
            <w:pPr>
              <w:spacing w:before="20" w:after="20"/>
              <w:jc w:val="left"/>
              <w:rPr>
                <w:rFonts w:cs="Arial"/>
                <w:b/>
                <w:bCs/>
                <w:sz w:val="18"/>
                <w:szCs w:val="18"/>
              </w:rPr>
            </w:pPr>
            <w:r w:rsidRPr="008C4DB4">
              <w:rPr>
                <w:rFonts w:cs="Arial"/>
                <w:bCs/>
                <w:sz w:val="18"/>
                <w:szCs w:val="18"/>
              </w:rPr>
              <w:t>Državna tijela</w:t>
            </w:r>
          </w:p>
        </w:tc>
        <w:tc>
          <w:tcPr>
            <w:tcW w:w="1076" w:type="pct"/>
            <w:tcBorders>
              <w:top w:val="single" w:sz="8" w:space="0" w:color="4F81BD"/>
              <w:left w:val="nil"/>
              <w:bottom w:val="single" w:sz="4" w:space="0" w:color="8EAADB" w:themeColor="accent1" w:themeTint="99"/>
              <w:right w:val="nil"/>
            </w:tcBorders>
            <w:shd w:val="clear" w:color="auto" w:fill="D9E2F3" w:themeFill="accent1" w:themeFillTint="33"/>
            <w:noWrap/>
            <w:vAlign w:val="center"/>
            <w:hideMark/>
          </w:tcPr>
          <w:p w14:paraId="7F868CF7" w14:textId="4C03EA94" w:rsidR="0008327E" w:rsidRPr="008C4DB4" w:rsidRDefault="0008327E" w:rsidP="0008327E">
            <w:pPr>
              <w:spacing w:before="20" w:after="20"/>
              <w:jc w:val="center"/>
              <w:rPr>
                <w:rFonts w:cs="Arial"/>
                <w:sz w:val="18"/>
                <w:szCs w:val="18"/>
              </w:rPr>
            </w:pPr>
            <w:r w:rsidRPr="00742704">
              <w:rPr>
                <w:sz w:val="18"/>
                <w:szCs w:val="18"/>
              </w:rPr>
              <w:t xml:space="preserve">0,00 </w:t>
            </w:r>
          </w:p>
        </w:tc>
        <w:tc>
          <w:tcPr>
            <w:tcW w:w="1346" w:type="pct"/>
            <w:tcBorders>
              <w:top w:val="single" w:sz="8" w:space="0" w:color="4F81BD"/>
              <w:left w:val="nil"/>
              <w:bottom w:val="single" w:sz="4" w:space="0" w:color="8EAADB" w:themeColor="accent1" w:themeTint="99"/>
              <w:right w:val="nil"/>
            </w:tcBorders>
            <w:shd w:val="clear" w:color="auto" w:fill="D9E2F3" w:themeFill="accent1" w:themeFillTint="33"/>
            <w:noWrap/>
            <w:vAlign w:val="center"/>
            <w:hideMark/>
          </w:tcPr>
          <w:p w14:paraId="67DACC73" w14:textId="0407A708" w:rsidR="0008327E" w:rsidRPr="008C4DB4" w:rsidRDefault="0008327E" w:rsidP="0008327E">
            <w:pPr>
              <w:spacing w:before="20" w:after="20"/>
              <w:jc w:val="center"/>
              <w:rPr>
                <w:rFonts w:cs="Arial"/>
                <w:sz w:val="18"/>
                <w:szCs w:val="18"/>
              </w:rPr>
            </w:pPr>
            <w:r w:rsidRPr="00742704">
              <w:rPr>
                <w:sz w:val="18"/>
                <w:szCs w:val="18"/>
              </w:rPr>
              <w:t xml:space="preserve">0,00 </w:t>
            </w:r>
          </w:p>
        </w:tc>
      </w:tr>
      <w:tr w:rsidR="0008327E" w:rsidRPr="008C4DB4" w14:paraId="21A7ACF7" w14:textId="77777777" w:rsidTr="002857FC">
        <w:trPr>
          <w:trHeight w:val="340"/>
          <w:jc w:val="center"/>
        </w:trPr>
        <w:tc>
          <w:tcPr>
            <w:tcW w:w="2578" w:type="pct"/>
            <w:tcBorders>
              <w:top w:val="single" w:sz="4" w:space="0" w:color="8EAADB" w:themeColor="accent1" w:themeTint="99"/>
              <w:left w:val="nil"/>
              <w:bottom w:val="single" w:sz="4" w:space="0" w:color="8EAADB" w:themeColor="accent1" w:themeTint="99"/>
              <w:right w:val="nil"/>
            </w:tcBorders>
            <w:vAlign w:val="center"/>
            <w:hideMark/>
          </w:tcPr>
          <w:p w14:paraId="36D226D3" w14:textId="77777777" w:rsidR="0008327E" w:rsidRPr="008C4DB4" w:rsidRDefault="0008327E" w:rsidP="0008327E">
            <w:pPr>
              <w:spacing w:before="20" w:after="20"/>
              <w:jc w:val="left"/>
              <w:rPr>
                <w:rFonts w:cs="Arial"/>
                <w:b/>
                <w:bCs/>
                <w:sz w:val="18"/>
                <w:szCs w:val="18"/>
              </w:rPr>
            </w:pPr>
            <w:r w:rsidRPr="008C4DB4">
              <w:rPr>
                <w:rFonts w:cs="Arial"/>
                <w:bCs/>
                <w:sz w:val="18"/>
                <w:szCs w:val="18"/>
              </w:rPr>
              <w:t>Tijela državne uprave</w:t>
            </w:r>
          </w:p>
        </w:tc>
        <w:tc>
          <w:tcPr>
            <w:tcW w:w="1076" w:type="pct"/>
            <w:tcBorders>
              <w:top w:val="single" w:sz="4" w:space="0" w:color="8EAADB" w:themeColor="accent1" w:themeTint="99"/>
              <w:left w:val="nil"/>
              <w:bottom w:val="single" w:sz="4" w:space="0" w:color="8EAADB" w:themeColor="accent1" w:themeTint="99"/>
              <w:right w:val="nil"/>
            </w:tcBorders>
            <w:noWrap/>
            <w:vAlign w:val="center"/>
            <w:hideMark/>
          </w:tcPr>
          <w:p w14:paraId="37284871" w14:textId="53464AC6" w:rsidR="0008327E" w:rsidRPr="008C4DB4" w:rsidRDefault="0008327E" w:rsidP="0008327E">
            <w:pPr>
              <w:spacing w:before="20" w:after="20"/>
              <w:jc w:val="center"/>
              <w:rPr>
                <w:rFonts w:cs="Arial"/>
                <w:sz w:val="18"/>
                <w:szCs w:val="18"/>
              </w:rPr>
            </w:pPr>
            <w:r w:rsidRPr="00742704">
              <w:rPr>
                <w:sz w:val="18"/>
                <w:szCs w:val="18"/>
              </w:rPr>
              <w:t xml:space="preserve">129,00 </w:t>
            </w:r>
          </w:p>
        </w:tc>
        <w:tc>
          <w:tcPr>
            <w:tcW w:w="1346" w:type="pct"/>
            <w:tcBorders>
              <w:top w:val="single" w:sz="4" w:space="0" w:color="8EAADB" w:themeColor="accent1" w:themeTint="99"/>
              <w:left w:val="nil"/>
              <w:bottom w:val="single" w:sz="4" w:space="0" w:color="8EAADB" w:themeColor="accent1" w:themeTint="99"/>
              <w:right w:val="nil"/>
            </w:tcBorders>
            <w:noWrap/>
            <w:vAlign w:val="center"/>
            <w:hideMark/>
          </w:tcPr>
          <w:p w14:paraId="1F6FDE16" w14:textId="672EFE91" w:rsidR="0008327E" w:rsidRPr="008C4DB4" w:rsidRDefault="0008327E" w:rsidP="0008327E">
            <w:pPr>
              <w:spacing w:before="20" w:after="20"/>
              <w:jc w:val="center"/>
              <w:rPr>
                <w:rFonts w:cs="Arial"/>
                <w:sz w:val="18"/>
                <w:szCs w:val="18"/>
              </w:rPr>
            </w:pPr>
            <w:r w:rsidRPr="00742704">
              <w:rPr>
                <w:sz w:val="18"/>
                <w:szCs w:val="18"/>
              </w:rPr>
              <w:t xml:space="preserve">0,00 </w:t>
            </w:r>
          </w:p>
        </w:tc>
      </w:tr>
      <w:tr w:rsidR="0008327E" w:rsidRPr="008C4DB4" w14:paraId="4F99CE91" w14:textId="77777777" w:rsidTr="002857FC">
        <w:trPr>
          <w:trHeight w:val="340"/>
          <w:jc w:val="center"/>
        </w:trPr>
        <w:tc>
          <w:tcPr>
            <w:tcW w:w="2578"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vAlign w:val="center"/>
            <w:hideMark/>
          </w:tcPr>
          <w:p w14:paraId="38A33155" w14:textId="77777777" w:rsidR="0008327E" w:rsidRPr="008C4DB4" w:rsidRDefault="0008327E" w:rsidP="0008327E">
            <w:pPr>
              <w:spacing w:before="20" w:after="20"/>
              <w:jc w:val="left"/>
              <w:rPr>
                <w:rFonts w:cs="Arial"/>
                <w:b/>
                <w:bCs/>
                <w:sz w:val="18"/>
                <w:szCs w:val="18"/>
              </w:rPr>
            </w:pPr>
            <w:r w:rsidRPr="008C4DB4">
              <w:rPr>
                <w:rFonts w:cs="Arial"/>
                <w:bCs/>
                <w:sz w:val="18"/>
                <w:szCs w:val="18"/>
              </w:rPr>
              <w:t>JLP(R)S</w:t>
            </w:r>
          </w:p>
        </w:tc>
        <w:tc>
          <w:tcPr>
            <w:tcW w:w="1076"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noWrap/>
            <w:vAlign w:val="center"/>
            <w:hideMark/>
          </w:tcPr>
          <w:p w14:paraId="67A86D28" w14:textId="45358D5C" w:rsidR="0008327E" w:rsidRPr="008C4DB4" w:rsidRDefault="0008327E" w:rsidP="0008327E">
            <w:pPr>
              <w:spacing w:before="20" w:after="20"/>
              <w:jc w:val="center"/>
              <w:rPr>
                <w:rFonts w:cs="Arial"/>
                <w:sz w:val="18"/>
                <w:szCs w:val="18"/>
              </w:rPr>
            </w:pPr>
            <w:r w:rsidRPr="00742704">
              <w:rPr>
                <w:sz w:val="18"/>
                <w:szCs w:val="18"/>
              </w:rPr>
              <w:t xml:space="preserve">189,50 </w:t>
            </w:r>
          </w:p>
        </w:tc>
        <w:tc>
          <w:tcPr>
            <w:tcW w:w="1346"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noWrap/>
            <w:vAlign w:val="center"/>
            <w:hideMark/>
          </w:tcPr>
          <w:p w14:paraId="43708B38" w14:textId="531628F7" w:rsidR="0008327E" w:rsidRPr="008C4DB4" w:rsidRDefault="0008327E" w:rsidP="0008327E">
            <w:pPr>
              <w:spacing w:before="20" w:after="20"/>
              <w:jc w:val="center"/>
              <w:rPr>
                <w:rFonts w:cs="Arial"/>
                <w:sz w:val="18"/>
                <w:szCs w:val="18"/>
              </w:rPr>
            </w:pPr>
            <w:r w:rsidRPr="00742704">
              <w:rPr>
                <w:sz w:val="18"/>
                <w:szCs w:val="18"/>
              </w:rPr>
              <w:t xml:space="preserve">0,00 </w:t>
            </w:r>
          </w:p>
        </w:tc>
      </w:tr>
      <w:tr w:rsidR="0008327E" w:rsidRPr="008C4DB4" w14:paraId="1F18D8AE" w14:textId="77777777" w:rsidTr="002857FC">
        <w:trPr>
          <w:trHeight w:val="340"/>
          <w:jc w:val="center"/>
        </w:trPr>
        <w:tc>
          <w:tcPr>
            <w:tcW w:w="2578" w:type="pct"/>
            <w:tcBorders>
              <w:top w:val="single" w:sz="4" w:space="0" w:color="8EAADB" w:themeColor="accent1" w:themeTint="99"/>
              <w:left w:val="nil"/>
              <w:bottom w:val="single" w:sz="4" w:space="0" w:color="8EAADB" w:themeColor="accent1" w:themeTint="99"/>
              <w:right w:val="nil"/>
            </w:tcBorders>
            <w:vAlign w:val="center"/>
            <w:hideMark/>
          </w:tcPr>
          <w:p w14:paraId="5A9667BE" w14:textId="77777777" w:rsidR="0008327E" w:rsidRPr="008C4DB4" w:rsidRDefault="0008327E" w:rsidP="0008327E">
            <w:pPr>
              <w:spacing w:before="20" w:after="20"/>
              <w:jc w:val="left"/>
              <w:rPr>
                <w:rFonts w:cs="Arial"/>
                <w:b/>
                <w:bCs/>
                <w:sz w:val="18"/>
                <w:szCs w:val="18"/>
              </w:rPr>
            </w:pPr>
            <w:r w:rsidRPr="008C4DB4">
              <w:rPr>
                <w:rFonts w:cs="Arial"/>
                <w:bCs/>
                <w:sz w:val="18"/>
                <w:szCs w:val="18"/>
              </w:rPr>
              <w:t>Sudovi i pravosudna tijela</w:t>
            </w:r>
          </w:p>
        </w:tc>
        <w:tc>
          <w:tcPr>
            <w:tcW w:w="1076" w:type="pct"/>
            <w:tcBorders>
              <w:top w:val="single" w:sz="4" w:space="0" w:color="8EAADB" w:themeColor="accent1" w:themeTint="99"/>
              <w:left w:val="nil"/>
              <w:bottom w:val="single" w:sz="4" w:space="0" w:color="8EAADB" w:themeColor="accent1" w:themeTint="99"/>
              <w:right w:val="nil"/>
            </w:tcBorders>
            <w:noWrap/>
            <w:vAlign w:val="center"/>
            <w:hideMark/>
          </w:tcPr>
          <w:p w14:paraId="5716C069" w14:textId="7C683902" w:rsidR="0008327E" w:rsidRPr="008C4DB4" w:rsidRDefault="0008327E" w:rsidP="0008327E">
            <w:pPr>
              <w:spacing w:before="20" w:after="20"/>
              <w:jc w:val="center"/>
              <w:rPr>
                <w:rFonts w:cs="Arial"/>
                <w:sz w:val="18"/>
                <w:szCs w:val="18"/>
              </w:rPr>
            </w:pPr>
            <w:r w:rsidRPr="00742704">
              <w:rPr>
                <w:sz w:val="18"/>
                <w:szCs w:val="18"/>
              </w:rPr>
              <w:t xml:space="preserve">0,00 </w:t>
            </w:r>
          </w:p>
        </w:tc>
        <w:tc>
          <w:tcPr>
            <w:tcW w:w="1346" w:type="pct"/>
            <w:tcBorders>
              <w:top w:val="single" w:sz="4" w:space="0" w:color="8EAADB" w:themeColor="accent1" w:themeTint="99"/>
              <w:left w:val="nil"/>
              <w:bottom w:val="single" w:sz="4" w:space="0" w:color="8EAADB" w:themeColor="accent1" w:themeTint="99"/>
              <w:right w:val="nil"/>
            </w:tcBorders>
            <w:noWrap/>
            <w:vAlign w:val="center"/>
            <w:hideMark/>
          </w:tcPr>
          <w:p w14:paraId="1EE05490" w14:textId="54209685" w:rsidR="0008327E" w:rsidRPr="008C4DB4" w:rsidRDefault="0008327E" w:rsidP="0008327E">
            <w:pPr>
              <w:spacing w:before="20" w:after="20"/>
              <w:jc w:val="center"/>
              <w:rPr>
                <w:rFonts w:cs="Arial"/>
                <w:sz w:val="18"/>
                <w:szCs w:val="18"/>
              </w:rPr>
            </w:pPr>
            <w:r w:rsidRPr="00742704">
              <w:rPr>
                <w:sz w:val="18"/>
                <w:szCs w:val="18"/>
              </w:rPr>
              <w:t xml:space="preserve">0,00 </w:t>
            </w:r>
          </w:p>
        </w:tc>
      </w:tr>
      <w:tr w:rsidR="0008327E" w:rsidRPr="008C4DB4" w14:paraId="3FE1A814" w14:textId="77777777" w:rsidTr="002857FC">
        <w:trPr>
          <w:trHeight w:val="340"/>
          <w:jc w:val="center"/>
        </w:trPr>
        <w:tc>
          <w:tcPr>
            <w:tcW w:w="2578"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vAlign w:val="center"/>
            <w:hideMark/>
          </w:tcPr>
          <w:p w14:paraId="173D3FD0" w14:textId="77777777" w:rsidR="0008327E" w:rsidRPr="008C4DB4" w:rsidRDefault="0008327E" w:rsidP="0008327E">
            <w:pPr>
              <w:spacing w:before="20" w:after="20"/>
              <w:jc w:val="left"/>
              <w:rPr>
                <w:rFonts w:cs="Arial"/>
                <w:sz w:val="18"/>
                <w:szCs w:val="18"/>
              </w:rPr>
            </w:pPr>
            <w:r w:rsidRPr="008C4DB4">
              <w:rPr>
                <w:rFonts w:cs="Arial"/>
                <w:sz w:val="18"/>
                <w:szCs w:val="18"/>
              </w:rPr>
              <w:t xml:space="preserve">Agencije i druge pravne osobe s javnim ovlastima </w:t>
            </w:r>
          </w:p>
        </w:tc>
        <w:tc>
          <w:tcPr>
            <w:tcW w:w="1076"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noWrap/>
            <w:vAlign w:val="center"/>
            <w:hideMark/>
          </w:tcPr>
          <w:p w14:paraId="23C5D5AC" w14:textId="0C7F3882" w:rsidR="0008327E" w:rsidRPr="008C4DB4" w:rsidRDefault="0008327E" w:rsidP="0008327E">
            <w:pPr>
              <w:spacing w:before="20" w:after="20"/>
              <w:jc w:val="center"/>
              <w:rPr>
                <w:rFonts w:cs="Arial"/>
                <w:sz w:val="18"/>
                <w:szCs w:val="18"/>
              </w:rPr>
            </w:pPr>
            <w:r w:rsidRPr="00742704">
              <w:rPr>
                <w:sz w:val="18"/>
                <w:szCs w:val="18"/>
              </w:rPr>
              <w:t xml:space="preserve">143,86 </w:t>
            </w:r>
          </w:p>
        </w:tc>
        <w:tc>
          <w:tcPr>
            <w:tcW w:w="1346"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noWrap/>
            <w:vAlign w:val="center"/>
            <w:hideMark/>
          </w:tcPr>
          <w:p w14:paraId="77A2E96B" w14:textId="5A2D3C22" w:rsidR="0008327E" w:rsidRPr="008C4DB4" w:rsidRDefault="0008327E" w:rsidP="0008327E">
            <w:pPr>
              <w:spacing w:before="20" w:after="20"/>
              <w:jc w:val="center"/>
              <w:rPr>
                <w:rFonts w:cs="Arial"/>
                <w:sz w:val="18"/>
                <w:szCs w:val="18"/>
              </w:rPr>
            </w:pPr>
            <w:r w:rsidRPr="00742704">
              <w:rPr>
                <w:sz w:val="18"/>
                <w:szCs w:val="18"/>
              </w:rPr>
              <w:t xml:space="preserve">0,00 </w:t>
            </w:r>
          </w:p>
        </w:tc>
      </w:tr>
      <w:tr w:rsidR="0008327E" w:rsidRPr="008C4DB4" w14:paraId="198613E5" w14:textId="77777777" w:rsidTr="002857FC">
        <w:trPr>
          <w:trHeight w:val="340"/>
          <w:jc w:val="center"/>
        </w:trPr>
        <w:tc>
          <w:tcPr>
            <w:tcW w:w="2578" w:type="pct"/>
            <w:tcBorders>
              <w:top w:val="single" w:sz="4" w:space="0" w:color="8EAADB" w:themeColor="accent1" w:themeTint="99"/>
              <w:left w:val="nil"/>
              <w:bottom w:val="single" w:sz="4" w:space="0" w:color="8EAADB" w:themeColor="accent1" w:themeTint="99"/>
              <w:right w:val="nil"/>
            </w:tcBorders>
            <w:vAlign w:val="center"/>
            <w:hideMark/>
          </w:tcPr>
          <w:p w14:paraId="4EF9EAFF" w14:textId="77777777" w:rsidR="0008327E" w:rsidRPr="008C4DB4" w:rsidRDefault="0008327E" w:rsidP="0008327E">
            <w:pPr>
              <w:spacing w:before="20" w:after="20"/>
              <w:jc w:val="left"/>
              <w:rPr>
                <w:rFonts w:cs="Arial"/>
                <w:b/>
                <w:bCs/>
                <w:sz w:val="18"/>
                <w:szCs w:val="18"/>
              </w:rPr>
            </w:pPr>
            <w:r w:rsidRPr="008C4DB4">
              <w:rPr>
                <w:rFonts w:cs="Arial"/>
                <w:bCs/>
                <w:sz w:val="18"/>
                <w:szCs w:val="18"/>
              </w:rPr>
              <w:t>Ustanove</w:t>
            </w:r>
          </w:p>
        </w:tc>
        <w:tc>
          <w:tcPr>
            <w:tcW w:w="1076" w:type="pct"/>
            <w:tcBorders>
              <w:top w:val="single" w:sz="4" w:space="0" w:color="8EAADB" w:themeColor="accent1" w:themeTint="99"/>
              <w:left w:val="nil"/>
              <w:bottom w:val="single" w:sz="4" w:space="0" w:color="8EAADB" w:themeColor="accent1" w:themeTint="99"/>
              <w:right w:val="nil"/>
            </w:tcBorders>
            <w:noWrap/>
            <w:vAlign w:val="center"/>
            <w:hideMark/>
          </w:tcPr>
          <w:p w14:paraId="64B90968" w14:textId="41DBCE12" w:rsidR="0008327E" w:rsidRPr="008C4DB4" w:rsidRDefault="0008327E" w:rsidP="0008327E">
            <w:pPr>
              <w:spacing w:before="20" w:after="20"/>
              <w:jc w:val="center"/>
              <w:rPr>
                <w:rFonts w:cs="Arial"/>
                <w:sz w:val="18"/>
                <w:szCs w:val="18"/>
              </w:rPr>
            </w:pPr>
            <w:r w:rsidRPr="00742704">
              <w:rPr>
                <w:sz w:val="18"/>
                <w:szCs w:val="18"/>
              </w:rPr>
              <w:t xml:space="preserve">373,01 </w:t>
            </w:r>
          </w:p>
        </w:tc>
        <w:tc>
          <w:tcPr>
            <w:tcW w:w="1346" w:type="pct"/>
            <w:tcBorders>
              <w:top w:val="single" w:sz="4" w:space="0" w:color="8EAADB" w:themeColor="accent1" w:themeTint="99"/>
              <w:left w:val="nil"/>
              <w:bottom w:val="single" w:sz="4" w:space="0" w:color="8EAADB" w:themeColor="accent1" w:themeTint="99"/>
              <w:right w:val="nil"/>
            </w:tcBorders>
            <w:noWrap/>
            <w:vAlign w:val="center"/>
            <w:hideMark/>
          </w:tcPr>
          <w:p w14:paraId="29AAD3A4" w14:textId="12E1E918" w:rsidR="0008327E" w:rsidRPr="008C4DB4" w:rsidRDefault="0008327E" w:rsidP="0008327E">
            <w:pPr>
              <w:spacing w:before="20" w:after="20"/>
              <w:jc w:val="center"/>
              <w:rPr>
                <w:rFonts w:cs="Arial"/>
                <w:sz w:val="18"/>
                <w:szCs w:val="18"/>
              </w:rPr>
            </w:pPr>
            <w:r w:rsidRPr="00742704">
              <w:rPr>
                <w:sz w:val="18"/>
                <w:szCs w:val="18"/>
              </w:rPr>
              <w:t xml:space="preserve">11,00 </w:t>
            </w:r>
          </w:p>
        </w:tc>
      </w:tr>
      <w:tr w:rsidR="0008327E" w:rsidRPr="008C4DB4" w14:paraId="057C2379" w14:textId="77777777" w:rsidTr="002857FC">
        <w:trPr>
          <w:trHeight w:val="340"/>
          <w:jc w:val="center"/>
        </w:trPr>
        <w:tc>
          <w:tcPr>
            <w:tcW w:w="2578"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vAlign w:val="center"/>
            <w:hideMark/>
          </w:tcPr>
          <w:p w14:paraId="47B5FF73" w14:textId="77777777" w:rsidR="0008327E" w:rsidRPr="008C4DB4" w:rsidRDefault="0008327E" w:rsidP="0008327E">
            <w:pPr>
              <w:spacing w:before="20" w:after="20"/>
              <w:jc w:val="left"/>
              <w:rPr>
                <w:rFonts w:cs="Arial"/>
                <w:b/>
                <w:bCs/>
                <w:sz w:val="18"/>
                <w:szCs w:val="18"/>
              </w:rPr>
            </w:pPr>
            <w:r w:rsidRPr="008C4DB4">
              <w:rPr>
                <w:rFonts w:cs="Arial"/>
                <w:bCs/>
                <w:sz w:val="18"/>
                <w:szCs w:val="18"/>
              </w:rPr>
              <w:t>Trgovačka društva</w:t>
            </w:r>
          </w:p>
        </w:tc>
        <w:tc>
          <w:tcPr>
            <w:tcW w:w="1076"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noWrap/>
            <w:vAlign w:val="center"/>
            <w:hideMark/>
          </w:tcPr>
          <w:p w14:paraId="2C15AEA7" w14:textId="6C621E59" w:rsidR="0008327E" w:rsidRPr="008C4DB4" w:rsidRDefault="0008327E" w:rsidP="0008327E">
            <w:pPr>
              <w:spacing w:before="20" w:after="20"/>
              <w:jc w:val="center"/>
              <w:rPr>
                <w:rFonts w:cs="Arial"/>
                <w:sz w:val="18"/>
                <w:szCs w:val="18"/>
              </w:rPr>
            </w:pPr>
            <w:r w:rsidRPr="00742704">
              <w:rPr>
                <w:sz w:val="18"/>
                <w:szCs w:val="18"/>
              </w:rPr>
              <w:t xml:space="preserve">0,00 </w:t>
            </w:r>
          </w:p>
        </w:tc>
        <w:tc>
          <w:tcPr>
            <w:tcW w:w="1346"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noWrap/>
            <w:vAlign w:val="center"/>
            <w:hideMark/>
          </w:tcPr>
          <w:p w14:paraId="56DA0845" w14:textId="4E6ABFCF" w:rsidR="0008327E" w:rsidRPr="008C4DB4" w:rsidRDefault="0008327E" w:rsidP="0008327E">
            <w:pPr>
              <w:spacing w:before="20" w:after="20"/>
              <w:jc w:val="center"/>
              <w:rPr>
                <w:rFonts w:cs="Arial"/>
                <w:sz w:val="18"/>
                <w:szCs w:val="18"/>
              </w:rPr>
            </w:pPr>
            <w:r w:rsidRPr="00742704">
              <w:rPr>
                <w:sz w:val="18"/>
                <w:szCs w:val="18"/>
              </w:rPr>
              <w:t xml:space="preserve">0,00 </w:t>
            </w:r>
          </w:p>
        </w:tc>
      </w:tr>
      <w:tr w:rsidR="0008327E" w:rsidRPr="008C4DB4" w14:paraId="00409B23" w14:textId="77777777" w:rsidTr="002857FC">
        <w:trPr>
          <w:trHeight w:val="340"/>
          <w:jc w:val="center"/>
        </w:trPr>
        <w:tc>
          <w:tcPr>
            <w:tcW w:w="2578" w:type="pct"/>
            <w:tcBorders>
              <w:top w:val="single" w:sz="4" w:space="0" w:color="8EAADB" w:themeColor="accent1" w:themeTint="99"/>
              <w:left w:val="nil"/>
              <w:bottom w:val="single" w:sz="4" w:space="0" w:color="8EAADB" w:themeColor="accent1" w:themeTint="99"/>
              <w:right w:val="nil"/>
            </w:tcBorders>
            <w:vAlign w:val="center"/>
            <w:hideMark/>
          </w:tcPr>
          <w:p w14:paraId="06699BB9" w14:textId="77777777" w:rsidR="0008327E" w:rsidRPr="008C4DB4" w:rsidRDefault="0008327E" w:rsidP="0008327E">
            <w:pPr>
              <w:spacing w:before="20" w:after="20"/>
              <w:jc w:val="left"/>
              <w:rPr>
                <w:rFonts w:cs="Arial"/>
                <w:b/>
                <w:bCs/>
                <w:sz w:val="18"/>
                <w:szCs w:val="18"/>
              </w:rPr>
            </w:pPr>
            <w:r w:rsidRPr="008C4DB4">
              <w:rPr>
                <w:rFonts w:cs="Arial"/>
                <w:bCs/>
                <w:sz w:val="18"/>
                <w:szCs w:val="18"/>
              </w:rPr>
              <w:t>Udruge</w:t>
            </w:r>
          </w:p>
        </w:tc>
        <w:tc>
          <w:tcPr>
            <w:tcW w:w="1076" w:type="pct"/>
            <w:tcBorders>
              <w:top w:val="single" w:sz="4" w:space="0" w:color="8EAADB" w:themeColor="accent1" w:themeTint="99"/>
              <w:left w:val="nil"/>
              <w:bottom w:val="single" w:sz="4" w:space="0" w:color="8EAADB" w:themeColor="accent1" w:themeTint="99"/>
              <w:right w:val="nil"/>
            </w:tcBorders>
            <w:noWrap/>
            <w:vAlign w:val="center"/>
            <w:hideMark/>
          </w:tcPr>
          <w:p w14:paraId="1C87B59E" w14:textId="46AC10B1" w:rsidR="0008327E" w:rsidRPr="008C4DB4" w:rsidRDefault="0008327E" w:rsidP="0008327E">
            <w:pPr>
              <w:spacing w:before="20" w:after="20"/>
              <w:jc w:val="center"/>
              <w:rPr>
                <w:rFonts w:cs="Arial"/>
                <w:sz w:val="18"/>
                <w:szCs w:val="18"/>
              </w:rPr>
            </w:pPr>
            <w:r w:rsidRPr="00742704">
              <w:rPr>
                <w:sz w:val="18"/>
                <w:szCs w:val="18"/>
              </w:rPr>
              <w:t xml:space="preserve">103,46 </w:t>
            </w:r>
          </w:p>
        </w:tc>
        <w:tc>
          <w:tcPr>
            <w:tcW w:w="1346" w:type="pct"/>
            <w:tcBorders>
              <w:top w:val="single" w:sz="4" w:space="0" w:color="8EAADB" w:themeColor="accent1" w:themeTint="99"/>
              <w:left w:val="nil"/>
              <w:bottom w:val="single" w:sz="4" w:space="0" w:color="8EAADB" w:themeColor="accent1" w:themeTint="99"/>
              <w:right w:val="nil"/>
            </w:tcBorders>
            <w:noWrap/>
            <w:vAlign w:val="center"/>
            <w:hideMark/>
          </w:tcPr>
          <w:p w14:paraId="1D4F24B9" w14:textId="6191ACC8" w:rsidR="0008327E" w:rsidRPr="008C4DB4" w:rsidRDefault="0008327E" w:rsidP="0008327E">
            <w:pPr>
              <w:spacing w:before="20" w:after="20"/>
              <w:jc w:val="center"/>
              <w:rPr>
                <w:rFonts w:cs="Arial"/>
                <w:sz w:val="18"/>
                <w:szCs w:val="18"/>
              </w:rPr>
            </w:pPr>
            <w:r w:rsidRPr="00742704">
              <w:rPr>
                <w:sz w:val="18"/>
                <w:szCs w:val="18"/>
              </w:rPr>
              <w:t xml:space="preserve">0,00 </w:t>
            </w:r>
          </w:p>
        </w:tc>
      </w:tr>
      <w:tr w:rsidR="0008327E" w:rsidRPr="008C4DB4" w14:paraId="4414A6FE" w14:textId="77777777" w:rsidTr="002857FC">
        <w:trPr>
          <w:trHeight w:val="340"/>
          <w:jc w:val="center"/>
        </w:trPr>
        <w:tc>
          <w:tcPr>
            <w:tcW w:w="2578"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vAlign w:val="center"/>
            <w:hideMark/>
          </w:tcPr>
          <w:p w14:paraId="498C3D98" w14:textId="77777777" w:rsidR="0008327E" w:rsidRPr="008C4DB4" w:rsidRDefault="0008327E" w:rsidP="0008327E">
            <w:pPr>
              <w:spacing w:before="20" w:after="20"/>
              <w:jc w:val="left"/>
              <w:rPr>
                <w:rFonts w:cs="Arial"/>
                <w:b/>
                <w:bCs/>
                <w:sz w:val="18"/>
                <w:szCs w:val="18"/>
              </w:rPr>
            </w:pPr>
            <w:r w:rsidRPr="008C4DB4">
              <w:rPr>
                <w:rFonts w:cs="Arial"/>
                <w:bCs/>
                <w:sz w:val="18"/>
                <w:szCs w:val="18"/>
              </w:rPr>
              <w:t>Ostale pravne osobe i tijela s javnim ovlastima</w:t>
            </w:r>
          </w:p>
        </w:tc>
        <w:tc>
          <w:tcPr>
            <w:tcW w:w="1076"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noWrap/>
            <w:vAlign w:val="center"/>
            <w:hideMark/>
          </w:tcPr>
          <w:p w14:paraId="2423CCAF" w14:textId="477430A3" w:rsidR="0008327E" w:rsidRPr="008C4DB4" w:rsidRDefault="0008327E" w:rsidP="0008327E">
            <w:pPr>
              <w:spacing w:before="20" w:after="20"/>
              <w:jc w:val="center"/>
              <w:rPr>
                <w:rFonts w:cs="Arial"/>
                <w:sz w:val="18"/>
                <w:szCs w:val="18"/>
              </w:rPr>
            </w:pPr>
            <w:r w:rsidRPr="00742704">
              <w:rPr>
                <w:sz w:val="18"/>
                <w:szCs w:val="18"/>
              </w:rPr>
              <w:t xml:space="preserve">31,18 </w:t>
            </w:r>
          </w:p>
        </w:tc>
        <w:tc>
          <w:tcPr>
            <w:tcW w:w="1346"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noWrap/>
            <w:vAlign w:val="center"/>
            <w:hideMark/>
          </w:tcPr>
          <w:p w14:paraId="0C701CFC" w14:textId="53DF45A6" w:rsidR="0008327E" w:rsidRPr="008C4DB4" w:rsidRDefault="0008327E" w:rsidP="0008327E">
            <w:pPr>
              <w:spacing w:before="20" w:after="20"/>
              <w:jc w:val="center"/>
              <w:rPr>
                <w:rFonts w:cs="Arial"/>
                <w:sz w:val="18"/>
                <w:szCs w:val="18"/>
              </w:rPr>
            </w:pPr>
            <w:r w:rsidRPr="00742704">
              <w:rPr>
                <w:sz w:val="18"/>
                <w:szCs w:val="18"/>
              </w:rPr>
              <w:t>0,00</w:t>
            </w:r>
          </w:p>
        </w:tc>
      </w:tr>
      <w:tr w:rsidR="0008327E" w:rsidRPr="008C4DB4" w14:paraId="55D16727" w14:textId="77777777" w:rsidTr="002857FC">
        <w:trPr>
          <w:trHeight w:val="340"/>
          <w:jc w:val="center"/>
        </w:trPr>
        <w:tc>
          <w:tcPr>
            <w:tcW w:w="2578" w:type="pct"/>
            <w:tcBorders>
              <w:top w:val="single" w:sz="4" w:space="0" w:color="8EAADB" w:themeColor="accent1" w:themeTint="99"/>
              <w:left w:val="nil"/>
              <w:bottom w:val="single" w:sz="4" w:space="0" w:color="8EAADB" w:themeColor="accent1" w:themeTint="99"/>
              <w:right w:val="nil"/>
            </w:tcBorders>
            <w:vAlign w:val="center"/>
            <w:hideMark/>
          </w:tcPr>
          <w:p w14:paraId="675747FF" w14:textId="3BB26B2A" w:rsidR="0008327E" w:rsidRPr="008C4DB4" w:rsidRDefault="0008327E" w:rsidP="002857FC">
            <w:pPr>
              <w:spacing w:before="20" w:after="20"/>
              <w:jc w:val="left"/>
              <w:rPr>
                <w:rFonts w:cs="Arial"/>
                <w:b/>
                <w:bCs/>
                <w:sz w:val="18"/>
                <w:szCs w:val="18"/>
              </w:rPr>
            </w:pPr>
            <w:r w:rsidRPr="008C4DB4">
              <w:rPr>
                <w:rFonts w:cs="Arial"/>
                <w:b/>
                <w:sz w:val="18"/>
                <w:szCs w:val="18"/>
              </w:rPr>
              <w:t>UKUPNO</w:t>
            </w:r>
          </w:p>
        </w:tc>
        <w:tc>
          <w:tcPr>
            <w:tcW w:w="1076" w:type="pct"/>
            <w:tcBorders>
              <w:top w:val="single" w:sz="4" w:space="0" w:color="8EAADB" w:themeColor="accent1" w:themeTint="99"/>
              <w:left w:val="nil"/>
              <w:bottom w:val="single" w:sz="4" w:space="0" w:color="8EAADB" w:themeColor="accent1" w:themeTint="99"/>
              <w:right w:val="nil"/>
            </w:tcBorders>
            <w:noWrap/>
            <w:vAlign w:val="center"/>
            <w:hideMark/>
          </w:tcPr>
          <w:p w14:paraId="1A71E6CB" w14:textId="2F9CDEFA" w:rsidR="0008327E" w:rsidRPr="008C4DB4" w:rsidRDefault="0008327E" w:rsidP="002857FC">
            <w:pPr>
              <w:spacing w:before="20" w:after="20"/>
              <w:jc w:val="center"/>
              <w:rPr>
                <w:rFonts w:cs="Arial"/>
                <w:b/>
                <w:bCs/>
                <w:sz w:val="18"/>
                <w:szCs w:val="18"/>
              </w:rPr>
            </w:pPr>
            <w:r w:rsidRPr="003460FC">
              <w:rPr>
                <w:b/>
                <w:bCs/>
                <w:sz w:val="18"/>
                <w:szCs w:val="18"/>
              </w:rPr>
              <w:t xml:space="preserve">970,01 </w:t>
            </w:r>
          </w:p>
        </w:tc>
        <w:tc>
          <w:tcPr>
            <w:tcW w:w="1346" w:type="pct"/>
            <w:tcBorders>
              <w:top w:val="single" w:sz="4" w:space="0" w:color="8EAADB" w:themeColor="accent1" w:themeTint="99"/>
              <w:left w:val="nil"/>
              <w:bottom w:val="single" w:sz="4" w:space="0" w:color="8EAADB" w:themeColor="accent1" w:themeTint="99"/>
              <w:right w:val="nil"/>
            </w:tcBorders>
            <w:noWrap/>
            <w:vAlign w:val="center"/>
            <w:hideMark/>
          </w:tcPr>
          <w:p w14:paraId="1EAFB577" w14:textId="3C731E2F" w:rsidR="0008327E" w:rsidRPr="008C4DB4" w:rsidRDefault="0008327E" w:rsidP="002857FC">
            <w:pPr>
              <w:spacing w:before="20" w:after="20"/>
              <w:jc w:val="center"/>
              <w:rPr>
                <w:rFonts w:cs="Arial"/>
                <w:b/>
                <w:bCs/>
                <w:sz w:val="18"/>
                <w:szCs w:val="18"/>
              </w:rPr>
            </w:pPr>
            <w:r w:rsidRPr="003460FC">
              <w:rPr>
                <w:b/>
                <w:bCs/>
                <w:sz w:val="18"/>
                <w:szCs w:val="18"/>
              </w:rPr>
              <w:t xml:space="preserve">11,00 </w:t>
            </w:r>
          </w:p>
        </w:tc>
      </w:tr>
      <w:tr w:rsidR="0008327E" w:rsidRPr="00752827" w14:paraId="1AE3EE7C" w14:textId="77777777" w:rsidTr="002857FC">
        <w:trPr>
          <w:trHeight w:val="340"/>
          <w:jc w:val="center"/>
        </w:trPr>
        <w:tc>
          <w:tcPr>
            <w:tcW w:w="2578" w:type="pct"/>
            <w:tcBorders>
              <w:top w:val="single" w:sz="4" w:space="0" w:color="8EAADB" w:themeColor="accent1" w:themeTint="99"/>
              <w:left w:val="nil"/>
              <w:bottom w:val="single" w:sz="8" w:space="0" w:color="4F81BD"/>
              <w:right w:val="nil"/>
            </w:tcBorders>
            <w:shd w:val="clear" w:color="auto" w:fill="D9E2F3" w:themeFill="accent1" w:themeFillTint="33"/>
            <w:vAlign w:val="center"/>
            <w:hideMark/>
          </w:tcPr>
          <w:p w14:paraId="5D6F2399" w14:textId="77777777" w:rsidR="0008327E" w:rsidRPr="00752827" w:rsidRDefault="0008327E" w:rsidP="002857FC">
            <w:pPr>
              <w:snapToGrid w:val="0"/>
              <w:spacing w:before="20" w:after="20"/>
              <w:jc w:val="left"/>
              <w:rPr>
                <w:rFonts w:cs="Arial"/>
                <w:b/>
                <w:sz w:val="18"/>
                <w:szCs w:val="18"/>
              </w:rPr>
            </w:pPr>
            <w:r w:rsidRPr="00752827">
              <w:rPr>
                <w:rFonts w:cs="Arial"/>
                <w:b/>
                <w:sz w:val="18"/>
                <w:szCs w:val="18"/>
              </w:rPr>
              <w:t>Broj tijela koja su naplatila trošak</w:t>
            </w:r>
          </w:p>
        </w:tc>
        <w:tc>
          <w:tcPr>
            <w:tcW w:w="1076" w:type="pct"/>
            <w:tcBorders>
              <w:top w:val="single" w:sz="4" w:space="0" w:color="8EAADB" w:themeColor="accent1" w:themeTint="99"/>
              <w:left w:val="nil"/>
              <w:bottom w:val="single" w:sz="8" w:space="0" w:color="4F81BD"/>
              <w:right w:val="nil"/>
            </w:tcBorders>
            <w:shd w:val="clear" w:color="auto" w:fill="D9E2F3" w:themeFill="accent1" w:themeFillTint="33"/>
            <w:noWrap/>
            <w:vAlign w:val="center"/>
            <w:hideMark/>
          </w:tcPr>
          <w:p w14:paraId="0BB59C05" w14:textId="47FEA755" w:rsidR="0008327E" w:rsidRPr="00752827" w:rsidRDefault="0008327E" w:rsidP="002857FC">
            <w:pPr>
              <w:snapToGrid w:val="0"/>
              <w:spacing w:before="20" w:after="20"/>
              <w:jc w:val="center"/>
              <w:rPr>
                <w:rFonts w:cs="Arial"/>
                <w:b/>
                <w:sz w:val="18"/>
                <w:szCs w:val="18"/>
              </w:rPr>
            </w:pPr>
            <w:r>
              <w:rPr>
                <w:b/>
                <w:bCs/>
                <w:sz w:val="18"/>
                <w:szCs w:val="18"/>
              </w:rPr>
              <w:t>18</w:t>
            </w:r>
          </w:p>
        </w:tc>
        <w:tc>
          <w:tcPr>
            <w:tcW w:w="1346" w:type="pct"/>
            <w:tcBorders>
              <w:top w:val="single" w:sz="4" w:space="0" w:color="8EAADB" w:themeColor="accent1" w:themeTint="99"/>
              <w:left w:val="nil"/>
              <w:bottom w:val="single" w:sz="8" w:space="0" w:color="4F81BD"/>
              <w:right w:val="nil"/>
            </w:tcBorders>
            <w:shd w:val="clear" w:color="auto" w:fill="D9E2F3" w:themeFill="accent1" w:themeFillTint="33"/>
            <w:noWrap/>
            <w:vAlign w:val="center"/>
            <w:hideMark/>
          </w:tcPr>
          <w:p w14:paraId="512F33D2" w14:textId="391B1814" w:rsidR="0008327E" w:rsidRPr="00752827" w:rsidRDefault="0008327E" w:rsidP="002857FC">
            <w:pPr>
              <w:snapToGrid w:val="0"/>
              <w:spacing w:before="20" w:after="20"/>
              <w:jc w:val="center"/>
              <w:rPr>
                <w:rFonts w:cs="Arial"/>
                <w:b/>
                <w:sz w:val="18"/>
                <w:szCs w:val="18"/>
              </w:rPr>
            </w:pPr>
            <w:r>
              <w:rPr>
                <w:rFonts w:cs="Arial"/>
                <w:b/>
                <w:bCs/>
                <w:sz w:val="18"/>
                <w:szCs w:val="18"/>
              </w:rPr>
              <w:t>2</w:t>
            </w:r>
          </w:p>
        </w:tc>
      </w:tr>
    </w:tbl>
    <w:p w14:paraId="616BA4CA" w14:textId="77777777" w:rsidR="00422879" w:rsidRDefault="0008327E" w:rsidP="00050676">
      <w:pPr>
        <w:pBdr>
          <w:top w:val="single" w:sz="4" w:space="1" w:color="auto"/>
          <w:left w:val="single" w:sz="4" w:space="4" w:color="auto"/>
          <w:bottom w:val="single" w:sz="4" w:space="1" w:color="auto"/>
          <w:right w:val="single" w:sz="4" w:space="4" w:color="auto"/>
        </w:pBdr>
        <w:spacing w:before="240"/>
        <w:rPr>
          <w:rFonts w:eastAsia="Aptos" w:cs="Times New Roman"/>
          <w:kern w:val="2"/>
          <w14:ligatures w14:val="standardContextual"/>
        </w:rPr>
      </w:pPr>
      <w:bookmarkStart w:id="35" w:name="_Toc4486137"/>
      <w:bookmarkStart w:id="36" w:name="_Toc4677863"/>
      <w:bookmarkStart w:id="37" w:name="_Toc66103145"/>
      <w:bookmarkEnd w:id="19"/>
      <w:r w:rsidRPr="00654A85">
        <w:rPr>
          <w:rFonts w:eastAsia="Aptos" w:cs="Times New Roman"/>
          <w:kern w:val="2"/>
          <w14:ligatures w14:val="standardContextual"/>
        </w:rPr>
        <w:t>Analiza prikupljenih podataka ukazuje na činjenicu da je tijekom 2025. godine zaprimljeno oko 8% više zahtjeva u odnosu na godinu ranije, dok je broj tijela koja su rješavala zahtjeve manji za 1% u odnosu na godinu</w:t>
      </w:r>
      <w:r w:rsidR="00B834A8" w:rsidRPr="00654A85">
        <w:rPr>
          <w:rFonts w:eastAsia="Aptos" w:cs="Times New Roman"/>
          <w:kern w:val="2"/>
          <w14:ligatures w14:val="standardContextual"/>
        </w:rPr>
        <w:t xml:space="preserve"> prije</w:t>
      </w:r>
      <w:r w:rsidRPr="00654A85">
        <w:rPr>
          <w:rFonts w:eastAsia="Aptos" w:cs="Times New Roman"/>
          <w:kern w:val="2"/>
          <w14:ligatures w14:val="standardContextual"/>
        </w:rPr>
        <w:t xml:space="preserve">. </w:t>
      </w:r>
    </w:p>
    <w:p w14:paraId="3DBCB623" w14:textId="1A71E6A1" w:rsidR="0008327E" w:rsidRPr="00654A85" w:rsidRDefault="00FF2A37" w:rsidP="00050676">
      <w:pPr>
        <w:pBdr>
          <w:top w:val="single" w:sz="4" w:space="1" w:color="auto"/>
          <w:left w:val="single" w:sz="4" w:space="4" w:color="auto"/>
          <w:bottom w:val="single" w:sz="4" w:space="1" w:color="auto"/>
          <w:right w:val="single" w:sz="4" w:space="4" w:color="auto"/>
        </w:pBdr>
        <w:rPr>
          <w:rFonts w:eastAsia="Aptos" w:cs="Times New Roman"/>
          <w:kern w:val="2"/>
          <w14:ligatures w14:val="standardContextual"/>
        </w:rPr>
      </w:pPr>
      <w:r w:rsidRPr="004C12C6">
        <w:rPr>
          <w:rFonts w:eastAsia="Aptos" w:cs="Times New Roman"/>
          <w:kern w:val="2"/>
          <w14:ligatures w14:val="standardContextual"/>
        </w:rPr>
        <w:t xml:space="preserve">Broj zaprimljenih zahtjeva, kao i broj tijela koja rješavaju zahtjeve, varira od godine do godine i ovisi prvenstveno o korisnicima koji podnose zahtjeve, ali i o educiranosti </w:t>
      </w:r>
      <w:r w:rsidR="0008327E" w:rsidRPr="004C12C6">
        <w:rPr>
          <w:rFonts w:eastAsia="Aptos" w:cs="Times New Roman"/>
          <w:kern w:val="2"/>
          <w14:ligatures w14:val="standardContextual"/>
        </w:rPr>
        <w:t>službenika za informiranje</w:t>
      </w:r>
      <w:r w:rsidRPr="004C12C6">
        <w:rPr>
          <w:rFonts w:eastAsia="Aptos" w:cs="Times New Roman"/>
          <w:kern w:val="2"/>
          <w14:ligatures w14:val="standardContextual"/>
        </w:rPr>
        <w:t xml:space="preserve"> </w:t>
      </w:r>
      <w:r w:rsidR="00440D6E" w:rsidRPr="004C12C6">
        <w:rPr>
          <w:rFonts w:eastAsia="Aptos" w:cs="Times New Roman"/>
          <w:kern w:val="2"/>
          <w14:ligatures w14:val="standardContextual"/>
        </w:rPr>
        <w:t>koji</w:t>
      </w:r>
      <w:r w:rsidRPr="004C12C6">
        <w:rPr>
          <w:rFonts w:eastAsia="Aptos" w:cs="Times New Roman"/>
          <w:kern w:val="2"/>
          <w14:ligatures w14:val="standardContextual"/>
        </w:rPr>
        <w:t xml:space="preserve"> </w:t>
      </w:r>
      <w:r w:rsidR="00440D6E" w:rsidRPr="004C12C6">
        <w:rPr>
          <w:rFonts w:eastAsia="Aptos" w:cs="Times New Roman"/>
          <w:kern w:val="2"/>
          <w14:ligatures w14:val="standardContextual"/>
        </w:rPr>
        <w:t xml:space="preserve">u svojim izvješćima iskazuju </w:t>
      </w:r>
      <w:r w:rsidR="0008327E" w:rsidRPr="004C12C6">
        <w:rPr>
          <w:rFonts w:eastAsia="Aptos" w:cs="Times New Roman"/>
          <w:kern w:val="2"/>
          <w14:ligatures w14:val="standardContextual"/>
        </w:rPr>
        <w:t>stanj</w:t>
      </w:r>
      <w:r w:rsidR="00440D6E" w:rsidRPr="004C12C6">
        <w:rPr>
          <w:rFonts w:eastAsia="Aptos" w:cs="Times New Roman"/>
          <w:kern w:val="2"/>
          <w14:ligatures w14:val="standardContextual"/>
        </w:rPr>
        <w:t>e</w:t>
      </w:r>
      <w:r w:rsidRPr="004C12C6">
        <w:rPr>
          <w:rFonts w:eastAsia="Aptos" w:cs="Times New Roman"/>
          <w:kern w:val="2"/>
          <w14:ligatures w14:val="standardContextual"/>
        </w:rPr>
        <w:t xml:space="preserve"> </w:t>
      </w:r>
      <w:r w:rsidR="00440D6E" w:rsidRPr="004C12C6">
        <w:rPr>
          <w:rFonts w:eastAsia="Aptos" w:cs="Times New Roman"/>
          <w:kern w:val="2"/>
          <w14:ligatures w14:val="standardContextual"/>
        </w:rPr>
        <w:t xml:space="preserve">primjene i </w:t>
      </w:r>
      <w:r w:rsidRPr="004C12C6">
        <w:rPr>
          <w:rFonts w:eastAsia="Aptos" w:cs="Times New Roman"/>
          <w:kern w:val="2"/>
          <w14:ligatures w14:val="standardContextual"/>
        </w:rPr>
        <w:t>provedbe Zakona tijekom godine</w:t>
      </w:r>
      <w:r w:rsidR="00440D6E" w:rsidRPr="004C12C6">
        <w:rPr>
          <w:rFonts w:eastAsia="Aptos" w:cs="Times New Roman"/>
          <w:kern w:val="2"/>
          <w14:ligatures w14:val="standardContextual"/>
        </w:rPr>
        <w:t xml:space="preserve"> (primjerice, </w:t>
      </w:r>
      <w:r w:rsidR="0008327E" w:rsidRPr="004C12C6">
        <w:rPr>
          <w:rFonts w:eastAsia="Aptos" w:cs="Times New Roman"/>
          <w:kern w:val="2"/>
          <w14:ligatures w14:val="standardContextual"/>
        </w:rPr>
        <w:t xml:space="preserve">manji </w:t>
      </w:r>
      <w:r w:rsidR="00440D6E" w:rsidRPr="004C12C6">
        <w:rPr>
          <w:rFonts w:eastAsia="Aptos" w:cs="Times New Roman"/>
          <w:kern w:val="2"/>
          <w14:ligatures w14:val="standardContextual"/>
        </w:rPr>
        <w:t xml:space="preserve">ili veći </w:t>
      </w:r>
      <w:r w:rsidR="0008327E" w:rsidRPr="004C12C6">
        <w:rPr>
          <w:rFonts w:eastAsia="Aptos" w:cs="Times New Roman"/>
          <w:kern w:val="2"/>
          <w14:ligatures w14:val="standardContextual"/>
        </w:rPr>
        <w:t xml:space="preserve">broj upita iz djelokruga tijela javne vlasti </w:t>
      </w:r>
      <w:r w:rsidRPr="004C12C6">
        <w:rPr>
          <w:rFonts w:eastAsia="Aptos" w:cs="Times New Roman"/>
          <w:kern w:val="2"/>
          <w14:ligatures w14:val="standardContextual"/>
        </w:rPr>
        <w:t>prikazuju</w:t>
      </w:r>
      <w:r w:rsidR="00440D6E" w:rsidRPr="004C12C6">
        <w:rPr>
          <w:rFonts w:eastAsia="Aptos" w:cs="Times New Roman"/>
          <w:kern w:val="2"/>
          <w14:ligatures w14:val="standardContextual"/>
        </w:rPr>
        <w:t xml:space="preserve"> se</w:t>
      </w:r>
      <w:r w:rsidR="0008327E" w:rsidRPr="004C12C6">
        <w:rPr>
          <w:rFonts w:eastAsia="Aptos" w:cs="Times New Roman"/>
          <w:kern w:val="2"/>
          <w14:ligatures w14:val="standardContextual"/>
        </w:rPr>
        <w:t xml:space="preserve"> kao zaprimljen</w:t>
      </w:r>
      <w:r w:rsidR="00440D6E" w:rsidRPr="004C12C6">
        <w:rPr>
          <w:rFonts w:eastAsia="Aptos" w:cs="Times New Roman"/>
          <w:kern w:val="2"/>
          <w14:ligatures w14:val="standardContextual"/>
        </w:rPr>
        <w:t>i</w:t>
      </w:r>
      <w:r w:rsidR="0008327E" w:rsidRPr="004C12C6">
        <w:rPr>
          <w:rFonts w:eastAsia="Aptos" w:cs="Times New Roman"/>
          <w:kern w:val="2"/>
          <w14:ligatures w14:val="standardContextual"/>
        </w:rPr>
        <w:t xml:space="preserve"> zahtjevi za pristup informacijama</w:t>
      </w:r>
      <w:r w:rsidRPr="004C12C6">
        <w:rPr>
          <w:rFonts w:eastAsia="Aptos" w:cs="Times New Roman"/>
          <w:kern w:val="2"/>
          <w14:ligatures w14:val="standardContextual"/>
        </w:rPr>
        <w:t>, a o čemu Povjerenik već godinama upozorava</w:t>
      </w:r>
      <w:r w:rsidR="00440D6E" w:rsidRPr="004C12C6">
        <w:rPr>
          <w:rFonts w:eastAsia="Aptos" w:cs="Times New Roman"/>
          <w:kern w:val="2"/>
          <w14:ligatures w14:val="standardContextual"/>
        </w:rPr>
        <w:t>)</w:t>
      </w:r>
      <w:r w:rsidR="0008327E" w:rsidRPr="004C12C6">
        <w:rPr>
          <w:rFonts w:eastAsia="Aptos" w:cs="Times New Roman"/>
          <w:kern w:val="2"/>
          <w14:ligatures w14:val="standardContextual"/>
        </w:rPr>
        <w:t>.</w:t>
      </w:r>
    </w:p>
    <w:p w14:paraId="0BA42BEB" w14:textId="77777777" w:rsidR="0008327E" w:rsidRPr="00654A85" w:rsidRDefault="0008327E" w:rsidP="00050676">
      <w:pPr>
        <w:pBdr>
          <w:top w:val="single" w:sz="4" w:space="1" w:color="auto"/>
          <w:left w:val="single" w:sz="4" w:space="4" w:color="auto"/>
          <w:bottom w:val="single" w:sz="4" w:space="1" w:color="auto"/>
          <w:right w:val="single" w:sz="4" w:space="4" w:color="auto"/>
        </w:pBdr>
        <w:rPr>
          <w:rFonts w:eastAsia="Aptos" w:cs="Times New Roman"/>
          <w:kern w:val="2"/>
          <w14:ligatures w14:val="standardContextual"/>
        </w:rPr>
      </w:pPr>
      <w:r w:rsidRPr="00654A85">
        <w:rPr>
          <w:rFonts w:eastAsia="Aptos" w:cs="Times New Roman"/>
          <w:kern w:val="2"/>
          <w14:ligatures w14:val="standardContextual"/>
        </w:rPr>
        <w:t>Međutim, jedna petina tijela javne vlasti pet godina unazad, zaredom, nije zaprimilo niti jedan zahtjev za pristup informacijama ili ponovnu porabu informacija.</w:t>
      </w:r>
    </w:p>
    <w:p w14:paraId="343589A0" w14:textId="77777777" w:rsidR="0008327E" w:rsidRPr="00654A85" w:rsidRDefault="0008327E" w:rsidP="00050676">
      <w:pPr>
        <w:pBdr>
          <w:top w:val="single" w:sz="4" w:space="1" w:color="auto"/>
          <w:left w:val="single" w:sz="4" w:space="4" w:color="auto"/>
          <w:bottom w:val="single" w:sz="4" w:space="1" w:color="auto"/>
          <w:right w:val="single" w:sz="4" w:space="4" w:color="auto"/>
        </w:pBdr>
        <w:rPr>
          <w:rFonts w:eastAsia="Aptos" w:cs="Times New Roman"/>
          <w:kern w:val="2"/>
          <w14:ligatures w14:val="standardContextual"/>
        </w:rPr>
      </w:pPr>
      <w:r w:rsidRPr="00654A85">
        <w:rPr>
          <w:rFonts w:eastAsia="Aptos" w:cs="Times New Roman"/>
          <w:kern w:val="2"/>
          <w14:ligatures w14:val="standardContextual"/>
        </w:rPr>
        <w:t>Tijela koja su 2025. godine zaprimila minimalno jedan zahtjev, u 93% slučaja su zahtjev riješila u zakonskom roku (88%) na način da su zahtjevi većinom (69%) usvojeni odnosno da je omogućen pristup traženim informacijama.</w:t>
      </w:r>
    </w:p>
    <w:p w14:paraId="04ED7BE5" w14:textId="77777777" w:rsidR="0008327E" w:rsidRPr="00654A85" w:rsidRDefault="0008327E" w:rsidP="00050676">
      <w:pPr>
        <w:pBdr>
          <w:top w:val="single" w:sz="4" w:space="1" w:color="auto"/>
          <w:left w:val="single" w:sz="4" w:space="4" w:color="auto"/>
          <w:bottom w:val="single" w:sz="4" w:space="1" w:color="auto"/>
          <w:right w:val="single" w:sz="4" w:space="4" w:color="auto"/>
        </w:pBdr>
        <w:rPr>
          <w:rFonts w:eastAsia="Aptos" w:cs="Times New Roman"/>
          <w:kern w:val="2"/>
          <w14:ligatures w14:val="standardContextual"/>
        </w:rPr>
      </w:pPr>
      <w:r w:rsidRPr="00654A85">
        <w:rPr>
          <w:rFonts w:eastAsia="Aptos" w:cs="Times New Roman"/>
          <w:kern w:val="2"/>
          <w14:ligatures w14:val="standardContextual"/>
        </w:rPr>
        <w:t>Za razliku od prethodne godine, u 2025. je došlo do povećanja visine ostvarene naknade stvarnih troškova pružanja i dostave informacije za 20%.</w:t>
      </w:r>
    </w:p>
    <w:p w14:paraId="25B6BF95" w14:textId="67E6C073" w:rsidR="0008327E" w:rsidRPr="00F0315E" w:rsidRDefault="0008327E" w:rsidP="00050676">
      <w:pPr>
        <w:pBdr>
          <w:top w:val="single" w:sz="4" w:space="1" w:color="auto"/>
          <w:left w:val="single" w:sz="4" w:space="4" w:color="auto"/>
          <w:bottom w:val="single" w:sz="4" w:space="1" w:color="auto"/>
          <w:right w:val="single" w:sz="4" w:space="4" w:color="auto"/>
        </w:pBdr>
        <w:rPr>
          <w:rFonts w:cs="Arial"/>
        </w:rPr>
      </w:pPr>
      <w:r w:rsidRPr="00654A85">
        <w:rPr>
          <w:rFonts w:eastAsia="Aptos" w:cs="Times New Roman"/>
          <w:kern w:val="2"/>
          <w14:ligatures w14:val="standardContextual"/>
        </w:rPr>
        <w:lastRenderedPageBreak/>
        <w:t xml:space="preserve">Prilikom analize načina rješavanja zahtjeva od strane tijela javne vlasti, uočeno je da tijela različito vode službene upisnike o zaprimljenim zahtjevima. Određeni broj tijela ustupljene zahtjeve vode kao riješene i k tome kao usvojene, što nije točan </w:t>
      </w:r>
      <w:r w:rsidRPr="0066587B">
        <w:rPr>
          <w:rFonts w:eastAsia="Aptos" w:cs="Times New Roman"/>
          <w:kern w:val="2"/>
          <w14:ligatures w14:val="standardContextual"/>
        </w:rPr>
        <w:t>podatak</w:t>
      </w:r>
      <w:r>
        <w:rPr>
          <w:rFonts w:eastAsia="Aptos" w:cs="Times New Roman"/>
          <w:kern w:val="2"/>
          <w14:ligatures w14:val="standardContextual"/>
        </w:rPr>
        <w:t xml:space="preserve">, bez obzira što je </w:t>
      </w:r>
      <w:r w:rsidRPr="0066587B">
        <w:rPr>
          <w:rFonts w:eastAsia="Aptos" w:cs="Times New Roman"/>
          <w:kern w:val="2"/>
          <w14:ligatures w14:val="standardContextual"/>
        </w:rPr>
        <w:t xml:space="preserve">u obrascu izvješća kojeg Povjerenik svake godine dostavlja tijelima javne vlasti nekoliko puta napomenuto </w:t>
      </w:r>
      <w:r>
        <w:rPr>
          <w:rFonts w:eastAsia="Aptos" w:cs="Times New Roman"/>
          <w:kern w:val="2"/>
          <w14:ligatures w14:val="standardContextual"/>
        </w:rPr>
        <w:t xml:space="preserve">kako </w:t>
      </w:r>
      <w:r w:rsidRPr="0066587B">
        <w:rPr>
          <w:rFonts w:eastAsia="Aptos" w:cs="Times New Roman"/>
          <w:kern w:val="2"/>
          <w14:ligatures w14:val="standardContextual"/>
        </w:rPr>
        <w:t>se ustupljeni podaci ne računaju u riješene zahtjeve jer te zahtjeve u svom izvješću prikazuje tijelo kojem su zahtjevi ustupljeni i koje ih je rješavalo u meritumu, kako ne bi došlo do dupliciranja podataka.</w:t>
      </w:r>
    </w:p>
    <w:p w14:paraId="18BEC521" w14:textId="6F5941E4" w:rsidR="004554EB" w:rsidRPr="00F0315E" w:rsidRDefault="004554EB" w:rsidP="7D481D26">
      <w:pPr>
        <w:pStyle w:val="Naslov1"/>
      </w:pPr>
      <w:bookmarkStart w:id="38" w:name="_Toc225865564"/>
      <w:r w:rsidRPr="7D481D26">
        <w:t>Žalbeni postupak</w:t>
      </w:r>
      <w:bookmarkEnd w:id="38"/>
    </w:p>
    <w:p w14:paraId="3588C27D" w14:textId="77777777" w:rsidR="004158A8" w:rsidRPr="00F0315E" w:rsidRDefault="004158A8" w:rsidP="00811052">
      <w:pPr>
        <w:pStyle w:val="Naslov2"/>
        <w:ind w:left="1276" w:hanging="567"/>
      </w:pPr>
      <w:bookmarkStart w:id="39" w:name="_Toc99537976"/>
      <w:bookmarkStart w:id="40" w:name="_Toc225865565"/>
      <w:bookmarkStart w:id="41" w:name="_Toc66103153"/>
      <w:bookmarkEnd w:id="35"/>
      <w:bookmarkEnd w:id="36"/>
      <w:bookmarkEnd w:id="37"/>
      <w:r w:rsidRPr="7D481D26">
        <w:t>Broj i struktura žalbi</w:t>
      </w:r>
      <w:bookmarkEnd w:id="39"/>
      <w:bookmarkEnd w:id="40"/>
    </w:p>
    <w:p w14:paraId="6BE26A69" w14:textId="77777777" w:rsidR="006948A1" w:rsidRPr="006948A1" w:rsidRDefault="006948A1" w:rsidP="006948A1">
      <w:pPr>
        <w:rPr>
          <w:rFonts w:cs="Arial"/>
        </w:rPr>
      </w:pPr>
      <w:bookmarkStart w:id="42" w:name="_Toc4420857"/>
      <w:bookmarkStart w:id="43" w:name="_Toc99537977"/>
      <w:r w:rsidRPr="006948A1">
        <w:rPr>
          <w:rFonts w:cs="Arial"/>
        </w:rPr>
        <w:t>Povjerenik je prema ZPPI-ju drugostupanjsko tijelo koje rješava žalbe o zahtjevima za pristup i ponovnu uporabu informacija. Korisnici prava na pristup informacijama i ponovnu uporabu informacija imaju pravo na izjavljivanje žalbe Povjereniku, kao neovisnom tijelu, u slučajevima kada o njihovim zahtjevima tijela javne vlasti nisu riješila u zakonom propisanim rokovima (tzv. šutnja uprave) te u slučajevima kada su njihovi zahtjevi rješenjem odbijeni ili odbačeni. Povjerenik je, kao žalbeno tijelo, nadležan i za postupke po žalbama izjavljenima zbog neodlučivanja čelnika tijela o prigovorima koje su korisnici izjavili protiv obavijesti iz članka 23. stavka 1. točke 1.-6. ZPPI-ja te za žalbe izjavljene protiv rješenja koja su čelnici tijela javne vlasti donijeli po izjavljenim prigovorima.</w:t>
      </w:r>
    </w:p>
    <w:p w14:paraId="681923F8" w14:textId="77777777" w:rsidR="006948A1" w:rsidRPr="006948A1" w:rsidRDefault="006948A1" w:rsidP="006948A1">
      <w:pPr>
        <w:rPr>
          <w:rFonts w:cs="Arial"/>
        </w:rPr>
      </w:pPr>
      <w:r w:rsidRPr="006948A1">
        <w:rPr>
          <w:rFonts w:cs="Arial"/>
        </w:rPr>
        <w:t>U postupanju po žalbama i prigovorima, na sva pitanja koja nisu posebno uređena ZPPI-jem, primjenjuju se odredbe Zakona o općem upravnom postupku (dalje: ZUP).</w:t>
      </w:r>
    </w:p>
    <w:p w14:paraId="2785DB9A" w14:textId="77777777" w:rsidR="006948A1" w:rsidRPr="006948A1" w:rsidRDefault="006948A1" w:rsidP="006948A1">
      <w:pPr>
        <w:rPr>
          <w:rFonts w:cs="Arial"/>
        </w:rPr>
      </w:pPr>
      <w:r w:rsidRPr="006948A1">
        <w:rPr>
          <w:rFonts w:cs="Arial"/>
        </w:rPr>
        <w:t>Člankom 110. stavkom 1. ZUP-a propisano je da se žalba predaje prvostupanjskom tijelu na način propisan za predaju podnesaka. Ako je žalba predana drugostupanjskom tijelu, ono će je bez odgode proslijediti prvostupanjskom tijelu. Žalba koja je u roku predana drugostupanjskom tijelu smatra se pravodobnom. Stavkom 2. navedenog članka ZUP-a je propisano da kad stranka izjavljuje žalbu zbog nedonošenja rješenja u propisanom roku, žalba se može predati izravno i drugostupanjskom tijelu. Člankom 113. ZUP-a propisan je postupak i ovlasti prvostupanjskog tijela povodom žalbe. Prema navedenom članku ZUP-a, prvostupanjsko tijelo ima obvezu provjeriti je li žalba dopuštena, pravovremena ili izjavljena od ovlaštene osobe, a ako ocijeni da je žalba osnovana u cijelosti ili djelomično, može zamijeniti doneseno rješenje novim.</w:t>
      </w:r>
    </w:p>
    <w:p w14:paraId="55467C1C" w14:textId="77777777" w:rsidR="006948A1" w:rsidRPr="006948A1" w:rsidRDefault="006948A1" w:rsidP="006948A1">
      <w:pPr>
        <w:rPr>
          <w:rFonts w:cs="Arial"/>
        </w:rPr>
      </w:pPr>
      <w:r w:rsidRPr="006948A1">
        <w:rPr>
          <w:rFonts w:cs="Arial"/>
        </w:rPr>
        <w:t>Prema podacima iz dostavljenih izvješća, tijela javne vlasti su izvijestila da su u 179  slučajeva sama riješila žalbu, i to na način da je u 71 slučaju žalba usvojena, a u 108  odbačena.</w:t>
      </w:r>
    </w:p>
    <w:p w14:paraId="2B6141F2" w14:textId="0C141DDC" w:rsidR="00017A7C" w:rsidRDefault="006948A1" w:rsidP="006948A1">
      <w:pPr>
        <w:rPr>
          <w:rFonts w:cs="Arial"/>
        </w:rPr>
      </w:pPr>
      <w:r w:rsidRPr="006948A1">
        <w:rPr>
          <w:rFonts w:cs="Arial"/>
        </w:rPr>
        <w:t>U nastavku se daje prikaz podataka o žalbama pred Povjerenikom, izjavljenima u odnosu na zahtjeve za pristup i ponovnu uporabu informacija, u pogledu zaprimljenih i riješenih žalbi</w:t>
      </w:r>
      <w:r w:rsidR="00017A7C" w:rsidRPr="00F0315E">
        <w:rPr>
          <w:rFonts w:cs="Arial"/>
        </w:rPr>
        <w:t>.</w:t>
      </w:r>
    </w:p>
    <w:p w14:paraId="653294CA" w14:textId="77777777" w:rsidR="0052400E" w:rsidRDefault="0052400E" w:rsidP="006948A1">
      <w:pPr>
        <w:rPr>
          <w:rFonts w:cs="Arial"/>
        </w:rPr>
      </w:pPr>
    </w:p>
    <w:p w14:paraId="33AED951" w14:textId="77777777" w:rsidR="0052400E" w:rsidRPr="00F0315E" w:rsidRDefault="0052400E" w:rsidP="006948A1">
      <w:pPr>
        <w:rPr>
          <w:rFonts w:cs="Arial"/>
        </w:rPr>
      </w:pPr>
    </w:p>
    <w:p w14:paraId="195718DE" w14:textId="77777777" w:rsidR="004158A8" w:rsidRPr="00F0315E" w:rsidRDefault="004158A8" w:rsidP="009032D7">
      <w:pPr>
        <w:pStyle w:val="Naslov3"/>
        <w:ind w:left="1985"/>
      </w:pPr>
      <w:bookmarkStart w:id="44" w:name="_Toc225865566"/>
      <w:r>
        <w:lastRenderedPageBreak/>
        <w:t>Broj žalbi</w:t>
      </w:r>
      <w:bookmarkEnd w:id="42"/>
      <w:bookmarkEnd w:id="43"/>
      <w:bookmarkEnd w:id="44"/>
    </w:p>
    <w:p w14:paraId="7373C10A" w14:textId="77777777" w:rsidR="00D05982" w:rsidRPr="00D05982" w:rsidRDefault="00D05982" w:rsidP="00D05982">
      <w:pPr>
        <w:rPr>
          <w:rFonts w:cs="Arial"/>
        </w:rPr>
      </w:pPr>
      <w:r w:rsidRPr="00D05982">
        <w:rPr>
          <w:rFonts w:cs="Arial"/>
        </w:rPr>
        <w:t>Povjerenik je tijekom 2025. godine zaprimio ukupno 1.320 žalbi, što je u odnosu na 2024. (987 zaprimljenih žalbi), povećanje za 33,7%.</w:t>
      </w:r>
    </w:p>
    <w:p w14:paraId="3AC195DE" w14:textId="4771156A" w:rsidR="00D05982" w:rsidRPr="00D05982" w:rsidRDefault="00D05982" w:rsidP="00D05982">
      <w:pPr>
        <w:rPr>
          <w:rFonts w:cs="Arial"/>
        </w:rPr>
      </w:pPr>
      <w:r w:rsidRPr="00D05982">
        <w:rPr>
          <w:rFonts w:cs="Arial"/>
        </w:rPr>
        <w:t>Od ukupnog broja zaprimljenih žalbi, njih se 1.317 (99,</w:t>
      </w:r>
      <w:r w:rsidR="009A3D98">
        <w:rPr>
          <w:rFonts w:cs="Arial"/>
        </w:rPr>
        <w:t>7</w:t>
      </w:r>
      <w:r w:rsidRPr="00D05982">
        <w:rPr>
          <w:rFonts w:cs="Arial"/>
        </w:rPr>
        <w:t>%) odnosi na rješavanje zahtjeva za pristup informacijama, dvije (0,2%) na rješavanje zahtjeva za ponovnu uporabu informacija, te jedna (0,1%) na rješavanje zahtjeva za pristup arhivskom gradivu.</w:t>
      </w:r>
    </w:p>
    <w:p w14:paraId="2F9F3B98" w14:textId="77777777" w:rsidR="00D05982" w:rsidRPr="00D05982" w:rsidRDefault="00D05982" w:rsidP="00D05982">
      <w:pPr>
        <w:rPr>
          <w:rFonts w:cs="Arial"/>
        </w:rPr>
      </w:pPr>
      <w:r w:rsidRPr="00D05982">
        <w:rPr>
          <w:rFonts w:cs="Arial"/>
        </w:rPr>
        <w:t>Od svih zaprimljenih žalbi, 681 ili 51,6% se odnosila na žalbe zbog šutnje uprave, što predstavlja povećanje u odnosu na 2024., kad ih je bilo 43,7%.</w:t>
      </w:r>
    </w:p>
    <w:p w14:paraId="0A188F0B" w14:textId="0ABDF6CF" w:rsidR="00017A7C" w:rsidRDefault="00D05982" w:rsidP="00D05982">
      <w:pPr>
        <w:rPr>
          <w:rFonts w:cs="Arial"/>
        </w:rPr>
      </w:pPr>
      <w:r w:rsidRPr="00D05982">
        <w:rPr>
          <w:rFonts w:cs="Arial"/>
        </w:rPr>
        <w:t>Tijela javne vlasti u odnosu na koje je u 2025. izjavljen najveći broj žalbi zbog šutnje uprave su: Ministarstvo znanosti, obrazovanja i mladih (32), Ministarstvo unutarnjih poslova (27), Grad Zagreb (24), Državni inspektorat i Hrvatski olimpijski odbor (po 22), Agencija za odgoj i obrazovanje (19), Grad Dubrovnik i Ministarstvo pravosuđa, uprave i digitalne transformacije (po 16), Grad Split (14) i Ministarstvo financija (11)</w:t>
      </w:r>
      <w:r w:rsidR="00017A7C" w:rsidRPr="004A5107">
        <w:rPr>
          <w:rFonts w:cs="Arial"/>
        </w:rPr>
        <w:t xml:space="preserve">. </w:t>
      </w:r>
    </w:p>
    <w:p w14:paraId="737DB02E" w14:textId="14AD7A1E" w:rsidR="004158A8" w:rsidRPr="00F0315E" w:rsidRDefault="004158A8" w:rsidP="00BF0F8B">
      <w:pPr>
        <w:keepNext/>
        <w:widowControl w:val="0"/>
        <w:spacing w:before="240"/>
        <w:rPr>
          <w:rFonts w:cs="Arial"/>
          <w:sz w:val="18"/>
          <w:szCs w:val="18"/>
        </w:rPr>
      </w:pPr>
      <w:r w:rsidRPr="00AB088A">
        <w:rPr>
          <w:rFonts w:cs="Arial"/>
          <w:sz w:val="18"/>
          <w:szCs w:val="18"/>
        </w:rPr>
        <w:t xml:space="preserve">Tablica </w:t>
      </w:r>
      <w:r w:rsidR="00302599" w:rsidRPr="00AB088A">
        <w:rPr>
          <w:rFonts w:cs="Arial"/>
          <w:sz w:val="18"/>
          <w:szCs w:val="18"/>
        </w:rPr>
        <w:t>4</w:t>
      </w:r>
      <w:r w:rsidRPr="00AB088A">
        <w:rPr>
          <w:rFonts w:cs="Arial"/>
          <w:sz w:val="18"/>
          <w:szCs w:val="18"/>
        </w:rPr>
        <w:t xml:space="preserve">.1. Broj izjavljenih žalbi i udio žalbi zbog šutnje uprave po godinama </w:t>
      </w:r>
      <w:r w:rsidR="00C26E7C" w:rsidRPr="00AB088A">
        <w:rPr>
          <w:rFonts w:cs="Arial"/>
          <w:sz w:val="18"/>
          <w:szCs w:val="18"/>
        </w:rPr>
        <w:t>202</w:t>
      </w:r>
      <w:r w:rsidR="00AB088A" w:rsidRPr="00AB088A">
        <w:rPr>
          <w:rFonts w:cs="Arial"/>
          <w:sz w:val="18"/>
          <w:szCs w:val="18"/>
        </w:rPr>
        <w:t>1</w:t>
      </w:r>
      <w:r w:rsidRPr="00AB088A">
        <w:rPr>
          <w:rFonts w:cs="Arial"/>
          <w:sz w:val="18"/>
          <w:szCs w:val="18"/>
        </w:rPr>
        <w:t>.-202</w:t>
      </w:r>
      <w:r w:rsidR="00017A7C" w:rsidRPr="00AB088A">
        <w:rPr>
          <w:rFonts w:cs="Arial"/>
          <w:sz w:val="18"/>
          <w:szCs w:val="18"/>
        </w:rPr>
        <w:t>5</w:t>
      </w:r>
      <w:r w:rsidRPr="00AB088A">
        <w:rPr>
          <w:rFonts w:cs="Arial"/>
          <w:sz w:val="18"/>
          <w:szCs w:val="18"/>
        </w:rPr>
        <w:t>.</w:t>
      </w:r>
    </w:p>
    <w:tbl>
      <w:tblPr>
        <w:tblW w:w="4985" w:type="pct"/>
        <w:tblBorders>
          <w:top w:val="single" w:sz="4" w:space="0" w:color="8EAADB"/>
          <w:bottom w:val="single" w:sz="4" w:space="0" w:color="8EAADB"/>
        </w:tblBorders>
        <w:tblLook w:val="04A0" w:firstRow="1" w:lastRow="0" w:firstColumn="1" w:lastColumn="0" w:noHBand="0" w:noVBand="1"/>
      </w:tblPr>
      <w:tblGrid>
        <w:gridCol w:w="2373"/>
        <w:gridCol w:w="3687"/>
        <w:gridCol w:w="1728"/>
        <w:gridCol w:w="1257"/>
      </w:tblGrid>
      <w:tr w:rsidR="00D84699" w:rsidRPr="00F0315E" w14:paraId="0AACD4E0" w14:textId="77777777" w:rsidTr="002857FC">
        <w:trPr>
          <w:trHeight w:val="340"/>
        </w:trPr>
        <w:tc>
          <w:tcPr>
            <w:tcW w:w="1312" w:type="pct"/>
            <w:vMerge w:val="restart"/>
            <w:tcBorders>
              <w:top w:val="single" w:sz="8" w:space="0" w:color="4472C4" w:themeColor="accent1"/>
              <w:left w:val="nil"/>
              <w:bottom w:val="single" w:sz="4" w:space="0" w:color="8EAADB"/>
              <w:right w:val="nil"/>
            </w:tcBorders>
            <w:vAlign w:val="center"/>
            <w:hideMark/>
          </w:tcPr>
          <w:p w14:paraId="37DCC7F4" w14:textId="77777777" w:rsidR="00D84699" w:rsidRPr="00BF0F8B" w:rsidRDefault="00D84699" w:rsidP="002857FC">
            <w:pPr>
              <w:widowControl w:val="0"/>
              <w:snapToGrid w:val="0"/>
              <w:spacing w:before="20" w:after="20"/>
              <w:jc w:val="center"/>
              <w:rPr>
                <w:rFonts w:eastAsia="Times New Roman" w:cs="Arial"/>
                <w:b/>
                <w:sz w:val="18"/>
                <w:szCs w:val="18"/>
                <w:lang w:eastAsia="ko-KR"/>
              </w:rPr>
            </w:pPr>
            <w:r w:rsidRPr="00BF0F8B">
              <w:rPr>
                <w:rFonts w:eastAsia="Times New Roman" w:cs="Arial"/>
                <w:b/>
                <w:sz w:val="18"/>
                <w:szCs w:val="18"/>
                <w:lang w:eastAsia="ko-KR"/>
              </w:rPr>
              <w:t>Godina</w:t>
            </w:r>
          </w:p>
        </w:tc>
        <w:tc>
          <w:tcPr>
            <w:tcW w:w="2038" w:type="pct"/>
            <w:vMerge w:val="restart"/>
            <w:tcBorders>
              <w:top w:val="single" w:sz="8" w:space="0" w:color="4472C4" w:themeColor="accent1"/>
              <w:left w:val="nil"/>
              <w:right w:val="nil"/>
            </w:tcBorders>
            <w:vAlign w:val="center"/>
            <w:hideMark/>
          </w:tcPr>
          <w:p w14:paraId="2BEF9D34" w14:textId="640774C5" w:rsidR="00D84699" w:rsidRPr="00BF0F8B" w:rsidRDefault="00D84699" w:rsidP="002857FC">
            <w:pPr>
              <w:widowControl w:val="0"/>
              <w:snapToGrid w:val="0"/>
              <w:spacing w:before="20" w:after="20"/>
              <w:jc w:val="center"/>
              <w:rPr>
                <w:rFonts w:eastAsia="Times New Roman" w:cs="Arial"/>
                <w:b/>
                <w:sz w:val="18"/>
                <w:szCs w:val="18"/>
                <w:lang w:eastAsia="ko-KR"/>
              </w:rPr>
            </w:pPr>
            <w:r w:rsidRPr="00BF0F8B">
              <w:rPr>
                <w:rFonts w:eastAsia="Times New Roman" w:cs="Arial"/>
                <w:b/>
                <w:sz w:val="18"/>
                <w:szCs w:val="18"/>
                <w:lang w:eastAsia="ko-KR"/>
              </w:rPr>
              <w:t>Izjavljene žalbe ukupno</w:t>
            </w:r>
          </w:p>
        </w:tc>
        <w:tc>
          <w:tcPr>
            <w:tcW w:w="1650" w:type="pct"/>
            <w:gridSpan w:val="2"/>
            <w:tcBorders>
              <w:top w:val="single" w:sz="8" w:space="0" w:color="4472C4" w:themeColor="accent1"/>
              <w:left w:val="nil"/>
              <w:bottom w:val="nil"/>
              <w:right w:val="nil"/>
            </w:tcBorders>
            <w:vAlign w:val="center"/>
            <w:hideMark/>
          </w:tcPr>
          <w:p w14:paraId="226EAB42" w14:textId="77777777" w:rsidR="00D84699" w:rsidRPr="00BF0F8B" w:rsidRDefault="00D84699" w:rsidP="002857FC">
            <w:pPr>
              <w:widowControl w:val="0"/>
              <w:snapToGrid w:val="0"/>
              <w:spacing w:before="20" w:after="20"/>
              <w:jc w:val="center"/>
              <w:rPr>
                <w:rFonts w:eastAsia="Times New Roman" w:cs="Arial"/>
                <w:b/>
                <w:sz w:val="18"/>
                <w:szCs w:val="18"/>
                <w:lang w:eastAsia="ko-KR"/>
              </w:rPr>
            </w:pPr>
            <w:r w:rsidRPr="00BF0F8B">
              <w:rPr>
                <w:rFonts w:eastAsia="Times New Roman" w:cs="Arial"/>
                <w:b/>
                <w:sz w:val="18"/>
                <w:szCs w:val="18"/>
                <w:lang w:eastAsia="ko-KR"/>
              </w:rPr>
              <w:t>Žalbe zbog šutnje uprave</w:t>
            </w:r>
          </w:p>
        </w:tc>
      </w:tr>
      <w:tr w:rsidR="00D84699" w:rsidRPr="00F0315E" w14:paraId="5E444167" w14:textId="77777777" w:rsidTr="002857FC">
        <w:trPr>
          <w:trHeight w:val="340"/>
        </w:trPr>
        <w:tc>
          <w:tcPr>
            <w:tcW w:w="1312" w:type="pct"/>
            <w:vMerge/>
            <w:tcBorders>
              <w:top w:val="single" w:sz="4" w:space="0" w:color="8EAADB"/>
              <w:left w:val="nil"/>
              <w:bottom w:val="single" w:sz="8" w:space="0" w:color="4472C4" w:themeColor="accent1"/>
              <w:right w:val="nil"/>
            </w:tcBorders>
            <w:vAlign w:val="center"/>
            <w:hideMark/>
          </w:tcPr>
          <w:p w14:paraId="236F5D4F" w14:textId="77777777" w:rsidR="00D84699" w:rsidRPr="00BF0F8B" w:rsidRDefault="00D84699" w:rsidP="002857FC">
            <w:pPr>
              <w:snapToGrid w:val="0"/>
              <w:spacing w:before="20" w:after="20"/>
              <w:jc w:val="left"/>
              <w:rPr>
                <w:rFonts w:eastAsia="Times New Roman" w:cs="Arial"/>
                <w:b/>
                <w:sz w:val="18"/>
                <w:szCs w:val="18"/>
                <w:lang w:eastAsia="ko-KR"/>
              </w:rPr>
            </w:pPr>
          </w:p>
        </w:tc>
        <w:tc>
          <w:tcPr>
            <w:tcW w:w="2038" w:type="pct"/>
            <w:vMerge/>
            <w:tcBorders>
              <w:left w:val="nil"/>
              <w:bottom w:val="single" w:sz="8" w:space="0" w:color="4472C4" w:themeColor="accent1"/>
              <w:right w:val="nil"/>
            </w:tcBorders>
            <w:shd w:val="clear" w:color="auto" w:fill="D9E2F3"/>
            <w:vAlign w:val="center"/>
            <w:hideMark/>
          </w:tcPr>
          <w:p w14:paraId="025B6191" w14:textId="02760D2F" w:rsidR="00D84699" w:rsidRPr="00BF0F8B" w:rsidRDefault="00D84699" w:rsidP="002857FC">
            <w:pPr>
              <w:widowControl w:val="0"/>
              <w:snapToGrid w:val="0"/>
              <w:spacing w:before="20" w:after="20"/>
              <w:jc w:val="center"/>
              <w:rPr>
                <w:rFonts w:eastAsia="Times New Roman" w:cs="Arial"/>
                <w:b/>
                <w:i/>
                <w:sz w:val="18"/>
                <w:szCs w:val="18"/>
                <w:lang w:eastAsia="ko-KR"/>
              </w:rPr>
            </w:pPr>
          </w:p>
        </w:tc>
        <w:tc>
          <w:tcPr>
            <w:tcW w:w="955" w:type="pct"/>
            <w:tcBorders>
              <w:top w:val="nil"/>
              <w:left w:val="nil"/>
              <w:bottom w:val="single" w:sz="8" w:space="0" w:color="4472C4" w:themeColor="accent1"/>
              <w:right w:val="nil"/>
            </w:tcBorders>
            <w:vAlign w:val="center"/>
            <w:hideMark/>
          </w:tcPr>
          <w:p w14:paraId="06BA9E31" w14:textId="77777777" w:rsidR="00D84699" w:rsidRPr="00D84699" w:rsidRDefault="00D84699" w:rsidP="002857FC">
            <w:pPr>
              <w:widowControl w:val="0"/>
              <w:snapToGrid w:val="0"/>
              <w:spacing w:before="20" w:after="20"/>
              <w:jc w:val="center"/>
              <w:rPr>
                <w:rFonts w:eastAsia="Times New Roman" w:cs="Arial"/>
                <w:b/>
                <w:iCs/>
                <w:sz w:val="18"/>
                <w:szCs w:val="18"/>
                <w:lang w:eastAsia="ko-KR"/>
              </w:rPr>
            </w:pPr>
            <w:r w:rsidRPr="00D84699">
              <w:rPr>
                <w:rFonts w:eastAsia="Times New Roman" w:cs="Arial"/>
                <w:b/>
                <w:iCs/>
                <w:sz w:val="18"/>
                <w:szCs w:val="18"/>
                <w:lang w:eastAsia="ko-KR"/>
              </w:rPr>
              <w:t>Broj</w:t>
            </w:r>
          </w:p>
        </w:tc>
        <w:tc>
          <w:tcPr>
            <w:tcW w:w="695" w:type="pct"/>
            <w:tcBorders>
              <w:top w:val="nil"/>
              <w:left w:val="nil"/>
              <w:bottom w:val="single" w:sz="8" w:space="0" w:color="4472C4" w:themeColor="accent1"/>
              <w:right w:val="nil"/>
            </w:tcBorders>
            <w:vAlign w:val="center"/>
            <w:hideMark/>
          </w:tcPr>
          <w:p w14:paraId="40537F37" w14:textId="77777777" w:rsidR="00D84699" w:rsidRPr="00D84699" w:rsidRDefault="00D84699" w:rsidP="002857FC">
            <w:pPr>
              <w:widowControl w:val="0"/>
              <w:snapToGrid w:val="0"/>
              <w:spacing w:before="20" w:after="20"/>
              <w:jc w:val="center"/>
              <w:rPr>
                <w:rFonts w:eastAsia="Times New Roman" w:cs="Arial"/>
                <w:b/>
                <w:iCs/>
                <w:sz w:val="18"/>
                <w:szCs w:val="18"/>
                <w:lang w:eastAsia="ko-KR"/>
              </w:rPr>
            </w:pPr>
            <w:r w:rsidRPr="00D84699">
              <w:rPr>
                <w:rFonts w:eastAsia="Times New Roman" w:cs="Arial"/>
                <w:b/>
                <w:iCs/>
                <w:sz w:val="18"/>
                <w:szCs w:val="18"/>
                <w:lang w:eastAsia="ko-KR"/>
              </w:rPr>
              <w:t>%</w:t>
            </w:r>
          </w:p>
        </w:tc>
      </w:tr>
      <w:tr w:rsidR="00017A7C" w:rsidRPr="00F0315E" w14:paraId="5105D22C" w14:textId="77777777" w:rsidTr="002857FC">
        <w:trPr>
          <w:trHeight w:val="340"/>
        </w:trPr>
        <w:tc>
          <w:tcPr>
            <w:tcW w:w="1312" w:type="pct"/>
            <w:tcBorders>
              <w:top w:val="single" w:sz="4" w:space="0" w:color="8EAADB"/>
              <w:left w:val="nil"/>
              <w:bottom w:val="single" w:sz="4" w:space="0" w:color="8EAADB"/>
              <w:right w:val="nil"/>
            </w:tcBorders>
            <w:vAlign w:val="center"/>
          </w:tcPr>
          <w:p w14:paraId="08A6C148" w14:textId="168A05C4"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2021.</w:t>
            </w:r>
          </w:p>
        </w:tc>
        <w:tc>
          <w:tcPr>
            <w:tcW w:w="2038" w:type="pct"/>
            <w:tcBorders>
              <w:top w:val="single" w:sz="4" w:space="0" w:color="8EAADB"/>
              <w:left w:val="nil"/>
              <w:bottom w:val="single" w:sz="4" w:space="0" w:color="8EAADB"/>
              <w:right w:val="nil"/>
            </w:tcBorders>
            <w:vAlign w:val="center"/>
          </w:tcPr>
          <w:p w14:paraId="005195D7" w14:textId="2DACD8A1"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958</w:t>
            </w:r>
          </w:p>
        </w:tc>
        <w:tc>
          <w:tcPr>
            <w:tcW w:w="955" w:type="pct"/>
            <w:tcBorders>
              <w:top w:val="single" w:sz="4" w:space="0" w:color="8EAADB"/>
              <w:left w:val="nil"/>
              <w:bottom w:val="single" w:sz="4" w:space="0" w:color="8EAADB"/>
              <w:right w:val="nil"/>
            </w:tcBorders>
            <w:vAlign w:val="center"/>
          </w:tcPr>
          <w:p w14:paraId="54EE12CD" w14:textId="3B3C6D33"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532</w:t>
            </w:r>
          </w:p>
        </w:tc>
        <w:tc>
          <w:tcPr>
            <w:tcW w:w="695" w:type="pct"/>
            <w:tcBorders>
              <w:top w:val="single" w:sz="4" w:space="0" w:color="8EAADB"/>
              <w:left w:val="nil"/>
              <w:bottom w:val="single" w:sz="4" w:space="0" w:color="8EAADB"/>
              <w:right w:val="nil"/>
            </w:tcBorders>
            <w:vAlign w:val="center"/>
          </w:tcPr>
          <w:p w14:paraId="4C541711" w14:textId="0A9B5438"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55,5</w:t>
            </w:r>
          </w:p>
        </w:tc>
      </w:tr>
      <w:tr w:rsidR="00017A7C" w:rsidRPr="00F0315E" w14:paraId="11A34F28" w14:textId="77777777" w:rsidTr="002857FC">
        <w:trPr>
          <w:trHeight w:val="340"/>
        </w:trPr>
        <w:tc>
          <w:tcPr>
            <w:tcW w:w="1312" w:type="pct"/>
            <w:tcBorders>
              <w:top w:val="single" w:sz="4" w:space="0" w:color="8EAADB"/>
              <w:left w:val="nil"/>
              <w:bottom w:val="single" w:sz="4" w:space="0" w:color="8EAADB"/>
              <w:right w:val="nil"/>
            </w:tcBorders>
            <w:shd w:val="clear" w:color="auto" w:fill="D9E2F3"/>
            <w:vAlign w:val="center"/>
          </w:tcPr>
          <w:p w14:paraId="675CCA82" w14:textId="0F0CEF24"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2022.</w:t>
            </w:r>
          </w:p>
        </w:tc>
        <w:tc>
          <w:tcPr>
            <w:tcW w:w="2038" w:type="pct"/>
            <w:tcBorders>
              <w:top w:val="single" w:sz="4" w:space="0" w:color="8EAADB"/>
              <w:left w:val="nil"/>
              <w:bottom w:val="single" w:sz="4" w:space="0" w:color="8EAADB"/>
              <w:right w:val="nil"/>
            </w:tcBorders>
            <w:shd w:val="clear" w:color="auto" w:fill="D9E2F3"/>
            <w:vAlign w:val="center"/>
          </w:tcPr>
          <w:p w14:paraId="6DD1C5F9" w14:textId="5685EE06"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1.554</w:t>
            </w:r>
          </w:p>
        </w:tc>
        <w:tc>
          <w:tcPr>
            <w:tcW w:w="955" w:type="pct"/>
            <w:tcBorders>
              <w:top w:val="single" w:sz="4" w:space="0" w:color="8EAADB"/>
              <w:left w:val="nil"/>
              <w:bottom w:val="single" w:sz="4" w:space="0" w:color="8EAADB"/>
              <w:right w:val="nil"/>
            </w:tcBorders>
            <w:shd w:val="clear" w:color="auto" w:fill="D9E2F3"/>
            <w:vAlign w:val="center"/>
          </w:tcPr>
          <w:p w14:paraId="23A4DF1D" w14:textId="6EBDDC39"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640</w:t>
            </w:r>
          </w:p>
        </w:tc>
        <w:tc>
          <w:tcPr>
            <w:tcW w:w="695" w:type="pct"/>
            <w:tcBorders>
              <w:top w:val="single" w:sz="4" w:space="0" w:color="8EAADB"/>
              <w:left w:val="nil"/>
              <w:bottom w:val="single" w:sz="4" w:space="0" w:color="8EAADB"/>
              <w:right w:val="nil"/>
            </w:tcBorders>
            <w:shd w:val="clear" w:color="auto" w:fill="D9E2F3"/>
            <w:vAlign w:val="center"/>
          </w:tcPr>
          <w:p w14:paraId="0710268B" w14:textId="4201A466"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41,2</w:t>
            </w:r>
          </w:p>
        </w:tc>
      </w:tr>
      <w:tr w:rsidR="00017A7C" w:rsidRPr="00F0315E" w14:paraId="1099A00B" w14:textId="77777777" w:rsidTr="002857FC">
        <w:trPr>
          <w:trHeight w:val="340"/>
        </w:trPr>
        <w:tc>
          <w:tcPr>
            <w:tcW w:w="1312" w:type="pct"/>
            <w:tcBorders>
              <w:top w:val="single" w:sz="4" w:space="0" w:color="8EAADB"/>
              <w:left w:val="nil"/>
              <w:bottom w:val="single" w:sz="4" w:space="0" w:color="8EAADB"/>
              <w:right w:val="nil"/>
            </w:tcBorders>
            <w:vAlign w:val="center"/>
          </w:tcPr>
          <w:p w14:paraId="41206EE6" w14:textId="4DD70428"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2023.</w:t>
            </w:r>
          </w:p>
        </w:tc>
        <w:tc>
          <w:tcPr>
            <w:tcW w:w="2038" w:type="pct"/>
            <w:tcBorders>
              <w:top w:val="single" w:sz="4" w:space="0" w:color="8EAADB"/>
              <w:left w:val="nil"/>
              <w:bottom w:val="single" w:sz="4" w:space="0" w:color="8EAADB"/>
              <w:right w:val="nil"/>
            </w:tcBorders>
            <w:vAlign w:val="center"/>
          </w:tcPr>
          <w:p w14:paraId="144B3E55" w14:textId="5E193094"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1.179</w:t>
            </w:r>
          </w:p>
        </w:tc>
        <w:tc>
          <w:tcPr>
            <w:tcW w:w="955" w:type="pct"/>
            <w:tcBorders>
              <w:top w:val="single" w:sz="4" w:space="0" w:color="8EAADB"/>
              <w:left w:val="nil"/>
              <w:bottom w:val="single" w:sz="4" w:space="0" w:color="8EAADB"/>
              <w:right w:val="nil"/>
            </w:tcBorders>
            <w:vAlign w:val="center"/>
          </w:tcPr>
          <w:p w14:paraId="25A2EF03" w14:textId="642B1AC6"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652</w:t>
            </w:r>
          </w:p>
        </w:tc>
        <w:tc>
          <w:tcPr>
            <w:tcW w:w="695" w:type="pct"/>
            <w:tcBorders>
              <w:top w:val="single" w:sz="4" w:space="0" w:color="8EAADB"/>
              <w:left w:val="nil"/>
              <w:bottom w:val="single" w:sz="4" w:space="0" w:color="8EAADB"/>
              <w:right w:val="nil"/>
            </w:tcBorders>
            <w:vAlign w:val="center"/>
          </w:tcPr>
          <w:p w14:paraId="76B81F67" w14:textId="064A26F2"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55,3</w:t>
            </w:r>
          </w:p>
        </w:tc>
      </w:tr>
      <w:tr w:rsidR="00017A7C" w:rsidRPr="00F0315E" w14:paraId="2201F08F" w14:textId="77777777" w:rsidTr="002857FC">
        <w:trPr>
          <w:trHeight w:val="340"/>
        </w:trPr>
        <w:tc>
          <w:tcPr>
            <w:tcW w:w="1312" w:type="pct"/>
            <w:tcBorders>
              <w:top w:val="single" w:sz="4" w:space="0" w:color="8EAADB"/>
              <w:left w:val="nil"/>
              <w:bottom w:val="single" w:sz="8" w:space="0" w:color="4472C4" w:themeColor="accent1"/>
              <w:right w:val="nil"/>
            </w:tcBorders>
            <w:shd w:val="clear" w:color="auto" w:fill="D9E2F3"/>
            <w:vAlign w:val="center"/>
          </w:tcPr>
          <w:p w14:paraId="709D6F94" w14:textId="140BF2B9"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2024.</w:t>
            </w:r>
          </w:p>
        </w:tc>
        <w:tc>
          <w:tcPr>
            <w:tcW w:w="2038" w:type="pct"/>
            <w:tcBorders>
              <w:top w:val="single" w:sz="4" w:space="0" w:color="8EAADB"/>
              <w:left w:val="nil"/>
              <w:bottom w:val="single" w:sz="8" w:space="0" w:color="4472C4" w:themeColor="accent1"/>
              <w:right w:val="nil"/>
            </w:tcBorders>
            <w:shd w:val="clear" w:color="auto" w:fill="D9E2F3"/>
            <w:vAlign w:val="center"/>
          </w:tcPr>
          <w:p w14:paraId="62CE79B3" w14:textId="75EFF207"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987</w:t>
            </w:r>
          </w:p>
        </w:tc>
        <w:tc>
          <w:tcPr>
            <w:tcW w:w="955" w:type="pct"/>
            <w:tcBorders>
              <w:top w:val="single" w:sz="4" w:space="0" w:color="8EAADB"/>
              <w:left w:val="nil"/>
              <w:bottom w:val="single" w:sz="8" w:space="0" w:color="4472C4" w:themeColor="accent1"/>
              <w:right w:val="nil"/>
            </w:tcBorders>
            <w:shd w:val="clear" w:color="auto" w:fill="D9E2F3"/>
            <w:vAlign w:val="center"/>
          </w:tcPr>
          <w:p w14:paraId="261FA876" w14:textId="2CDBF342"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431</w:t>
            </w:r>
          </w:p>
        </w:tc>
        <w:tc>
          <w:tcPr>
            <w:tcW w:w="695" w:type="pct"/>
            <w:tcBorders>
              <w:top w:val="single" w:sz="4" w:space="0" w:color="8EAADB"/>
              <w:left w:val="nil"/>
              <w:bottom w:val="single" w:sz="8" w:space="0" w:color="4472C4" w:themeColor="accent1"/>
              <w:right w:val="nil"/>
            </w:tcBorders>
            <w:shd w:val="clear" w:color="auto" w:fill="D9E2F3"/>
            <w:vAlign w:val="center"/>
          </w:tcPr>
          <w:p w14:paraId="278E87F1" w14:textId="490BFC8B" w:rsidR="00017A7C" w:rsidRPr="00840853" w:rsidRDefault="00017A7C" w:rsidP="002857FC">
            <w:pPr>
              <w:widowControl w:val="0"/>
              <w:snapToGrid w:val="0"/>
              <w:spacing w:before="20" w:after="20"/>
              <w:jc w:val="center"/>
              <w:rPr>
                <w:rFonts w:eastAsia="Times New Roman" w:cs="Arial"/>
                <w:bCs/>
                <w:sz w:val="18"/>
                <w:szCs w:val="18"/>
                <w:lang w:eastAsia="ko-KR"/>
              </w:rPr>
            </w:pPr>
            <w:r w:rsidRPr="007E6804">
              <w:rPr>
                <w:rFonts w:eastAsia="Times New Roman" w:cs="Arial"/>
                <w:bCs/>
                <w:sz w:val="18"/>
                <w:szCs w:val="18"/>
                <w:lang w:eastAsia="ko-KR"/>
              </w:rPr>
              <w:t>43,7</w:t>
            </w:r>
          </w:p>
        </w:tc>
      </w:tr>
      <w:tr w:rsidR="00017A7C" w:rsidRPr="00F0315E" w14:paraId="398FF0F1" w14:textId="77777777" w:rsidTr="002857FC">
        <w:trPr>
          <w:trHeight w:val="340"/>
        </w:trPr>
        <w:tc>
          <w:tcPr>
            <w:tcW w:w="1312" w:type="pct"/>
            <w:tcBorders>
              <w:top w:val="single" w:sz="8" w:space="0" w:color="4472C4" w:themeColor="accent1"/>
              <w:left w:val="nil"/>
              <w:bottom w:val="single" w:sz="8" w:space="0" w:color="4472C4" w:themeColor="accent1"/>
              <w:right w:val="nil"/>
            </w:tcBorders>
            <w:vAlign w:val="center"/>
          </w:tcPr>
          <w:p w14:paraId="71A4372F" w14:textId="296B59AE" w:rsidR="00017A7C" w:rsidRDefault="00017A7C" w:rsidP="002857FC">
            <w:pPr>
              <w:widowControl w:val="0"/>
              <w:snapToGrid w:val="0"/>
              <w:spacing w:before="20" w:after="20"/>
              <w:jc w:val="center"/>
              <w:rPr>
                <w:rFonts w:eastAsia="Times New Roman" w:cs="Arial"/>
                <w:b/>
                <w:sz w:val="18"/>
                <w:szCs w:val="18"/>
                <w:lang w:eastAsia="ko-KR"/>
              </w:rPr>
            </w:pPr>
            <w:r w:rsidRPr="007E59D2">
              <w:rPr>
                <w:rFonts w:eastAsia="Times New Roman" w:cs="Arial"/>
                <w:bCs/>
                <w:sz w:val="18"/>
                <w:szCs w:val="18"/>
                <w:lang w:eastAsia="ko-KR"/>
              </w:rPr>
              <w:t>2025.</w:t>
            </w:r>
          </w:p>
        </w:tc>
        <w:tc>
          <w:tcPr>
            <w:tcW w:w="2038" w:type="pct"/>
            <w:tcBorders>
              <w:top w:val="single" w:sz="8" w:space="0" w:color="4472C4" w:themeColor="accent1"/>
              <w:left w:val="nil"/>
              <w:bottom w:val="single" w:sz="8" w:space="0" w:color="4472C4" w:themeColor="accent1"/>
              <w:right w:val="nil"/>
            </w:tcBorders>
            <w:vAlign w:val="center"/>
          </w:tcPr>
          <w:p w14:paraId="43E5FF9C" w14:textId="1124E6DD" w:rsidR="00017A7C" w:rsidRPr="00840853" w:rsidRDefault="00017A7C" w:rsidP="002857FC">
            <w:pPr>
              <w:widowControl w:val="0"/>
              <w:snapToGrid w:val="0"/>
              <w:spacing w:before="20" w:after="20"/>
              <w:jc w:val="center"/>
              <w:rPr>
                <w:rFonts w:eastAsia="Times New Roman" w:cs="Arial"/>
                <w:b/>
                <w:color w:val="000000"/>
                <w:sz w:val="18"/>
                <w:szCs w:val="18"/>
                <w:lang w:eastAsia="ko-KR"/>
              </w:rPr>
            </w:pPr>
            <w:r w:rsidRPr="007E59D2">
              <w:rPr>
                <w:rFonts w:eastAsia="Times New Roman" w:cs="Arial"/>
                <w:bCs/>
                <w:color w:val="000000"/>
                <w:sz w:val="18"/>
                <w:szCs w:val="18"/>
                <w:lang w:eastAsia="ko-KR"/>
              </w:rPr>
              <w:t>1.320</w:t>
            </w:r>
          </w:p>
        </w:tc>
        <w:tc>
          <w:tcPr>
            <w:tcW w:w="955" w:type="pct"/>
            <w:tcBorders>
              <w:top w:val="single" w:sz="8" w:space="0" w:color="4472C4" w:themeColor="accent1"/>
              <w:left w:val="nil"/>
              <w:bottom w:val="single" w:sz="8" w:space="0" w:color="4472C4" w:themeColor="accent1"/>
              <w:right w:val="nil"/>
            </w:tcBorders>
            <w:vAlign w:val="center"/>
          </w:tcPr>
          <w:p w14:paraId="698BCEF9" w14:textId="0D0FF84E" w:rsidR="00017A7C" w:rsidRPr="00840853" w:rsidRDefault="00017A7C" w:rsidP="002857FC">
            <w:pPr>
              <w:widowControl w:val="0"/>
              <w:snapToGrid w:val="0"/>
              <w:spacing w:before="20" w:after="20"/>
              <w:jc w:val="center"/>
              <w:rPr>
                <w:rFonts w:eastAsia="Times New Roman" w:cs="Arial"/>
                <w:b/>
                <w:color w:val="000000"/>
                <w:sz w:val="18"/>
                <w:szCs w:val="18"/>
                <w:lang w:eastAsia="ko-KR"/>
              </w:rPr>
            </w:pPr>
            <w:r w:rsidRPr="007E59D2">
              <w:rPr>
                <w:rFonts w:eastAsia="Times New Roman" w:cs="Arial"/>
                <w:bCs/>
                <w:color w:val="000000"/>
                <w:sz w:val="18"/>
                <w:szCs w:val="18"/>
                <w:lang w:eastAsia="ko-KR"/>
              </w:rPr>
              <w:t>681</w:t>
            </w:r>
          </w:p>
        </w:tc>
        <w:tc>
          <w:tcPr>
            <w:tcW w:w="695" w:type="pct"/>
            <w:tcBorders>
              <w:top w:val="single" w:sz="8" w:space="0" w:color="4472C4" w:themeColor="accent1"/>
              <w:left w:val="nil"/>
              <w:bottom w:val="single" w:sz="8" w:space="0" w:color="4472C4" w:themeColor="accent1"/>
              <w:right w:val="nil"/>
            </w:tcBorders>
            <w:vAlign w:val="center"/>
          </w:tcPr>
          <w:p w14:paraId="3390155A" w14:textId="6BE4384F" w:rsidR="00017A7C" w:rsidRPr="00840853" w:rsidRDefault="00017A7C" w:rsidP="002857FC">
            <w:pPr>
              <w:widowControl w:val="0"/>
              <w:snapToGrid w:val="0"/>
              <w:spacing w:before="20" w:after="20"/>
              <w:jc w:val="center"/>
              <w:rPr>
                <w:rFonts w:eastAsia="Times New Roman" w:cs="Arial"/>
                <w:b/>
                <w:sz w:val="18"/>
                <w:szCs w:val="18"/>
                <w:lang w:eastAsia="ko-KR"/>
              </w:rPr>
            </w:pPr>
            <w:r w:rsidRPr="007E59D2">
              <w:rPr>
                <w:rFonts w:eastAsia="Times New Roman" w:cs="Arial"/>
                <w:bCs/>
                <w:sz w:val="18"/>
                <w:szCs w:val="18"/>
                <w:lang w:eastAsia="ko-KR"/>
              </w:rPr>
              <w:t>51,6</w:t>
            </w:r>
          </w:p>
        </w:tc>
      </w:tr>
      <w:tr w:rsidR="00AB088A" w:rsidRPr="00AB088A" w14:paraId="07DF67DB" w14:textId="77777777" w:rsidTr="002857FC">
        <w:trPr>
          <w:trHeight w:val="340"/>
        </w:trPr>
        <w:tc>
          <w:tcPr>
            <w:tcW w:w="1312" w:type="pct"/>
            <w:tcBorders>
              <w:top w:val="single" w:sz="8" w:space="0" w:color="4472C4" w:themeColor="accent1"/>
              <w:left w:val="nil"/>
              <w:bottom w:val="single" w:sz="8" w:space="0" w:color="4472C4" w:themeColor="accent1"/>
              <w:right w:val="nil"/>
            </w:tcBorders>
            <w:vAlign w:val="center"/>
            <w:hideMark/>
          </w:tcPr>
          <w:p w14:paraId="3F7666C8" w14:textId="3EB9BE93" w:rsidR="00017A7C" w:rsidRPr="00AB088A" w:rsidRDefault="00017A7C" w:rsidP="002857FC">
            <w:pPr>
              <w:widowControl w:val="0"/>
              <w:snapToGrid w:val="0"/>
              <w:spacing w:before="20" w:after="20"/>
              <w:jc w:val="center"/>
              <w:rPr>
                <w:rFonts w:eastAsia="Times New Roman" w:cs="Arial"/>
                <w:b/>
                <w:sz w:val="18"/>
                <w:szCs w:val="18"/>
                <w:lang w:eastAsia="ko-KR"/>
              </w:rPr>
            </w:pPr>
            <w:r w:rsidRPr="00AB088A">
              <w:rPr>
                <w:rFonts w:eastAsia="Times New Roman" w:cs="Arial"/>
                <w:b/>
                <w:sz w:val="18"/>
                <w:szCs w:val="18"/>
                <w:lang w:eastAsia="ko-KR"/>
              </w:rPr>
              <w:t>UKUPNO</w:t>
            </w:r>
          </w:p>
        </w:tc>
        <w:tc>
          <w:tcPr>
            <w:tcW w:w="2038" w:type="pct"/>
            <w:tcBorders>
              <w:top w:val="single" w:sz="8" w:space="0" w:color="4472C4" w:themeColor="accent1"/>
              <w:left w:val="nil"/>
              <w:bottom w:val="single" w:sz="8" w:space="0" w:color="4472C4" w:themeColor="accent1"/>
              <w:right w:val="nil"/>
            </w:tcBorders>
            <w:vAlign w:val="center"/>
            <w:hideMark/>
          </w:tcPr>
          <w:p w14:paraId="3C51CF6A" w14:textId="28FF0C1D" w:rsidR="00017A7C" w:rsidRPr="00AB088A" w:rsidRDefault="00A11394" w:rsidP="002857FC">
            <w:pPr>
              <w:widowControl w:val="0"/>
              <w:snapToGrid w:val="0"/>
              <w:spacing w:before="20" w:after="20"/>
              <w:jc w:val="center"/>
              <w:rPr>
                <w:rFonts w:eastAsia="Times New Roman" w:cs="Arial"/>
                <w:b/>
                <w:sz w:val="18"/>
                <w:szCs w:val="18"/>
                <w:lang w:eastAsia="ko-KR"/>
              </w:rPr>
            </w:pPr>
            <w:r w:rsidRPr="00AB088A">
              <w:rPr>
                <w:rFonts w:eastAsia="Times New Roman" w:cs="Arial"/>
                <w:b/>
                <w:sz w:val="18"/>
                <w:szCs w:val="18"/>
                <w:lang w:eastAsia="ko-KR"/>
              </w:rPr>
              <w:t>5.998</w:t>
            </w:r>
          </w:p>
        </w:tc>
        <w:tc>
          <w:tcPr>
            <w:tcW w:w="955" w:type="pct"/>
            <w:tcBorders>
              <w:top w:val="single" w:sz="8" w:space="0" w:color="4472C4" w:themeColor="accent1"/>
              <w:left w:val="nil"/>
              <w:bottom w:val="single" w:sz="8" w:space="0" w:color="4472C4" w:themeColor="accent1"/>
              <w:right w:val="nil"/>
            </w:tcBorders>
            <w:vAlign w:val="center"/>
            <w:hideMark/>
          </w:tcPr>
          <w:p w14:paraId="298ED74C" w14:textId="36739A47" w:rsidR="00017A7C" w:rsidRPr="00AB088A" w:rsidRDefault="003151FE" w:rsidP="002857FC">
            <w:pPr>
              <w:widowControl w:val="0"/>
              <w:snapToGrid w:val="0"/>
              <w:spacing w:before="20" w:after="20"/>
              <w:jc w:val="center"/>
              <w:rPr>
                <w:rFonts w:eastAsia="Times New Roman" w:cs="Arial"/>
                <w:b/>
                <w:sz w:val="18"/>
                <w:szCs w:val="18"/>
                <w:lang w:eastAsia="ko-KR"/>
              </w:rPr>
            </w:pPr>
            <w:r>
              <w:rPr>
                <w:rFonts w:eastAsia="Times New Roman" w:cs="Arial"/>
                <w:b/>
                <w:sz w:val="18"/>
                <w:szCs w:val="18"/>
                <w:lang w:eastAsia="ko-KR"/>
              </w:rPr>
              <w:t>2</w:t>
            </w:r>
            <w:r w:rsidR="00A11394" w:rsidRPr="00AB088A">
              <w:rPr>
                <w:rFonts w:eastAsia="Times New Roman" w:cs="Arial"/>
                <w:b/>
                <w:sz w:val="18"/>
                <w:szCs w:val="18"/>
                <w:lang w:eastAsia="ko-KR"/>
              </w:rPr>
              <w:t>.</w:t>
            </w:r>
            <w:r>
              <w:rPr>
                <w:rFonts w:eastAsia="Times New Roman" w:cs="Arial"/>
                <w:b/>
                <w:sz w:val="18"/>
                <w:szCs w:val="18"/>
                <w:lang w:eastAsia="ko-KR"/>
              </w:rPr>
              <w:t>936</w:t>
            </w:r>
          </w:p>
        </w:tc>
        <w:tc>
          <w:tcPr>
            <w:tcW w:w="695" w:type="pct"/>
            <w:tcBorders>
              <w:top w:val="single" w:sz="8" w:space="0" w:color="4472C4" w:themeColor="accent1"/>
              <w:left w:val="nil"/>
              <w:bottom w:val="single" w:sz="8" w:space="0" w:color="4472C4" w:themeColor="accent1"/>
              <w:right w:val="nil"/>
            </w:tcBorders>
            <w:vAlign w:val="center"/>
            <w:hideMark/>
          </w:tcPr>
          <w:p w14:paraId="67E64484" w14:textId="1DD4AD6D" w:rsidR="00017A7C" w:rsidRPr="00AB088A" w:rsidRDefault="00017A7C" w:rsidP="002857FC">
            <w:pPr>
              <w:widowControl w:val="0"/>
              <w:snapToGrid w:val="0"/>
              <w:spacing w:before="20" w:after="20"/>
              <w:jc w:val="center"/>
              <w:rPr>
                <w:rFonts w:eastAsia="Times New Roman" w:cs="Arial"/>
                <w:b/>
                <w:sz w:val="18"/>
                <w:szCs w:val="18"/>
                <w:lang w:eastAsia="ko-KR"/>
              </w:rPr>
            </w:pPr>
            <w:r w:rsidRPr="00AB088A">
              <w:rPr>
                <w:rFonts w:eastAsia="Times New Roman" w:cs="Arial"/>
                <w:b/>
                <w:sz w:val="18"/>
                <w:szCs w:val="18"/>
                <w:lang w:eastAsia="ko-KR"/>
              </w:rPr>
              <w:t>-</w:t>
            </w:r>
          </w:p>
        </w:tc>
      </w:tr>
    </w:tbl>
    <w:p w14:paraId="6F16219B" w14:textId="4777FD32" w:rsidR="00B278AE" w:rsidRPr="00B278AE" w:rsidRDefault="00B278AE" w:rsidP="00A11394">
      <w:pPr>
        <w:spacing w:before="120"/>
        <w:rPr>
          <w:rFonts w:cs="Arial"/>
        </w:rPr>
      </w:pPr>
      <w:r w:rsidRPr="00B278AE">
        <w:rPr>
          <w:rFonts w:cs="Arial"/>
        </w:rPr>
        <w:t xml:space="preserve">Tijekom 2025. je 574 ili 43,5% žalbi bilo izjavljeno na rješenja koja su tijela javne vlasti donijela u postupcima po zahtjevima za pristup i ponovnu uporabu informacija, od čega najveći broj protiv </w:t>
      </w:r>
      <w:r w:rsidR="000C5296">
        <w:rPr>
          <w:rFonts w:cs="Arial"/>
        </w:rPr>
        <w:t xml:space="preserve">rješenja </w:t>
      </w:r>
      <w:r w:rsidRPr="00B278AE">
        <w:rPr>
          <w:rFonts w:cs="Arial"/>
        </w:rPr>
        <w:t xml:space="preserve">sljedećih tijela javne vlasti: Ministarstvo financija (66), Grad Zagreb (35), Dobrovoljno vatrogasno društvo Višnjica (15), Grad Lepoglava (14), Ministarstvo znanosti, obrazovanja i mladih (13), Ministarstvo pravosuđa, uprave i digitalne transformacije (10), Hrvatska elektroprivreda, Primorsko-goranska županija i Zagrebački električni tramvaj d.o.o. (po 9) te Glazbena škola Ivana Matetića Ronjgova Rijeka (8). </w:t>
      </w:r>
    </w:p>
    <w:p w14:paraId="3F143CE8" w14:textId="77777777" w:rsidR="00B278AE" w:rsidRPr="00B278AE" w:rsidRDefault="00B278AE" w:rsidP="00B278AE">
      <w:pPr>
        <w:rPr>
          <w:rFonts w:cs="Arial"/>
        </w:rPr>
      </w:pPr>
      <w:r w:rsidRPr="00B278AE">
        <w:rPr>
          <w:rFonts w:cs="Arial"/>
        </w:rPr>
        <w:t>Zaprimljene su i 52 žalbe (3,9%) izjavljene na rješenja čelnika tijela kojim je odlučeno o prigovoru izjavljenom protiv obavijesti iz članka 23. stavka 1. točke 2.-6. ZPPI-ja. Iako je mogućnost izjavljivanja prigovora uvedena zakonskim izmjenama 2022. korisnici i dalje učestalo prigovore podnose izravno Povjereniku umjesto čelniku tijela, a ujedno tijela javne vlasti pri donošenju navedenih obavijesti često izostave uputu o pravnom lijeku, pa je tako u 2025. Povjerenik zaprimio i 51 prigovor koji je ustupljen na nadležno postupanje čelnicima tijela javne vlasti, a što predstavlja povećanje u odnosu na 2024. kada je zaprimljen 31 prigovor.</w:t>
      </w:r>
    </w:p>
    <w:p w14:paraId="06716507" w14:textId="77777777" w:rsidR="00B278AE" w:rsidRPr="00B278AE" w:rsidRDefault="00B278AE" w:rsidP="00B278AE">
      <w:pPr>
        <w:rPr>
          <w:rFonts w:cs="Arial"/>
        </w:rPr>
      </w:pPr>
      <w:r w:rsidRPr="00B278AE">
        <w:rPr>
          <w:rFonts w:cs="Arial"/>
        </w:rPr>
        <w:t xml:space="preserve">U 2025. zaprimljeno je i 13 žalbi izjavljenih na druge akte tijela javne vlasti donesene u prvostupanjskom postupku (primjerice, obavijesti o produženju roka, obavijesti o ustupanju </w:t>
      </w:r>
      <w:r w:rsidRPr="00B278AE">
        <w:rPr>
          <w:rFonts w:cs="Arial"/>
        </w:rPr>
        <w:lastRenderedPageBreak/>
        <w:t>zahtjeva), kao i tri žalbe za čije rješavanje Povjerenik za informiranje nije nadležan te su one ustupljene na rješavanje nadležnim tijelima.</w:t>
      </w:r>
    </w:p>
    <w:p w14:paraId="322C965F" w14:textId="6385AE49" w:rsidR="008B4F6F" w:rsidRDefault="00B278AE" w:rsidP="00B278AE">
      <w:pPr>
        <w:rPr>
          <w:rFonts w:cs="Arial"/>
        </w:rPr>
      </w:pPr>
      <w:r w:rsidRPr="00B278AE">
        <w:rPr>
          <w:rFonts w:cs="Arial"/>
        </w:rPr>
        <w:t>Povjerenik je zaprimio i 18 podnesaka koje su stranke nazvale žalbama, a prema svojem sadržaju predstavljali su zahtjeve za dopunu ili ispravak informacije iz članka 24. ZPPI-ja te su isti ustupljeni na postupanje prvostupanjskim tijelima</w:t>
      </w:r>
      <w:r w:rsidR="00B33E5E">
        <w:rPr>
          <w:rFonts w:cs="Arial"/>
        </w:rPr>
        <w:t>.</w:t>
      </w:r>
    </w:p>
    <w:p w14:paraId="5AEC8270" w14:textId="77777777" w:rsidR="00577E9E" w:rsidRPr="00577E9E" w:rsidRDefault="00577E9E" w:rsidP="00577E9E">
      <w:pPr>
        <w:pBdr>
          <w:top w:val="single" w:sz="4" w:space="1" w:color="auto"/>
          <w:left w:val="single" w:sz="4" w:space="4" w:color="auto"/>
          <w:bottom w:val="single" w:sz="4" w:space="1" w:color="auto"/>
          <w:right w:val="single" w:sz="4" w:space="4" w:color="auto"/>
        </w:pBdr>
        <w:rPr>
          <w:rFonts w:cs="Arial"/>
        </w:rPr>
      </w:pPr>
      <w:r w:rsidRPr="00577E9E">
        <w:rPr>
          <w:rFonts w:cs="Arial"/>
        </w:rPr>
        <w:t>U 2025. došlo je, u odnosu na prethodno izvještajno razdoblje do povećanja udjela podnesenih žalbi zbog šutnje uprave (s 43,7% na 51,6%), što upućuje na potrebu daljnjeg jačanja organizacijskih kapaciteta i odgovornosti u postupanju po zahtjevima. Naime, i dalje su prisutni izazovi u postupanju po zahtjevima za pristup informacijama, osobito izraženi kod strukturno i organizacijski složenijih tijela, koja se susreću s poteškoćama u odlučivanju unutar propisanih zakonskih rokova, ali i kod tijela koja raspolažu ograničenim organizacijskim i kadrovskim kapacitetima, uslijed čega dolazi do otežanog i pravodobnog postupanja po zaprimljenim zahtjevima. Dodatne teškoće proizlaze iz sve češćih zahtjeva kojima se traži opsežna dokumentacija, što dodatno usporava postupanje.</w:t>
      </w:r>
    </w:p>
    <w:p w14:paraId="3E54DE07" w14:textId="77777777" w:rsidR="00577E9E" w:rsidRPr="00577E9E" w:rsidRDefault="00577E9E" w:rsidP="00577E9E">
      <w:pPr>
        <w:pBdr>
          <w:top w:val="single" w:sz="4" w:space="1" w:color="auto"/>
          <w:left w:val="single" w:sz="4" w:space="4" w:color="auto"/>
          <w:bottom w:val="single" w:sz="4" w:space="1" w:color="auto"/>
          <w:right w:val="single" w:sz="4" w:space="4" w:color="auto"/>
        </w:pBdr>
        <w:rPr>
          <w:rFonts w:cs="Arial"/>
        </w:rPr>
      </w:pPr>
      <w:r w:rsidRPr="00577E9E">
        <w:rPr>
          <w:rFonts w:cs="Arial"/>
        </w:rPr>
        <w:t>Također je uočeno da pojedina tijela ne pristupaju rješavanju zahtjeva sve do zaprimanja rješenja Povjerenika kojim se nalaže njihovo rješavanje, odnosno reagiraju tek po zaprimanju zahtjeva za očitovanjem o razlozima nerješavanja. Takva praksa dovodi do nepotrebnog produljenja postupka i odgađa učinkovito ostvarivanje prava na pristup informacijama.</w:t>
      </w:r>
    </w:p>
    <w:p w14:paraId="5318B5F7" w14:textId="58D67621" w:rsidR="00D14DE7" w:rsidRPr="00F0315E" w:rsidRDefault="00577E9E" w:rsidP="00577E9E">
      <w:pPr>
        <w:pBdr>
          <w:top w:val="single" w:sz="4" w:space="1" w:color="auto"/>
          <w:left w:val="single" w:sz="4" w:space="4" w:color="auto"/>
          <w:bottom w:val="single" w:sz="4" w:space="1" w:color="auto"/>
          <w:right w:val="single" w:sz="4" w:space="4" w:color="auto"/>
        </w:pBdr>
        <w:rPr>
          <w:rFonts w:cs="Arial"/>
        </w:rPr>
      </w:pPr>
      <w:r w:rsidRPr="00577E9E">
        <w:rPr>
          <w:rFonts w:cs="Arial"/>
        </w:rPr>
        <w:t>Broj prigovora koji je izjavljen izravno Povjereniku umjesto čelniku tijela javne vlasti ukazuje da stranke nisu dovoljno upućene kome je potrebno izjaviti prigovor jer često donesene obavijesti ne sadrže uputu o pravu na podnošenje prigovora čelniku tijela javne vlasti.</w:t>
      </w:r>
    </w:p>
    <w:p w14:paraId="1B573E4C" w14:textId="3C2805BF" w:rsidR="004158A8" w:rsidRPr="00F0315E" w:rsidRDefault="004158A8" w:rsidP="009032D7">
      <w:pPr>
        <w:pStyle w:val="Naslov3"/>
        <w:ind w:left="1985"/>
      </w:pPr>
      <w:bookmarkStart w:id="45" w:name="_Toc98771799"/>
      <w:bookmarkStart w:id="46" w:name="_Toc99537978"/>
      <w:bookmarkStart w:id="47" w:name="_Toc225865567"/>
      <w:r>
        <w:t>Podnositelji žalbi</w:t>
      </w:r>
      <w:bookmarkEnd w:id="45"/>
      <w:bookmarkEnd w:id="46"/>
      <w:bookmarkEnd w:id="47"/>
      <w:r>
        <w:t xml:space="preserve"> </w:t>
      </w:r>
    </w:p>
    <w:p w14:paraId="4C858C5A" w14:textId="77777777" w:rsidR="00106596" w:rsidRPr="00106596" w:rsidRDefault="00106596" w:rsidP="00106596">
      <w:pPr>
        <w:rPr>
          <w:rFonts w:cs="Arial"/>
        </w:rPr>
      </w:pPr>
      <w:r w:rsidRPr="00106596">
        <w:rPr>
          <w:rFonts w:cs="Arial"/>
        </w:rPr>
        <w:t>Obrađeni podaci ukazuju da je i u 2025.  nastavljen trend podnošenja najvećeg broja žalbi od strane građana, koji su ih izjavili 1.099 ili 83,3% (Slika 4.1.). U fizičke osobe kao skupinu žalitelja se, uz građane, ubrajaju i fizičke osobe koje su se predstavljale u svojstvu vijećnika, člana komore i sl. te su u 2025. one izjavile 13 žalbi (1%), kao i novinari koji su izjavili 49 ili 3,7% žalbi od ukupnog broja izjavljenih žalbi, čime je njihov udio u žalbenim postupcima ostao na razini ranijih izvještajnih razdoblja (ispod 5%). Međutim, s obzirom na narav novinarskog posla, ZPPI nije osnovni instrument pribavljanja informacija od strane novinara, koji se primarno služe Zakonom o medijima.</w:t>
      </w:r>
    </w:p>
    <w:p w14:paraId="29EA565F" w14:textId="3A66353B" w:rsidR="004158A8" w:rsidRDefault="00106596" w:rsidP="00106596">
      <w:pPr>
        <w:rPr>
          <w:rFonts w:cs="Arial"/>
        </w:rPr>
      </w:pPr>
      <w:r w:rsidRPr="00106596">
        <w:rPr>
          <w:rFonts w:cs="Arial"/>
        </w:rPr>
        <w:t>Pravne osobe su podnijele 159 žalbi (12%), od čega najviše udruge (94 ili 7,1%), trgovačka društva (53 ili 4%) te ostali (12 ili 0,9%), npr. političke stranke, obrti, JLP(R)S i dr</w:t>
      </w:r>
      <w:r w:rsidR="00CE57C5" w:rsidRPr="00CE57C5">
        <w:rPr>
          <w:rFonts w:cs="Arial"/>
        </w:rPr>
        <w:t>.</w:t>
      </w:r>
    </w:p>
    <w:p w14:paraId="426B9E1E" w14:textId="77777777" w:rsidR="0052400E" w:rsidRDefault="0052400E" w:rsidP="0052400E">
      <w:pPr>
        <w:keepNext/>
        <w:widowControl w:val="0"/>
        <w:spacing w:before="240" w:after="0"/>
        <w:rPr>
          <w:rFonts w:cs="Arial"/>
          <w:sz w:val="18"/>
          <w:szCs w:val="18"/>
        </w:rPr>
      </w:pPr>
      <w:r w:rsidRPr="00F0315E">
        <w:rPr>
          <w:rFonts w:cs="Arial"/>
          <w:sz w:val="18"/>
          <w:szCs w:val="18"/>
        </w:rPr>
        <w:lastRenderedPageBreak/>
        <w:t>Slika 4.1. Udio u žalbama prema podnositeljima</w:t>
      </w:r>
    </w:p>
    <w:p w14:paraId="6E7DD607" w14:textId="5AFD7563" w:rsidR="00CE57C5" w:rsidRDefault="0052400E" w:rsidP="0052400E">
      <w:pPr>
        <w:rPr>
          <w:rFonts w:cs="Arial"/>
        </w:rPr>
      </w:pPr>
      <w:r>
        <w:rPr>
          <w:noProof/>
        </w:rPr>
        <w:drawing>
          <wp:inline distT="0" distB="0" distL="0" distR="0" wp14:anchorId="52E464B7" wp14:editId="4F4BCBEA">
            <wp:extent cx="5760720" cy="2714625"/>
            <wp:effectExtent l="0" t="0" r="11430" b="9525"/>
            <wp:docPr id="429317966" name="Grafikon 1">
              <a:extLst xmlns:a="http://schemas.openxmlformats.org/drawingml/2006/main">
                <a:ext uri="{FF2B5EF4-FFF2-40B4-BE49-F238E27FC236}">
                  <a16:creationId xmlns:a16="http://schemas.microsoft.com/office/drawing/2014/main" id="{DFB2CAD1-3DF3-4F84-B829-2218D8BF2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1BF0BE" w14:textId="179B26DB" w:rsidR="004158A8" w:rsidRPr="00F0315E" w:rsidRDefault="00E06BEF" w:rsidP="001C4409">
      <w:pPr>
        <w:spacing w:before="240"/>
        <w:rPr>
          <w:rFonts w:cs="Arial"/>
        </w:rPr>
      </w:pPr>
      <w:r w:rsidRPr="00E06BEF">
        <w:rPr>
          <w:rFonts w:cs="Arial"/>
        </w:rPr>
        <w:t>Od svih žalbi zaprimljenih tijekom 2025., 10 žalitelja s najvećim brojem izjavljenih žalbi (u rasponu od 17 do 76) izjavilo je 28,3% svih zaprimljenih žalbi, što je smanjenje u odnosu na 2024., kada je taj udio bio 36%, pa je time prekinut trend iz ranijih izvještajnih razdoblja da oko polovice ukupno izjavljenih žalbi dolazi od strane 10 žalitelja. Iako se u ovom izvještajnom razdoblju ni jedan žalitelj ne ističe velikim brojem izjavljenih pojedinačnih žalbi, kao što je to bilo u 2024. (jedan žalitelj izjavio je 147 žalbi) i nekim ranijim godinama, ipak nije zanemariva činjenica da je čak 18 žalitelja izjavilo 10 i više žalbi</w:t>
      </w:r>
      <w:r w:rsidR="004158A8" w:rsidRPr="00F0315E">
        <w:rPr>
          <w:rFonts w:cs="Arial"/>
        </w:rPr>
        <w:t>.</w:t>
      </w:r>
      <w:bookmarkStart w:id="48" w:name="_Toc99537979"/>
    </w:p>
    <w:p w14:paraId="60EEF685" w14:textId="77777777" w:rsidR="004158A8" w:rsidRPr="00F0315E" w:rsidRDefault="004158A8" w:rsidP="009032D7">
      <w:pPr>
        <w:pStyle w:val="Naslov3"/>
        <w:ind w:left="1985"/>
      </w:pPr>
      <w:bookmarkStart w:id="49" w:name="_Toc225865568"/>
      <w:r>
        <w:t>Razvrstavanje žalbi prema tijelima javne vlasti</w:t>
      </w:r>
      <w:bookmarkEnd w:id="48"/>
      <w:bookmarkEnd w:id="49"/>
      <w:r>
        <w:t xml:space="preserve"> </w:t>
      </w:r>
    </w:p>
    <w:p w14:paraId="556A31DF" w14:textId="77777777" w:rsidR="00225E3F" w:rsidRPr="00225E3F" w:rsidRDefault="00225E3F" w:rsidP="00225E3F">
      <w:pPr>
        <w:spacing w:before="240"/>
        <w:rPr>
          <w:rFonts w:cs="Arial"/>
        </w:rPr>
      </w:pPr>
      <w:r w:rsidRPr="00225E3F">
        <w:rPr>
          <w:rFonts w:cs="Arial"/>
        </w:rPr>
        <w:t>U 2025. zaprimljeno je šest žalbi koje su se odnosile na pravne osobe za koje je utvrđeno da nisu tijela javne vlasti sukladno definiciji iz članka 5. stavka 1. točke 2. ZPPI-ja, stoga su te žalbe isključene iz Tablice 4.2.</w:t>
      </w:r>
    </w:p>
    <w:p w14:paraId="341A2233" w14:textId="66081E5D" w:rsidR="00CE57C5" w:rsidRDefault="00225E3F" w:rsidP="00225E3F">
      <w:pPr>
        <w:spacing w:before="240"/>
        <w:rPr>
          <w:rFonts w:cs="Arial"/>
        </w:rPr>
      </w:pPr>
      <w:r w:rsidRPr="00225E3F">
        <w:rPr>
          <w:rFonts w:cs="Arial"/>
        </w:rPr>
        <w:t>Kao i u prethodnom izvještajnom razdoblju, najveći broj žalbi odnosio se na zahtjeve upućene JLP(R)S (352 ili 26.8%) i tijelima državne uprave (329 ili 25%)</w:t>
      </w:r>
      <w:r w:rsidR="00CE57C5" w:rsidRPr="00CE57C5">
        <w:rPr>
          <w:rFonts w:cs="Arial"/>
        </w:rPr>
        <w:t>.</w:t>
      </w:r>
    </w:p>
    <w:p w14:paraId="271A69A3" w14:textId="4CDA74F0" w:rsidR="004158A8" w:rsidRPr="00F0315E" w:rsidRDefault="004158A8" w:rsidP="00CE57C5">
      <w:pPr>
        <w:keepNext/>
        <w:widowControl w:val="0"/>
        <w:spacing w:before="240"/>
        <w:rPr>
          <w:rFonts w:cs="Arial"/>
          <w:sz w:val="18"/>
          <w:szCs w:val="18"/>
        </w:rPr>
      </w:pPr>
      <w:r w:rsidRPr="00F0315E">
        <w:rPr>
          <w:rFonts w:cs="Arial"/>
          <w:sz w:val="18"/>
          <w:szCs w:val="18"/>
        </w:rPr>
        <w:t xml:space="preserve">Tablica </w:t>
      </w:r>
      <w:r w:rsidR="00302599" w:rsidRPr="00F0315E">
        <w:rPr>
          <w:rFonts w:cs="Arial"/>
          <w:sz w:val="18"/>
          <w:szCs w:val="18"/>
        </w:rPr>
        <w:t>4</w:t>
      </w:r>
      <w:r w:rsidRPr="00F0315E">
        <w:rPr>
          <w:rFonts w:cs="Arial"/>
          <w:sz w:val="18"/>
          <w:szCs w:val="18"/>
        </w:rPr>
        <w:t>.2. Žalbe na odluke o pristupu informacijama 202</w:t>
      </w:r>
      <w:r w:rsidR="00CE57C5">
        <w:rPr>
          <w:rFonts w:cs="Arial"/>
          <w:sz w:val="18"/>
          <w:szCs w:val="18"/>
        </w:rPr>
        <w:t>4</w:t>
      </w:r>
      <w:r w:rsidRPr="00F0315E">
        <w:rPr>
          <w:rFonts w:cs="Arial"/>
          <w:sz w:val="18"/>
          <w:szCs w:val="18"/>
        </w:rPr>
        <w:t>. i 202</w:t>
      </w:r>
      <w:r w:rsidR="00CE57C5">
        <w:rPr>
          <w:rFonts w:cs="Arial"/>
          <w:sz w:val="18"/>
          <w:szCs w:val="18"/>
        </w:rPr>
        <w:t>5</w:t>
      </w:r>
      <w:r w:rsidRPr="00F0315E">
        <w:rPr>
          <w:rFonts w:cs="Arial"/>
          <w:sz w:val="18"/>
          <w:szCs w:val="18"/>
        </w:rPr>
        <w:t>. prema vrstama tijela javne vlasti</w:t>
      </w:r>
    </w:p>
    <w:tbl>
      <w:tblPr>
        <w:tblW w:w="9033" w:type="dxa"/>
        <w:jc w:val="center"/>
        <w:tblBorders>
          <w:top w:val="single" w:sz="4" w:space="0" w:color="8EAADB"/>
          <w:bottom w:val="single" w:sz="4" w:space="0" w:color="8EAADB"/>
        </w:tblBorders>
        <w:tblLayout w:type="fixed"/>
        <w:tblLook w:val="04A0" w:firstRow="1" w:lastRow="0" w:firstColumn="1" w:lastColumn="0" w:noHBand="0" w:noVBand="1"/>
      </w:tblPr>
      <w:tblGrid>
        <w:gridCol w:w="3822"/>
        <w:gridCol w:w="431"/>
        <w:gridCol w:w="1195"/>
        <w:gridCol w:w="979"/>
        <w:gridCol w:w="216"/>
        <w:gridCol w:w="1195"/>
        <w:gridCol w:w="1195"/>
      </w:tblGrid>
      <w:tr w:rsidR="008C4DB4" w:rsidRPr="00F0315E" w14:paraId="7A2FEA9E" w14:textId="77777777" w:rsidTr="00074F46">
        <w:trPr>
          <w:trHeight w:val="340"/>
          <w:jc w:val="center"/>
        </w:trPr>
        <w:tc>
          <w:tcPr>
            <w:tcW w:w="3822" w:type="dxa"/>
            <w:tcBorders>
              <w:top w:val="single" w:sz="4" w:space="0" w:color="8EAADB" w:themeColor="accent1" w:themeTint="99"/>
              <w:left w:val="nil"/>
              <w:bottom w:val="single" w:sz="4" w:space="0" w:color="8EAADB"/>
              <w:right w:val="nil"/>
            </w:tcBorders>
            <w:vAlign w:val="center"/>
            <w:hideMark/>
          </w:tcPr>
          <w:p w14:paraId="3B534F82" w14:textId="77777777" w:rsidR="008C4DB4" w:rsidRPr="00872DF4" w:rsidRDefault="008C4DB4" w:rsidP="00074F46">
            <w:pPr>
              <w:snapToGrid w:val="0"/>
              <w:spacing w:before="20" w:after="20"/>
              <w:rPr>
                <w:rFonts w:eastAsia="Times New Roman" w:cs="Arial"/>
                <w:sz w:val="18"/>
                <w:szCs w:val="18"/>
              </w:rPr>
            </w:pPr>
          </w:p>
        </w:tc>
        <w:tc>
          <w:tcPr>
            <w:tcW w:w="2605" w:type="dxa"/>
            <w:gridSpan w:val="3"/>
            <w:tcBorders>
              <w:top w:val="single" w:sz="4" w:space="0" w:color="8EAADB" w:themeColor="accent1" w:themeTint="99"/>
              <w:left w:val="nil"/>
              <w:bottom w:val="single" w:sz="4" w:space="0" w:color="8EAADB"/>
              <w:right w:val="nil"/>
            </w:tcBorders>
            <w:vAlign w:val="center"/>
            <w:hideMark/>
          </w:tcPr>
          <w:p w14:paraId="061DF809" w14:textId="3110A1F4" w:rsidR="008C4DB4" w:rsidRPr="005C5887" w:rsidRDefault="004A564E" w:rsidP="00074F46">
            <w:pPr>
              <w:widowControl w:val="0"/>
              <w:snapToGrid w:val="0"/>
              <w:spacing w:before="20" w:after="20"/>
              <w:jc w:val="center"/>
              <w:rPr>
                <w:rFonts w:eastAsia="Times New Roman" w:cs="Times New Roman"/>
                <w:b/>
                <w:bCs/>
                <w:sz w:val="18"/>
                <w:szCs w:val="18"/>
                <w:lang w:eastAsia="ko-KR"/>
              </w:rPr>
            </w:pPr>
            <w:r>
              <w:rPr>
                <w:rFonts w:eastAsia="Times New Roman" w:cs="Times New Roman"/>
                <w:b/>
                <w:bCs/>
                <w:sz w:val="18"/>
                <w:szCs w:val="18"/>
                <w:lang w:eastAsia="ko-KR"/>
              </w:rPr>
              <w:t>2024</w:t>
            </w:r>
            <w:r w:rsidR="008C4DB4" w:rsidRPr="005C5887">
              <w:rPr>
                <w:rFonts w:eastAsia="Times New Roman" w:cs="Times New Roman"/>
                <w:b/>
                <w:bCs/>
                <w:sz w:val="18"/>
                <w:szCs w:val="18"/>
                <w:lang w:eastAsia="ko-KR"/>
              </w:rPr>
              <w:t>.</w:t>
            </w:r>
          </w:p>
        </w:tc>
        <w:tc>
          <w:tcPr>
            <w:tcW w:w="2606" w:type="dxa"/>
            <w:gridSpan w:val="3"/>
            <w:tcBorders>
              <w:top w:val="single" w:sz="4" w:space="0" w:color="8EAADB" w:themeColor="accent1" w:themeTint="99"/>
              <w:left w:val="nil"/>
              <w:bottom w:val="single" w:sz="4" w:space="0" w:color="8EAADB"/>
              <w:right w:val="nil"/>
            </w:tcBorders>
            <w:vAlign w:val="center"/>
          </w:tcPr>
          <w:p w14:paraId="46C12186" w14:textId="7E150AED" w:rsidR="008C4DB4" w:rsidRPr="005C5887" w:rsidRDefault="004A564E" w:rsidP="00074F46">
            <w:pPr>
              <w:widowControl w:val="0"/>
              <w:snapToGrid w:val="0"/>
              <w:spacing w:before="20" w:after="20"/>
              <w:jc w:val="center"/>
              <w:rPr>
                <w:rFonts w:eastAsia="Times New Roman" w:cs="Times New Roman"/>
                <w:b/>
                <w:bCs/>
                <w:sz w:val="18"/>
                <w:szCs w:val="18"/>
                <w:lang w:eastAsia="ko-KR"/>
              </w:rPr>
            </w:pPr>
            <w:r>
              <w:rPr>
                <w:rFonts w:eastAsia="Times New Roman" w:cs="Times New Roman"/>
                <w:b/>
                <w:bCs/>
                <w:sz w:val="18"/>
                <w:szCs w:val="18"/>
                <w:lang w:eastAsia="ko-KR"/>
              </w:rPr>
              <w:t>2025</w:t>
            </w:r>
            <w:r w:rsidR="008C4DB4" w:rsidRPr="005C5887">
              <w:rPr>
                <w:rFonts w:eastAsia="Times New Roman" w:cs="Times New Roman"/>
                <w:b/>
                <w:bCs/>
                <w:sz w:val="18"/>
                <w:szCs w:val="18"/>
                <w:lang w:eastAsia="ko-KR"/>
              </w:rPr>
              <w:t>.</w:t>
            </w:r>
          </w:p>
        </w:tc>
      </w:tr>
      <w:tr w:rsidR="008C4DB4" w:rsidRPr="00872DF4" w14:paraId="2A3EC51F" w14:textId="77777777" w:rsidTr="00074F46">
        <w:trPr>
          <w:trHeight w:val="518"/>
          <w:jc w:val="center"/>
        </w:trPr>
        <w:tc>
          <w:tcPr>
            <w:tcW w:w="4253" w:type="dxa"/>
            <w:gridSpan w:val="2"/>
            <w:tcBorders>
              <w:top w:val="single" w:sz="4" w:space="0" w:color="8EAADB"/>
              <w:left w:val="nil"/>
              <w:bottom w:val="single" w:sz="4" w:space="0" w:color="8EAADB"/>
              <w:right w:val="nil"/>
            </w:tcBorders>
            <w:shd w:val="clear" w:color="auto" w:fill="D9E2F3"/>
            <w:vAlign w:val="center"/>
            <w:hideMark/>
          </w:tcPr>
          <w:p w14:paraId="1B48A08B" w14:textId="77777777" w:rsidR="004158A8" w:rsidRPr="00237140" w:rsidRDefault="004158A8" w:rsidP="00074F46">
            <w:pPr>
              <w:widowControl w:val="0"/>
              <w:snapToGrid w:val="0"/>
              <w:spacing w:before="20" w:after="20"/>
              <w:rPr>
                <w:rFonts w:eastAsia="Times New Roman" w:cs="Times New Roman"/>
                <w:b/>
                <w:bCs/>
                <w:sz w:val="18"/>
                <w:szCs w:val="18"/>
                <w:lang w:eastAsia="ko-KR"/>
              </w:rPr>
            </w:pPr>
            <w:r w:rsidRPr="00237140">
              <w:rPr>
                <w:rFonts w:eastAsia="Times New Roman" w:cs="Times New Roman"/>
                <w:b/>
                <w:bCs/>
                <w:sz w:val="18"/>
                <w:szCs w:val="18"/>
                <w:lang w:eastAsia="ko-KR"/>
              </w:rPr>
              <w:t>Tijela javne vlasti</w:t>
            </w:r>
          </w:p>
        </w:tc>
        <w:tc>
          <w:tcPr>
            <w:tcW w:w="1195" w:type="dxa"/>
            <w:tcBorders>
              <w:top w:val="single" w:sz="4" w:space="0" w:color="8EAADB"/>
              <w:left w:val="nil"/>
              <w:bottom w:val="single" w:sz="4" w:space="0" w:color="8EAADB"/>
              <w:right w:val="nil"/>
            </w:tcBorders>
            <w:shd w:val="clear" w:color="auto" w:fill="D9E2F3"/>
            <w:vAlign w:val="center"/>
            <w:hideMark/>
          </w:tcPr>
          <w:p w14:paraId="4C43B2C3" w14:textId="77777777" w:rsidR="004158A8" w:rsidRPr="00237140" w:rsidRDefault="004158A8" w:rsidP="00074F46">
            <w:pPr>
              <w:widowControl w:val="0"/>
              <w:snapToGrid w:val="0"/>
              <w:spacing w:before="20" w:after="20"/>
              <w:jc w:val="center"/>
              <w:rPr>
                <w:rFonts w:eastAsia="Times New Roman" w:cs="Times New Roman"/>
                <w:b/>
                <w:bCs/>
                <w:sz w:val="18"/>
                <w:szCs w:val="18"/>
                <w:lang w:eastAsia="ko-KR"/>
              </w:rPr>
            </w:pPr>
            <w:r w:rsidRPr="00237140">
              <w:rPr>
                <w:rFonts w:eastAsia="Times New Roman" w:cs="Times New Roman"/>
                <w:b/>
                <w:bCs/>
                <w:sz w:val="18"/>
                <w:szCs w:val="18"/>
                <w:lang w:eastAsia="ko-KR"/>
              </w:rPr>
              <w:t>Broj žalbi</w:t>
            </w:r>
          </w:p>
        </w:tc>
        <w:tc>
          <w:tcPr>
            <w:tcW w:w="1195" w:type="dxa"/>
            <w:gridSpan w:val="2"/>
            <w:tcBorders>
              <w:top w:val="single" w:sz="4" w:space="0" w:color="8EAADB"/>
              <w:left w:val="nil"/>
              <w:bottom w:val="single" w:sz="4" w:space="0" w:color="8EAADB"/>
              <w:right w:val="nil"/>
            </w:tcBorders>
            <w:shd w:val="clear" w:color="auto" w:fill="D9E2F3"/>
            <w:vAlign w:val="center"/>
            <w:hideMark/>
          </w:tcPr>
          <w:p w14:paraId="5C2DBA81" w14:textId="77777777" w:rsidR="004158A8" w:rsidRPr="00237140" w:rsidRDefault="004158A8" w:rsidP="00074F46">
            <w:pPr>
              <w:widowControl w:val="0"/>
              <w:snapToGrid w:val="0"/>
              <w:spacing w:before="20" w:after="20"/>
              <w:jc w:val="center"/>
              <w:rPr>
                <w:rFonts w:eastAsia="Times New Roman" w:cs="Times New Roman"/>
                <w:b/>
                <w:bCs/>
                <w:sz w:val="18"/>
                <w:szCs w:val="18"/>
                <w:lang w:eastAsia="ko-KR"/>
              </w:rPr>
            </w:pPr>
            <w:r w:rsidRPr="00237140">
              <w:rPr>
                <w:rFonts w:eastAsia="Times New Roman" w:cs="Times New Roman"/>
                <w:b/>
                <w:bCs/>
                <w:sz w:val="18"/>
                <w:szCs w:val="18"/>
                <w:lang w:eastAsia="ko-KR"/>
              </w:rPr>
              <w:t>Udio žalbi (%)</w:t>
            </w:r>
          </w:p>
        </w:tc>
        <w:tc>
          <w:tcPr>
            <w:tcW w:w="1195" w:type="dxa"/>
            <w:tcBorders>
              <w:top w:val="single" w:sz="4" w:space="0" w:color="8EAADB"/>
              <w:left w:val="nil"/>
              <w:bottom w:val="single" w:sz="4" w:space="0" w:color="8EAADB"/>
              <w:right w:val="nil"/>
            </w:tcBorders>
            <w:shd w:val="clear" w:color="auto" w:fill="D9E2F3"/>
            <w:vAlign w:val="center"/>
          </w:tcPr>
          <w:p w14:paraId="6158D4A2" w14:textId="77777777" w:rsidR="004158A8" w:rsidRPr="00237140" w:rsidRDefault="004158A8" w:rsidP="00074F46">
            <w:pPr>
              <w:widowControl w:val="0"/>
              <w:snapToGrid w:val="0"/>
              <w:spacing w:before="20" w:after="20"/>
              <w:jc w:val="center"/>
              <w:rPr>
                <w:rFonts w:eastAsia="Times New Roman" w:cs="Times New Roman"/>
                <w:b/>
                <w:bCs/>
                <w:sz w:val="18"/>
                <w:szCs w:val="18"/>
                <w:lang w:eastAsia="ko-KR"/>
              </w:rPr>
            </w:pPr>
            <w:r w:rsidRPr="00237140">
              <w:rPr>
                <w:rFonts w:eastAsia="Times New Roman" w:cs="Times New Roman"/>
                <w:b/>
                <w:bCs/>
                <w:sz w:val="18"/>
                <w:szCs w:val="18"/>
                <w:lang w:eastAsia="ko-KR"/>
              </w:rPr>
              <w:t>Broj žalbi</w:t>
            </w:r>
          </w:p>
        </w:tc>
        <w:tc>
          <w:tcPr>
            <w:tcW w:w="1195" w:type="dxa"/>
            <w:tcBorders>
              <w:top w:val="single" w:sz="4" w:space="0" w:color="8EAADB"/>
              <w:left w:val="nil"/>
              <w:bottom w:val="single" w:sz="4" w:space="0" w:color="8EAADB"/>
              <w:right w:val="nil"/>
            </w:tcBorders>
            <w:shd w:val="clear" w:color="auto" w:fill="D9E2F3"/>
            <w:vAlign w:val="center"/>
          </w:tcPr>
          <w:p w14:paraId="27E228AA" w14:textId="77777777" w:rsidR="004158A8" w:rsidRPr="00237140" w:rsidRDefault="004158A8" w:rsidP="00074F46">
            <w:pPr>
              <w:widowControl w:val="0"/>
              <w:snapToGrid w:val="0"/>
              <w:spacing w:before="20" w:after="20"/>
              <w:jc w:val="center"/>
              <w:rPr>
                <w:rFonts w:eastAsia="Times New Roman" w:cs="Times New Roman"/>
                <w:b/>
                <w:bCs/>
                <w:sz w:val="18"/>
                <w:szCs w:val="18"/>
                <w:lang w:eastAsia="ko-KR"/>
              </w:rPr>
            </w:pPr>
            <w:r w:rsidRPr="00237140">
              <w:rPr>
                <w:rFonts w:eastAsia="Times New Roman" w:cs="Times New Roman"/>
                <w:b/>
                <w:bCs/>
                <w:sz w:val="18"/>
                <w:szCs w:val="18"/>
                <w:lang w:eastAsia="ko-KR"/>
              </w:rPr>
              <w:t>Udio žalbi (%)</w:t>
            </w:r>
          </w:p>
        </w:tc>
      </w:tr>
      <w:tr w:rsidR="00107314" w:rsidRPr="00F0315E" w14:paraId="28011426" w14:textId="77777777" w:rsidTr="00074F46">
        <w:trPr>
          <w:trHeight w:val="340"/>
          <w:jc w:val="center"/>
        </w:trPr>
        <w:tc>
          <w:tcPr>
            <w:tcW w:w="4253" w:type="dxa"/>
            <w:gridSpan w:val="2"/>
            <w:tcBorders>
              <w:top w:val="single" w:sz="4" w:space="0" w:color="8EAADB"/>
              <w:left w:val="nil"/>
              <w:bottom w:val="single" w:sz="4" w:space="0" w:color="8EAADB"/>
              <w:right w:val="nil"/>
            </w:tcBorders>
            <w:vAlign w:val="center"/>
            <w:hideMark/>
          </w:tcPr>
          <w:p w14:paraId="451CF50D" w14:textId="77777777" w:rsidR="00107314" w:rsidRPr="00872DF4" w:rsidRDefault="00107314" w:rsidP="00074F46">
            <w:pPr>
              <w:widowControl w:val="0"/>
              <w:snapToGrid w:val="0"/>
              <w:spacing w:before="20" w:after="20" w:line="240" w:lineRule="auto"/>
              <w:jc w:val="left"/>
              <w:rPr>
                <w:rFonts w:eastAsia="Times New Roman" w:cs="Times New Roman"/>
                <w:bCs/>
                <w:sz w:val="18"/>
                <w:szCs w:val="18"/>
                <w:lang w:eastAsia="ko-KR"/>
              </w:rPr>
            </w:pPr>
            <w:r w:rsidRPr="00872DF4">
              <w:rPr>
                <w:rFonts w:eastAsia="Times New Roman" w:cs="Times New Roman"/>
                <w:bCs/>
                <w:sz w:val="18"/>
                <w:szCs w:val="18"/>
                <w:lang w:eastAsia="ko-KR"/>
              </w:rPr>
              <w:t xml:space="preserve">Državna tijela </w:t>
            </w:r>
          </w:p>
        </w:tc>
        <w:tc>
          <w:tcPr>
            <w:tcW w:w="1195" w:type="dxa"/>
            <w:tcBorders>
              <w:top w:val="single" w:sz="4" w:space="0" w:color="8EAADB"/>
              <w:left w:val="nil"/>
              <w:bottom w:val="single" w:sz="4" w:space="0" w:color="8EAADB"/>
              <w:right w:val="nil"/>
            </w:tcBorders>
            <w:vAlign w:val="center"/>
            <w:hideMark/>
          </w:tcPr>
          <w:p w14:paraId="02F1D5CF" w14:textId="58779238" w:rsidR="00107314" w:rsidRPr="00872DF4"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21</w:t>
            </w:r>
          </w:p>
        </w:tc>
        <w:tc>
          <w:tcPr>
            <w:tcW w:w="1195" w:type="dxa"/>
            <w:gridSpan w:val="2"/>
            <w:tcBorders>
              <w:top w:val="single" w:sz="4" w:space="0" w:color="8EAADB"/>
              <w:left w:val="nil"/>
              <w:bottom w:val="single" w:sz="4" w:space="0" w:color="8EAADB"/>
              <w:right w:val="nil"/>
            </w:tcBorders>
            <w:vAlign w:val="center"/>
            <w:hideMark/>
          </w:tcPr>
          <w:p w14:paraId="12A410C3" w14:textId="7F042827" w:rsidR="00107314" w:rsidRPr="00E35A07"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2,1</w:t>
            </w:r>
          </w:p>
        </w:tc>
        <w:tc>
          <w:tcPr>
            <w:tcW w:w="1195" w:type="dxa"/>
            <w:tcBorders>
              <w:top w:val="single" w:sz="4" w:space="0" w:color="8EAADB"/>
              <w:left w:val="nil"/>
              <w:bottom w:val="single" w:sz="4" w:space="0" w:color="8EAADB"/>
              <w:right w:val="nil"/>
            </w:tcBorders>
            <w:vAlign w:val="center"/>
          </w:tcPr>
          <w:p w14:paraId="3B23C2EA" w14:textId="212F9966"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40</w:t>
            </w:r>
          </w:p>
        </w:tc>
        <w:tc>
          <w:tcPr>
            <w:tcW w:w="1195" w:type="dxa"/>
            <w:tcBorders>
              <w:top w:val="single" w:sz="4" w:space="0" w:color="8EAADB"/>
              <w:left w:val="nil"/>
              <w:bottom w:val="single" w:sz="4" w:space="0" w:color="8EAADB"/>
              <w:right w:val="nil"/>
            </w:tcBorders>
            <w:vAlign w:val="center"/>
          </w:tcPr>
          <w:p w14:paraId="65F94CB8" w14:textId="51502010"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3</w:t>
            </w:r>
          </w:p>
        </w:tc>
      </w:tr>
      <w:tr w:rsidR="00107314" w:rsidRPr="00F0315E" w14:paraId="714CE90A" w14:textId="77777777" w:rsidTr="00074F46">
        <w:trPr>
          <w:trHeight w:val="340"/>
          <w:jc w:val="center"/>
        </w:trPr>
        <w:tc>
          <w:tcPr>
            <w:tcW w:w="4253" w:type="dxa"/>
            <w:gridSpan w:val="2"/>
            <w:tcBorders>
              <w:top w:val="single" w:sz="4" w:space="0" w:color="8EAADB"/>
              <w:left w:val="nil"/>
              <w:bottom w:val="single" w:sz="4" w:space="0" w:color="8EAADB"/>
              <w:right w:val="nil"/>
            </w:tcBorders>
            <w:shd w:val="clear" w:color="auto" w:fill="D9E2F3"/>
            <w:vAlign w:val="center"/>
            <w:hideMark/>
          </w:tcPr>
          <w:p w14:paraId="4C6EBF75" w14:textId="77777777" w:rsidR="00107314" w:rsidRPr="00872DF4" w:rsidRDefault="00107314" w:rsidP="00074F46">
            <w:pPr>
              <w:widowControl w:val="0"/>
              <w:snapToGrid w:val="0"/>
              <w:spacing w:before="20" w:after="20" w:line="240" w:lineRule="auto"/>
              <w:jc w:val="left"/>
              <w:rPr>
                <w:rFonts w:eastAsia="Times New Roman" w:cs="Times New Roman"/>
                <w:bCs/>
                <w:sz w:val="18"/>
                <w:szCs w:val="18"/>
                <w:lang w:eastAsia="ko-KR"/>
              </w:rPr>
            </w:pPr>
            <w:r w:rsidRPr="00872DF4">
              <w:rPr>
                <w:rFonts w:eastAsia="Times New Roman" w:cs="Times New Roman"/>
                <w:bCs/>
                <w:sz w:val="18"/>
                <w:szCs w:val="18"/>
                <w:lang w:eastAsia="ko-KR"/>
              </w:rPr>
              <w:t>Tijela državne uprave</w:t>
            </w:r>
          </w:p>
        </w:tc>
        <w:tc>
          <w:tcPr>
            <w:tcW w:w="1195" w:type="dxa"/>
            <w:tcBorders>
              <w:top w:val="single" w:sz="4" w:space="0" w:color="8EAADB"/>
              <w:left w:val="nil"/>
              <w:bottom w:val="single" w:sz="4" w:space="0" w:color="8EAADB"/>
              <w:right w:val="nil"/>
            </w:tcBorders>
            <w:shd w:val="clear" w:color="auto" w:fill="D9E2F3"/>
            <w:vAlign w:val="center"/>
            <w:hideMark/>
          </w:tcPr>
          <w:p w14:paraId="4FB3DA8C" w14:textId="440420BD" w:rsidR="00107314" w:rsidRPr="00872DF4"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194</w:t>
            </w:r>
          </w:p>
        </w:tc>
        <w:tc>
          <w:tcPr>
            <w:tcW w:w="1195" w:type="dxa"/>
            <w:gridSpan w:val="2"/>
            <w:tcBorders>
              <w:top w:val="single" w:sz="4" w:space="0" w:color="8EAADB"/>
              <w:left w:val="nil"/>
              <w:bottom w:val="single" w:sz="4" w:space="0" w:color="8EAADB"/>
              <w:right w:val="nil"/>
            </w:tcBorders>
            <w:shd w:val="clear" w:color="auto" w:fill="D9E2F3"/>
            <w:vAlign w:val="center"/>
            <w:hideMark/>
          </w:tcPr>
          <w:p w14:paraId="41D40E0B" w14:textId="5F92BC7C" w:rsidR="00107314" w:rsidRPr="00E35A07"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19,8</w:t>
            </w:r>
          </w:p>
        </w:tc>
        <w:tc>
          <w:tcPr>
            <w:tcW w:w="1195" w:type="dxa"/>
            <w:tcBorders>
              <w:top w:val="single" w:sz="4" w:space="0" w:color="8EAADB"/>
              <w:left w:val="nil"/>
              <w:bottom w:val="single" w:sz="4" w:space="0" w:color="8EAADB"/>
              <w:right w:val="nil"/>
            </w:tcBorders>
            <w:shd w:val="clear" w:color="auto" w:fill="D9E2F3"/>
            <w:vAlign w:val="center"/>
          </w:tcPr>
          <w:p w14:paraId="7F2B8606" w14:textId="791B5121"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329</w:t>
            </w:r>
          </w:p>
        </w:tc>
        <w:tc>
          <w:tcPr>
            <w:tcW w:w="1195" w:type="dxa"/>
            <w:tcBorders>
              <w:top w:val="single" w:sz="4" w:space="0" w:color="8EAADB"/>
              <w:left w:val="nil"/>
              <w:bottom w:val="single" w:sz="4" w:space="0" w:color="8EAADB"/>
              <w:right w:val="nil"/>
            </w:tcBorders>
            <w:shd w:val="clear" w:color="auto" w:fill="D9E2F3"/>
            <w:vAlign w:val="center"/>
          </w:tcPr>
          <w:p w14:paraId="43C17FB4" w14:textId="13423374"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25</w:t>
            </w:r>
          </w:p>
        </w:tc>
      </w:tr>
      <w:tr w:rsidR="00107314" w:rsidRPr="00F0315E" w14:paraId="240B9790" w14:textId="77777777" w:rsidTr="00074F46">
        <w:trPr>
          <w:trHeight w:val="340"/>
          <w:jc w:val="center"/>
        </w:trPr>
        <w:tc>
          <w:tcPr>
            <w:tcW w:w="4253" w:type="dxa"/>
            <w:gridSpan w:val="2"/>
            <w:tcBorders>
              <w:top w:val="single" w:sz="4" w:space="0" w:color="8EAADB"/>
              <w:left w:val="nil"/>
              <w:bottom w:val="single" w:sz="4" w:space="0" w:color="8EAADB"/>
              <w:right w:val="nil"/>
            </w:tcBorders>
            <w:vAlign w:val="center"/>
            <w:hideMark/>
          </w:tcPr>
          <w:p w14:paraId="2E951DDE" w14:textId="77777777" w:rsidR="00107314" w:rsidRPr="00872DF4" w:rsidRDefault="00107314" w:rsidP="00074F46">
            <w:pPr>
              <w:widowControl w:val="0"/>
              <w:snapToGrid w:val="0"/>
              <w:spacing w:before="20" w:after="20" w:line="240" w:lineRule="auto"/>
              <w:jc w:val="left"/>
              <w:rPr>
                <w:rFonts w:eastAsia="Times New Roman" w:cs="Times New Roman"/>
                <w:bCs/>
                <w:sz w:val="18"/>
                <w:szCs w:val="18"/>
                <w:lang w:eastAsia="ko-KR"/>
              </w:rPr>
            </w:pPr>
            <w:r w:rsidRPr="00872DF4">
              <w:rPr>
                <w:rFonts w:eastAsia="Times New Roman" w:cs="Times New Roman"/>
                <w:bCs/>
                <w:sz w:val="18"/>
                <w:szCs w:val="18"/>
                <w:lang w:eastAsia="ko-KR"/>
              </w:rPr>
              <w:t>JLP(R)S</w:t>
            </w:r>
          </w:p>
        </w:tc>
        <w:tc>
          <w:tcPr>
            <w:tcW w:w="1195" w:type="dxa"/>
            <w:tcBorders>
              <w:top w:val="single" w:sz="4" w:space="0" w:color="8EAADB"/>
              <w:left w:val="nil"/>
              <w:bottom w:val="single" w:sz="4" w:space="0" w:color="8EAADB"/>
              <w:right w:val="nil"/>
            </w:tcBorders>
            <w:vAlign w:val="center"/>
            <w:hideMark/>
          </w:tcPr>
          <w:p w14:paraId="29A7A398" w14:textId="6685F2AC" w:rsidR="00107314" w:rsidRPr="00872DF4"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324</w:t>
            </w:r>
          </w:p>
        </w:tc>
        <w:tc>
          <w:tcPr>
            <w:tcW w:w="1195" w:type="dxa"/>
            <w:gridSpan w:val="2"/>
            <w:tcBorders>
              <w:top w:val="single" w:sz="4" w:space="0" w:color="8EAADB"/>
              <w:left w:val="nil"/>
              <w:bottom w:val="single" w:sz="4" w:space="0" w:color="8EAADB"/>
              <w:right w:val="nil"/>
            </w:tcBorders>
            <w:vAlign w:val="center"/>
            <w:hideMark/>
          </w:tcPr>
          <w:p w14:paraId="1F3BBECF" w14:textId="42DB490B" w:rsidR="00107314" w:rsidRPr="00E35A07"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33,1</w:t>
            </w:r>
          </w:p>
        </w:tc>
        <w:tc>
          <w:tcPr>
            <w:tcW w:w="1195" w:type="dxa"/>
            <w:tcBorders>
              <w:top w:val="single" w:sz="4" w:space="0" w:color="8EAADB"/>
              <w:left w:val="nil"/>
              <w:bottom w:val="single" w:sz="4" w:space="0" w:color="8EAADB"/>
              <w:right w:val="nil"/>
            </w:tcBorders>
            <w:vAlign w:val="center"/>
          </w:tcPr>
          <w:p w14:paraId="5213D4B4" w14:textId="4ABC0CDC"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352</w:t>
            </w:r>
          </w:p>
        </w:tc>
        <w:tc>
          <w:tcPr>
            <w:tcW w:w="1195" w:type="dxa"/>
            <w:tcBorders>
              <w:top w:val="single" w:sz="4" w:space="0" w:color="8EAADB"/>
              <w:left w:val="nil"/>
              <w:bottom w:val="single" w:sz="4" w:space="0" w:color="8EAADB"/>
              <w:right w:val="nil"/>
            </w:tcBorders>
            <w:vAlign w:val="center"/>
          </w:tcPr>
          <w:p w14:paraId="5DD3DE7F" w14:textId="7A522E3A"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26,8</w:t>
            </w:r>
          </w:p>
        </w:tc>
      </w:tr>
      <w:tr w:rsidR="00107314" w:rsidRPr="00F0315E" w14:paraId="7078DFFD" w14:textId="77777777" w:rsidTr="00074F46">
        <w:trPr>
          <w:trHeight w:val="340"/>
          <w:jc w:val="center"/>
        </w:trPr>
        <w:tc>
          <w:tcPr>
            <w:tcW w:w="4253" w:type="dxa"/>
            <w:gridSpan w:val="2"/>
            <w:tcBorders>
              <w:top w:val="single" w:sz="4" w:space="0" w:color="8EAADB"/>
              <w:left w:val="nil"/>
              <w:bottom w:val="single" w:sz="4" w:space="0" w:color="8EAADB"/>
              <w:right w:val="nil"/>
            </w:tcBorders>
            <w:shd w:val="clear" w:color="auto" w:fill="D9E2F3"/>
            <w:vAlign w:val="center"/>
            <w:hideMark/>
          </w:tcPr>
          <w:p w14:paraId="6BC23897" w14:textId="77777777" w:rsidR="00107314" w:rsidRPr="00872DF4" w:rsidRDefault="00107314" w:rsidP="00074F46">
            <w:pPr>
              <w:widowControl w:val="0"/>
              <w:snapToGrid w:val="0"/>
              <w:spacing w:before="20" w:after="20" w:line="240" w:lineRule="auto"/>
              <w:jc w:val="left"/>
              <w:rPr>
                <w:rFonts w:eastAsia="Times New Roman" w:cs="Times New Roman"/>
                <w:bCs/>
                <w:sz w:val="18"/>
                <w:szCs w:val="18"/>
                <w:lang w:eastAsia="ko-KR"/>
              </w:rPr>
            </w:pPr>
            <w:r w:rsidRPr="00872DF4">
              <w:rPr>
                <w:rFonts w:eastAsia="Times New Roman" w:cs="Times New Roman"/>
                <w:bCs/>
                <w:sz w:val="18"/>
                <w:szCs w:val="18"/>
                <w:lang w:eastAsia="ko-KR"/>
              </w:rPr>
              <w:t>Pravosudna tijela</w:t>
            </w:r>
          </w:p>
        </w:tc>
        <w:tc>
          <w:tcPr>
            <w:tcW w:w="1195" w:type="dxa"/>
            <w:tcBorders>
              <w:top w:val="single" w:sz="4" w:space="0" w:color="8EAADB"/>
              <w:left w:val="nil"/>
              <w:bottom w:val="single" w:sz="4" w:space="0" w:color="8EAADB"/>
              <w:right w:val="nil"/>
            </w:tcBorders>
            <w:shd w:val="clear" w:color="auto" w:fill="D9E2F3"/>
            <w:vAlign w:val="center"/>
            <w:hideMark/>
          </w:tcPr>
          <w:p w14:paraId="1501EB6C" w14:textId="289EB6D2" w:rsidR="00107314" w:rsidRPr="00872DF4"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48</w:t>
            </w:r>
          </w:p>
        </w:tc>
        <w:tc>
          <w:tcPr>
            <w:tcW w:w="1195" w:type="dxa"/>
            <w:gridSpan w:val="2"/>
            <w:tcBorders>
              <w:top w:val="single" w:sz="4" w:space="0" w:color="8EAADB"/>
              <w:left w:val="nil"/>
              <w:bottom w:val="single" w:sz="4" w:space="0" w:color="8EAADB"/>
              <w:right w:val="nil"/>
            </w:tcBorders>
            <w:shd w:val="clear" w:color="auto" w:fill="D9E2F3"/>
            <w:vAlign w:val="center"/>
            <w:hideMark/>
          </w:tcPr>
          <w:p w14:paraId="05B15DBD" w14:textId="6EDE089D" w:rsidR="00107314" w:rsidRPr="00E35A07"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4,9</w:t>
            </w:r>
          </w:p>
        </w:tc>
        <w:tc>
          <w:tcPr>
            <w:tcW w:w="1195" w:type="dxa"/>
            <w:tcBorders>
              <w:top w:val="single" w:sz="4" w:space="0" w:color="8EAADB"/>
              <w:left w:val="nil"/>
              <w:bottom w:val="single" w:sz="4" w:space="0" w:color="8EAADB"/>
              <w:right w:val="nil"/>
            </w:tcBorders>
            <w:shd w:val="clear" w:color="auto" w:fill="D9E2F3"/>
            <w:vAlign w:val="center"/>
          </w:tcPr>
          <w:p w14:paraId="0065C46D" w14:textId="401F6EF3"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99</w:t>
            </w:r>
          </w:p>
        </w:tc>
        <w:tc>
          <w:tcPr>
            <w:tcW w:w="1195" w:type="dxa"/>
            <w:tcBorders>
              <w:top w:val="single" w:sz="4" w:space="0" w:color="8EAADB"/>
              <w:left w:val="nil"/>
              <w:bottom w:val="single" w:sz="4" w:space="0" w:color="8EAADB"/>
              <w:right w:val="nil"/>
            </w:tcBorders>
            <w:shd w:val="clear" w:color="auto" w:fill="D9E2F3"/>
            <w:vAlign w:val="center"/>
          </w:tcPr>
          <w:p w14:paraId="5B2D35E1" w14:textId="32EE77DA"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7,5</w:t>
            </w:r>
          </w:p>
        </w:tc>
      </w:tr>
      <w:tr w:rsidR="00107314" w:rsidRPr="00F0315E" w14:paraId="0C7419A0" w14:textId="77777777" w:rsidTr="00074F46">
        <w:trPr>
          <w:trHeight w:val="340"/>
          <w:jc w:val="center"/>
        </w:trPr>
        <w:tc>
          <w:tcPr>
            <w:tcW w:w="4253" w:type="dxa"/>
            <w:gridSpan w:val="2"/>
            <w:tcBorders>
              <w:top w:val="single" w:sz="4" w:space="0" w:color="8EAADB"/>
              <w:left w:val="nil"/>
              <w:bottom w:val="single" w:sz="4" w:space="0" w:color="8EAADB"/>
              <w:right w:val="nil"/>
            </w:tcBorders>
            <w:vAlign w:val="center"/>
            <w:hideMark/>
          </w:tcPr>
          <w:p w14:paraId="6835E0AC" w14:textId="77777777" w:rsidR="00107314" w:rsidRPr="00872DF4" w:rsidRDefault="00107314" w:rsidP="00074F46">
            <w:pPr>
              <w:widowControl w:val="0"/>
              <w:snapToGrid w:val="0"/>
              <w:spacing w:before="20" w:after="20" w:line="240" w:lineRule="auto"/>
              <w:jc w:val="left"/>
              <w:rPr>
                <w:rFonts w:eastAsia="Times New Roman" w:cs="Times New Roman"/>
                <w:bCs/>
                <w:sz w:val="18"/>
                <w:szCs w:val="18"/>
                <w:lang w:eastAsia="ko-KR"/>
              </w:rPr>
            </w:pPr>
            <w:r w:rsidRPr="00872DF4">
              <w:rPr>
                <w:rFonts w:eastAsia="Times New Roman" w:cs="Calibri"/>
                <w:bCs/>
                <w:sz w:val="18"/>
                <w:szCs w:val="18"/>
                <w:lang w:eastAsia="ko-KR"/>
              </w:rPr>
              <w:t xml:space="preserve">Agencije i druge pravne osobe s javnim ovlastima </w:t>
            </w:r>
          </w:p>
        </w:tc>
        <w:tc>
          <w:tcPr>
            <w:tcW w:w="1195" w:type="dxa"/>
            <w:tcBorders>
              <w:top w:val="single" w:sz="4" w:space="0" w:color="8EAADB"/>
              <w:left w:val="nil"/>
              <w:bottom w:val="single" w:sz="4" w:space="0" w:color="8EAADB"/>
              <w:right w:val="nil"/>
            </w:tcBorders>
            <w:vAlign w:val="center"/>
            <w:hideMark/>
          </w:tcPr>
          <w:p w14:paraId="75F918BF" w14:textId="670DCDC8" w:rsidR="00107314" w:rsidRPr="00872DF4"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38</w:t>
            </w:r>
          </w:p>
        </w:tc>
        <w:tc>
          <w:tcPr>
            <w:tcW w:w="1195" w:type="dxa"/>
            <w:gridSpan w:val="2"/>
            <w:tcBorders>
              <w:top w:val="single" w:sz="4" w:space="0" w:color="8EAADB"/>
              <w:left w:val="nil"/>
              <w:bottom w:val="single" w:sz="4" w:space="0" w:color="8EAADB"/>
              <w:right w:val="nil"/>
            </w:tcBorders>
            <w:vAlign w:val="center"/>
            <w:hideMark/>
          </w:tcPr>
          <w:p w14:paraId="703757A9" w14:textId="4F79B8C2" w:rsidR="00107314" w:rsidRPr="00E35A07"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3,9</w:t>
            </w:r>
          </w:p>
        </w:tc>
        <w:tc>
          <w:tcPr>
            <w:tcW w:w="1195" w:type="dxa"/>
            <w:tcBorders>
              <w:top w:val="single" w:sz="4" w:space="0" w:color="8EAADB"/>
              <w:left w:val="nil"/>
              <w:bottom w:val="single" w:sz="4" w:space="0" w:color="8EAADB"/>
              <w:right w:val="nil"/>
            </w:tcBorders>
            <w:vAlign w:val="center"/>
          </w:tcPr>
          <w:p w14:paraId="162AED67" w14:textId="6A6B48A5"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80</w:t>
            </w:r>
          </w:p>
        </w:tc>
        <w:tc>
          <w:tcPr>
            <w:tcW w:w="1195" w:type="dxa"/>
            <w:tcBorders>
              <w:top w:val="single" w:sz="4" w:space="0" w:color="8EAADB"/>
              <w:left w:val="nil"/>
              <w:bottom w:val="single" w:sz="4" w:space="0" w:color="8EAADB"/>
              <w:right w:val="nil"/>
            </w:tcBorders>
            <w:vAlign w:val="center"/>
          </w:tcPr>
          <w:p w14:paraId="07E23767" w14:textId="0C07FD83"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6,1</w:t>
            </w:r>
          </w:p>
        </w:tc>
      </w:tr>
      <w:tr w:rsidR="00107314" w:rsidRPr="00F0315E" w14:paraId="57D3FA8C" w14:textId="77777777" w:rsidTr="00074F46">
        <w:trPr>
          <w:trHeight w:val="340"/>
          <w:jc w:val="center"/>
        </w:trPr>
        <w:tc>
          <w:tcPr>
            <w:tcW w:w="4253" w:type="dxa"/>
            <w:gridSpan w:val="2"/>
            <w:tcBorders>
              <w:top w:val="single" w:sz="4" w:space="0" w:color="8EAADB"/>
              <w:left w:val="nil"/>
              <w:bottom w:val="single" w:sz="4" w:space="0" w:color="8EAADB"/>
              <w:right w:val="nil"/>
            </w:tcBorders>
            <w:shd w:val="clear" w:color="auto" w:fill="D9E2F3"/>
            <w:vAlign w:val="center"/>
            <w:hideMark/>
          </w:tcPr>
          <w:p w14:paraId="5D07D33C" w14:textId="77777777" w:rsidR="00107314" w:rsidRPr="00872DF4" w:rsidRDefault="00107314" w:rsidP="00074F46">
            <w:pPr>
              <w:widowControl w:val="0"/>
              <w:snapToGrid w:val="0"/>
              <w:spacing w:before="20" w:after="20" w:line="240" w:lineRule="auto"/>
              <w:jc w:val="left"/>
              <w:rPr>
                <w:rFonts w:eastAsia="Times New Roman" w:cs="Times New Roman"/>
                <w:bCs/>
                <w:sz w:val="18"/>
                <w:szCs w:val="18"/>
                <w:lang w:eastAsia="ko-KR"/>
              </w:rPr>
            </w:pPr>
            <w:r w:rsidRPr="00872DF4">
              <w:rPr>
                <w:rFonts w:eastAsia="Times New Roman" w:cs="Times New Roman"/>
                <w:bCs/>
                <w:sz w:val="18"/>
                <w:szCs w:val="18"/>
                <w:lang w:eastAsia="ko-KR"/>
              </w:rPr>
              <w:t>Ustanove</w:t>
            </w:r>
          </w:p>
        </w:tc>
        <w:tc>
          <w:tcPr>
            <w:tcW w:w="1195" w:type="dxa"/>
            <w:tcBorders>
              <w:top w:val="single" w:sz="4" w:space="0" w:color="8EAADB"/>
              <w:left w:val="nil"/>
              <w:bottom w:val="single" w:sz="4" w:space="0" w:color="8EAADB"/>
              <w:right w:val="nil"/>
            </w:tcBorders>
            <w:shd w:val="clear" w:color="auto" w:fill="D9E2F3"/>
            <w:vAlign w:val="center"/>
            <w:hideMark/>
          </w:tcPr>
          <w:p w14:paraId="103F82E9" w14:textId="65FCEB49" w:rsidR="00107314" w:rsidRPr="00872DF4"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142</w:t>
            </w:r>
          </w:p>
        </w:tc>
        <w:tc>
          <w:tcPr>
            <w:tcW w:w="1195" w:type="dxa"/>
            <w:gridSpan w:val="2"/>
            <w:tcBorders>
              <w:top w:val="single" w:sz="4" w:space="0" w:color="8EAADB"/>
              <w:left w:val="nil"/>
              <w:bottom w:val="single" w:sz="4" w:space="0" w:color="8EAADB"/>
              <w:right w:val="nil"/>
            </w:tcBorders>
            <w:shd w:val="clear" w:color="auto" w:fill="D9E2F3"/>
            <w:vAlign w:val="center"/>
            <w:hideMark/>
          </w:tcPr>
          <w:p w14:paraId="6F8DDD83" w14:textId="3D498EA9" w:rsidR="00107314" w:rsidRPr="00E35A07"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14,5</w:t>
            </w:r>
          </w:p>
        </w:tc>
        <w:tc>
          <w:tcPr>
            <w:tcW w:w="1195" w:type="dxa"/>
            <w:tcBorders>
              <w:top w:val="single" w:sz="4" w:space="0" w:color="8EAADB"/>
              <w:left w:val="nil"/>
              <w:bottom w:val="single" w:sz="4" w:space="0" w:color="8EAADB"/>
              <w:right w:val="nil"/>
            </w:tcBorders>
            <w:shd w:val="clear" w:color="auto" w:fill="D9E2F3"/>
            <w:vAlign w:val="center"/>
          </w:tcPr>
          <w:p w14:paraId="3077E5A0" w14:textId="0BFD14A9"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178</w:t>
            </w:r>
          </w:p>
        </w:tc>
        <w:tc>
          <w:tcPr>
            <w:tcW w:w="1195" w:type="dxa"/>
            <w:tcBorders>
              <w:top w:val="single" w:sz="4" w:space="0" w:color="8EAADB"/>
              <w:left w:val="nil"/>
              <w:bottom w:val="single" w:sz="4" w:space="0" w:color="8EAADB"/>
              <w:right w:val="nil"/>
            </w:tcBorders>
            <w:shd w:val="clear" w:color="auto" w:fill="D9E2F3"/>
            <w:vAlign w:val="center"/>
          </w:tcPr>
          <w:p w14:paraId="02B0E87F" w14:textId="5D6C8FFF"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13</w:t>
            </w:r>
            <w:r w:rsidRPr="007E6804">
              <w:rPr>
                <w:rFonts w:eastAsia="Times New Roman" w:cs="Arial"/>
                <w:sz w:val="18"/>
                <w:szCs w:val="18"/>
              </w:rPr>
              <w:t>,5</w:t>
            </w:r>
          </w:p>
        </w:tc>
      </w:tr>
      <w:tr w:rsidR="00107314" w:rsidRPr="00F0315E" w14:paraId="36B10023" w14:textId="77777777" w:rsidTr="00074F46">
        <w:trPr>
          <w:trHeight w:val="340"/>
          <w:jc w:val="center"/>
        </w:trPr>
        <w:tc>
          <w:tcPr>
            <w:tcW w:w="4253" w:type="dxa"/>
            <w:gridSpan w:val="2"/>
            <w:tcBorders>
              <w:top w:val="single" w:sz="4" w:space="0" w:color="8EAADB"/>
              <w:left w:val="nil"/>
              <w:bottom w:val="single" w:sz="4" w:space="0" w:color="8EAADB"/>
              <w:right w:val="nil"/>
            </w:tcBorders>
            <w:vAlign w:val="center"/>
            <w:hideMark/>
          </w:tcPr>
          <w:p w14:paraId="7A3F9F5B" w14:textId="77777777" w:rsidR="00107314" w:rsidRPr="00872DF4" w:rsidRDefault="00107314" w:rsidP="00074F46">
            <w:pPr>
              <w:widowControl w:val="0"/>
              <w:snapToGrid w:val="0"/>
              <w:spacing w:before="20" w:after="20" w:line="240" w:lineRule="auto"/>
              <w:jc w:val="left"/>
              <w:rPr>
                <w:rFonts w:eastAsia="Times New Roman" w:cs="Times New Roman"/>
                <w:bCs/>
                <w:sz w:val="18"/>
                <w:szCs w:val="18"/>
                <w:lang w:eastAsia="ko-KR"/>
              </w:rPr>
            </w:pPr>
            <w:r w:rsidRPr="00872DF4">
              <w:rPr>
                <w:rFonts w:eastAsia="Times New Roman" w:cs="Times New Roman"/>
                <w:bCs/>
                <w:sz w:val="18"/>
                <w:szCs w:val="18"/>
                <w:lang w:eastAsia="ko-KR"/>
              </w:rPr>
              <w:t>Trgovačka društva – RH</w:t>
            </w:r>
          </w:p>
        </w:tc>
        <w:tc>
          <w:tcPr>
            <w:tcW w:w="1195" w:type="dxa"/>
            <w:tcBorders>
              <w:top w:val="single" w:sz="4" w:space="0" w:color="8EAADB"/>
              <w:left w:val="nil"/>
              <w:bottom w:val="single" w:sz="4" w:space="0" w:color="8EAADB"/>
              <w:right w:val="nil"/>
            </w:tcBorders>
            <w:vAlign w:val="center"/>
            <w:hideMark/>
          </w:tcPr>
          <w:p w14:paraId="75D15660" w14:textId="1DD13475" w:rsidR="00107314" w:rsidRPr="00872DF4"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26</w:t>
            </w:r>
          </w:p>
        </w:tc>
        <w:tc>
          <w:tcPr>
            <w:tcW w:w="1195" w:type="dxa"/>
            <w:gridSpan w:val="2"/>
            <w:tcBorders>
              <w:top w:val="single" w:sz="4" w:space="0" w:color="8EAADB"/>
              <w:left w:val="nil"/>
              <w:bottom w:val="single" w:sz="4" w:space="0" w:color="8EAADB"/>
              <w:right w:val="nil"/>
            </w:tcBorders>
            <w:vAlign w:val="center"/>
            <w:hideMark/>
          </w:tcPr>
          <w:p w14:paraId="7AEB8580" w14:textId="7EF6E076" w:rsidR="00107314" w:rsidRPr="00E35A07"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2,7</w:t>
            </w:r>
          </w:p>
        </w:tc>
        <w:tc>
          <w:tcPr>
            <w:tcW w:w="1195" w:type="dxa"/>
            <w:tcBorders>
              <w:top w:val="single" w:sz="4" w:space="0" w:color="8EAADB"/>
              <w:left w:val="nil"/>
              <w:bottom w:val="single" w:sz="4" w:space="0" w:color="8EAADB"/>
              <w:right w:val="nil"/>
            </w:tcBorders>
            <w:vAlign w:val="center"/>
          </w:tcPr>
          <w:p w14:paraId="386D7D9B" w14:textId="4A0D822D"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52</w:t>
            </w:r>
          </w:p>
        </w:tc>
        <w:tc>
          <w:tcPr>
            <w:tcW w:w="1195" w:type="dxa"/>
            <w:tcBorders>
              <w:top w:val="single" w:sz="4" w:space="0" w:color="8EAADB"/>
              <w:left w:val="nil"/>
              <w:bottom w:val="single" w:sz="4" w:space="0" w:color="8EAADB"/>
              <w:right w:val="nil"/>
            </w:tcBorders>
            <w:vAlign w:val="center"/>
          </w:tcPr>
          <w:p w14:paraId="5B7871C2" w14:textId="4152A72C"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4</w:t>
            </w:r>
          </w:p>
        </w:tc>
      </w:tr>
      <w:tr w:rsidR="00107314" w:rsidRPr="00F0315E" w14:paraId="21227F37" w14:textId="77777777" w:rsidTr="00074F46">
        <w:trPr>
          <w:trHeight w:val="340"/>
          <w:jc w:val="center"/>
        </w:trPr>
        <w:tc>
          <w:tcPr>
            <w:tcW w:w="4253" w:type="dxa"/>
            <w:gridSpan w:val="2"/>
            <w:tcBorders>
              <w:top w:val="single" w:sz="4" w:space="0" w:color="8EAADB"/>
              <w:left w:val="nil"/>
              <w:bottom w:val="single" w:sz="4" w:space="0" w:color="8EAADB"/>
              <w:right w:val="nil"/>
            </w:tcBorders>
            <w:shd w:val="clear" w:color="auto" w:fill="D9E2F3"/>
            <w:vAlign w:val="center"/>
            <w:hideMark/>
          </w:tcPr>
          <w:p w14:paraId="3F5EFE54" w14:textId="77777777" w:rsidR="00107314" w:rsidRPr="00872DF4" w:rsidRDefault="00107314" w:rsidP="00074F46">
            <w:pPr>
              <w:widowControl w:val="0"/>
              <w:snapToGrid w:val="0"/>
              <w:spacing w:before="20" w:after="20" w:line="240" w:lineRule="auto"/>
              <w:jc w:val="left"/>
              <w:rPr>
                <w:rFonts w:eastAsia="Times New Roman" w:cs="Times New Roman"/>
                <w:bCs/>
                <w:sz w:val="18"/>
                <w:szCs w:val="18"/>
                <w:lang w:eastAsia="ko-KR"/>
              </w:rPr>
            </w:pPr>
            <w:r w:rsidRPr="00872DF4">
              <w:rPr>
                <w:rFonts w:eastAsia="Times New Roman" w:cs="Times New Roman"/>
                <w:bCs/>
                <w:sz w:val="18"/>
                <w:szCs w:val="18"/>
                <w:lang w:eastAsia="ko-KR"/>
              </w:rPr>
              <w:lastRenderedPageBreak/>
              <w:t>Trgovačka društva – JLP(R)S</w:t>
            </w:r>
          </w:p>
        </w:tc>
        <w:tc>
          <w:tcPr>
            <w:tcW w:w="1195" w:type="dxa"/>
            <w:tcBorders>
              <w:top w:val="single" w:sz="4" w:space="0" w:color="8EAADB"/>
              <w:left w:val="nil"/>
              <w:bottom w:val="single" w:sz="4" w:space="0" w:color="8EAADB"/>
              <w:right w:val="nil"/>
            </w:tcBorders>
            <w:shd w:val="clear" w:color="auto" w:fill="D9E2F3"/>
            <w:vAlign w:val="center"/>
            <w:hideMark/>
          </w:tcPr>
          <w:p w14:paraId="3A4FBE86" w14:textId="1C6D1CA6" w:rsidR="00107314" w:rsidRPr="00872DF4"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71</w:t>
            </w:r>
          </w:p>
        </w:tc>
        <w:tc>
          <w:tcPr>
            <w:tcW w:w="1195" w:type="dxa"/>
            <w:gridSpan w:val="2"/>
            <w:tcBorders>
              <w:top w:val="single" w:sz="4" w:space="0" w:color="8EAADB"/>
              <w:left w:val="nil"/>
              <w:bottom w:val="single" w:sz="4" w:space="0" w:color="8EAADB"/>
              <w:right w:val="nil"/>
            </w:tcBorders>
            <w:shd w:val="clear" w:color="auto" w:fill="D9E2F3"/>
            <w:vAlign w:val="center"/>
            <w:hideMark/>
          </w:tcPr>
          <w:p w14:paraId="204CE4A3" w14:textId="13FAF305" w:rsidR="00107314" w:rsidRPr="00E35A07"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7,2</w:t>
            </w:r>
          </w:p>
        </w:tc>
        <w:tc>
          <w:tcPr>
            <w:tcW w:w="1195" w:type="dxa"/>
            <w:tcBorders>
              <w:top w:val="single" w:sz="4" w:space="0" w:color="8EAADB"/>
              <w:left w:val="nil"/>
              <w:bottom w:val="single" w:sz="4" w:space="0" w:color="8EAADB"/>
              <w:right w:val="nil"/>
            </w:tcBorders>
            <w:shd w:val="clear" w:color="auto" w:fill="D9E2F3"/>
            <w:vAlign w:val="center"/>
          </w:tcPr>
          <w:p w14:paraId="40EBFF68" w14:textId="74B3747A"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7</w:t>
            </w:r>
            <w:r>
              <w:rPr>
                <w:rFonts w:eastAsia="Times New Roman" w:cs="Arial"/>
                <w:sz w:val="18"/>
                <w:szCs w:val="18"/>
              </w:rPr>
              <w:t>3</w:t>
            </w:r>
          </w:p>
        </w:tc>
        <w:tc>
          <w:tcPr>
            <w:tcW w:w="1195" w:type="dxa"/>
            <w:tcBorders>
              <w:top w:val="single" w:sz="4" w:space="0" w:color="8EAADB"/>
              <w:left w:val="nil"/>
              <w:bottom w:val="single" w:sz="4" w:space="0" w:color="8EAADB"/>
              <w:right w:val="nil"/>
            </w:tcBorders>
            <w:shd w:val="clear" w:color="auto" w:fill="D9E2F3"/>
            <w:vAlign w:val="center"/>
          </w:tcPr>
          <w:p w14:paraId="38B2097B" w14:textId="3D3DF04C"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5,6</w:t>
            </w:r>
          </w:p>
        </w:tc>
      </w:tr>
      <w:tr w:rsidR="00107314" w:rsidRPr="00F0315E" w14:paraId="75525CD4" w14:textId="77777777" w:rsidTr="00074F46">
        <w:trPr>
          <w:trHeight w:val="340"/>
          <w:jc w:val="center"/>
        </w:trPr>
        <w:tc>
          <w:tcPr>
            <w:tcW w:w="4253" w:type="dxa"/>
            <w:gridSpan w:val="2"/>
            <w:tcBorders>
              <w:top w:val="single" w:sz="4" w:space="0" w:color="8EAADB"/>
              <w:left w:val="nil"/>
              <w:bottom w:val="single" w:sz="4" w:space="0" w:color="8EAADB"/>
              <w:right w:val="nil"/>
            </w:tcBorders>
            <w:vAlign w:val="center"/>
            <w:hideMark/>
          </w:tcPr>
          <w:p w14:paraId="4377180E" w14:textId="77777777" w:rsidR="00107314" w:rsidRPr="00872DF4" w:rsidRDefault="00107314" w:rsidP="00074F46">
            <w:pPr>
              <w:widowControl w:val="0"/>
              <w:snapToGrid w:val="0"/>
              <w:spacing w:before="20" w:after="20" w:line="240" w:lineRule="auto"/>
              <w:jc w:val="left"/>
              <w:rPr>
                <w:rFonts w:eastAsia="Times New Roman" w:cs="Times New Roman"/>
                <w:bCs/>
                <w:sz w:val="18"/>
                <w:szCs w:val="18"/>
                <w:lang w:eastAsia="ko-KR"/>
              </w:rPr>
            </w:pPr>
            <w:r w:rsidRPr="00872DF4">
              <w:rPr>
                <w:rFonts w:eastAsia="Times New Roman" w:cs="Times New Roman"/>
                <w:bCs/>
                <w:sz w:val="18"/>
                <w:szCs w:val="18"/>
                <w:lang w:eastAsia="ko-KR"/>
              </w:rPr>
              <w:t>Udruge i komore</w:t>
            </w:r>
          </w:p>
        </w:tc>
        <w:tc>
          <w:tcPr>
            <w:tcW w:w="1195" w:type="dxa"/>
            <w:tcBorders>
              <w:top w:val="single" w:sz="4" w:space="0" w:color="8EAADB"/>
              <w:left w:val="nil"/>
              <w:bottom w:val="single" w:sz="4" w:space="0" w:color="8EAADB"/>
              <w:right w:val="nil"/>
            </w:tcBorders>
            <w:vAlign w:val="center"/>
            <w:hideMark/>
          </w:tcPr>
          <w:p w14:paraId="4AE297F8" w14:textId="511C54C1" w:rsidR="00107314" w:rsidRPr="00872DF4"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69</w:t>
            </w:r>
          </w:p>
        </w:tc>
        <w:tc>
          <w:tcPr>
            <w:tcW w:w="1195" w:type="dxa"/>
            <w:gridSpan w:val="2"/>
            <w:tcBorders>
              <w:top w:val="single" w:sz="4" w:space="0" w:color="8EAADB"/>
              <w:left w:val="nil"/>
              <w:bottom w:val="single" w:sz="4" w:space="0" w:color="8EAADB"/>
              <w:right w:val="nil"/>
            </w:tcBorders>
            <w:vAlign w:val="center"/>
            <w:hideMark/>
          </w:tcPr>
          <w:p w14:paraId="71ECD87C" w14:textId="30F83B5C" w:rsidR="00107314" w:rsidRPr="00E35A07"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7,1</w:t>
            </w:r>
          </w:p>
        </w:tc>
        <w:tc>
          <w:tcPr>
            <w:tcW w:w="1195" w:type="dxa"/>
            <w:tcBorders>
              <w:top w:val="single" w:sz="4" w:space="0" w:color="8EAADB"/>
              <w:left w:val="nil"/>
              <w:bottom w:val="single" w:sz="4" w:space="0" w:color="8EAADB"/>
              <w:right w:val="nil"/>
            </w:tcBorders>
            <w:vAlign w:val="center"/>
          </w:tcPr>
          <w:p w14:paraId="263A139F" w14:textId="445C11E8"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71</w:t>
            </w:r>
          </w:p>
        </w:tc>
        <w:tc>
          <w:tcPr>
            <w:tcW w:w="1195" w:type="dxa"/>
            <w:tcBorders>
              <w:top w:val="single" w:sz="4" w:space="0" w:color="8EAADB"/>
              <w:left w:val="nil"/>
              <w:bottom w:val="single" w:sz="4" w:space="0" w:color="8EAADB"/>
              <w:right w:val="nil"/>
            </w:tcBorders>
            <w:vAlign w:val="center"/>
          </w:tcPr>
          <w:p w14:paraId="1D0F76EE" w14:textId="6BC8C693"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5,4</w:t>
            </w:r>
          </w:p>
        </w:tc>
      </w:tr>
      <w:tr w:rsidR="00107314" w:rsidRPr="00F0315E" w14:paraId="6FC08E0F" w14:textId="77777777" w:rsidTr="00074F46">
        <w:trPr>
          <w:trHeight w:val="340"/>
          <w:jc w:val="center"/>
        </w:trPr>
        <w:tc>
          <w:tcPr>
            <w:tcW w:w="4253" w:type="dxa"/>
            <w:gridSpan w:val="2"/>
            <w:tcBorders>
              <w:top w:val="single" w:sz="4" w:space="0" w:color="8EAADB"/>
              <w:left w:val="nil"/>
              <w:bottom w:val="single" w:sz="4" w:space="0" w:color="8EAADB"/>
              <w:right w:val="nil"/>
            </w:tcBorders>
            <w:shd w:val="clear" w:color="auto" w:fill="D9E2F3"/>
            <w:vAlign w:val="center"/>
            <w:hideMark/>
          </w:tcPr>
          <w:p w14:paraId="73C01F15" w14:textId="77777777" w:rsidR="00107314" w:rsidRPr="00872DF4" w:rsidRDefault="00107314" w:rsidP="00074F46">
            <w:pPr>
              <w:widowControl w:val="0"/>
              <w:snapToGrid w:val="0"/>
              <w:spacing w:before="20" w:after="20" w:line="240" w:lineRule="auto"/>
              <w:jc w:val="left"/>
              <w:rPr>
                <w:rFonts w:eastAsia="Times New Roman" w:cs="Times New Roman"/>
                <w:bCs/>
                <w:sz w:val="18"/>
                <w:szCs w:val="18"/>
                <w:lang w:eastAsia="ko-KR"/>
              </w:rPr>
            </w:pPr>
            <w:r w:rsidRPr="00872DF4">
              <w:rPr>
                <w:rFonts w:eastAsia="Times New Roman" w:cs="Times New Roman"/>
                <w:bCs/>
                <w:sz w:val="18"/>
                <w:szCs w:val="18"/>
                <w:lang w:eastAsia="ko-KR"/>
              </w:rPr>
              <w:t xml:space="preserve">Ostale pravne osobe </w:t>
            </w:r>
          </w:p>
        </w:tc>
        <w:tc>
          <w:tcPr>
            <w:tcW w:w="1195" w:type="dxa"/>
            <w:tcBorders>
              <w:top w:val="single" w:sz="4" w:space="0" w:color="8EAADB"/>
              <w:left w:val="nil"/>
              <w:bottom w:val="single" w:sz="4" w:space="0" w:color="8EAADB"/>
              <w:right w:val="nil"/>
            </w:tcBorders>
            <w:shd w:val="clear" w:color="auto" w:fill="D9E2F3"/>
            <w:vAlign w:val="center"/>
            <w:hideMark/>
          </w:tcPr>
          <w:p w14:paraId="2C756264" w14:textId="7530C107" w:rsidR="00107314" w:rsidRPr="00872DF4"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46</w:t>
            </w:r>
          </w:p>
        </w:tc>
        <w:tc>
          <w:tcPr>
            <w:tcW w:w="1195" w:type="dxa"/>
            <w:gridSpan w:val="2"/>
            <w:tcBorders>
              <w:top w:val="single" w:sz="4" w:space="0" w:color="8EAADB"/>
              <w:left w:val="nil"/>
              <w:bottom w:val="single" w:sz="4" w:space="0" w:color="8EAADB"/>
              <w:right w:val="nil"/>
            </w:tcBorders>
            <w:shd w:val="clear" w:color="auto" w:fill="D9E2F3"/>
            <w:vAlign w:val="center"/>
            <w:hideMark/>
          </w:tcPr>
          <w:p w14:paraId="2E4C5040" w14:textId="1FCAEFC9" w:rsidR="00107314" w:rsidRPr="00E35A07" w:rsidRDefault="00107314" w:rsidP="00074F46">
            <w:pPr>
              <w:widowControl w:val="0"/>
              <w:snapToGrid w:val="0"/>
              <w:spacing w:before="20" w:after="20" w:line="240" w:lineRule="auto"/>
              <w:jc w:val="center"/>
              <w:rPr>
                <w:rFonts w:eastAsia="Times New Roman" w:cs="Times New Roman"/>
                <w:sz w:val="18"/>
                <w:szCs w:val="18"/>
                <w:lang w:eastAsia="ko-KR"/>
              </w:rPr>
            </w:pPr>
            <w:r w:rsidRPr="007E6804">
              <w:rPr>
                <w:rFonts w:eastAsia="Times New Roman" w:cs="Arial"/>
                <w:sz w:val="18"/>
                <w:szCs w:val="18"/>
              </w:rPr>
              <w:t>4,7</w:t>
            </w:r>
          </w:p>
        </w:tc>
        <w:tc>
          <w:tcPr>
            <w:tcW w:w="1195" w:type="dxa"/>
            <w:tcBorders>
              <w:top w:val="single" w:sz="4" w:space="0" w:color="8EAADB"/>
              <w:left w:val="nil"/>
              <w:bottom w:val="single" w:sz="4" w:space="0" w:color="8EAADB"/>
              <w:right w:val="nil"/>
            </w:tcBorders>
            <w:shd w:val="clear" w:color="auto" w:fill="D9E2F3"/>
            <w:vAlign w:val="center"/>
          </w:tcPr>
          <w:p w14:paraId="40AF6A63" w14:textId="633A7851"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4</w:t>
            </w:r>
            <w:r>
              <w:rPr>
                <w:rFonts w:eastAsia="Times New Roman" w:cs="Arial"/>
                <w:sz w:val="18"/>
                <w:szCs w:val="18"/>
              </w:rPr>
              <w:t>0</w:t>
            </w:r>
          </w:p>
        </w:tc>
        <w:tc>
          <w:tcPr>
            <w:tcW w:w="1195" w:type="dxa"/>
            <w:tcBorders>
              <w:top w:val="single" w:sz="4" w:space="0" w:color="8EAADB"/>
              <w:left w:val="nil"/>
              <w:bottom w:val="single" w:sz="4" w:space="0" w:color="8EAADB"/>
              <w:right w:val="nil"/>
            </w:tcBorders>
            <w:shd w:val="clear" w:color="auto" w:fill="D9E2F3"/>
            <w:vAlign w:val="center"/>
          </w:tcPr>
          <w:p w14:paraId="24912837" w14:textId="3F45E6A5"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3</w:t>
            </w:r>
          </w:p>
        </w:tc>
      </w:tr>
      <w:tr w:rsidR="00107314" w:rsidRPr="00F0315E" w14:paraId="0C023685" w14:textId="77777777" w:rsidTr="00074F46">
        <w:trPr>
          <w:trHeight w:val="340"/>
          <w:jc w:val="center"/>
        </w:trPr>
        <w:tc>
          <w:tcPr>
            <w:tcW w:w="4253" w:type="dxa"/>
            <w:gridSpan w:val="2"/>
            <w:tcBorders>
              <w:top w:val="single" w:sz="4" w:space="0" w:color="8EAADB"/>
              <w:left w:val="nil"/>
              <w:bottom w:val="single" w:sz="4" w:space="0" w:color="8EAADB"/>
              <w:right w:val="nil"/>
            </w:tcBorders>
            <w:vAlign w:val="center"/>
            <w:hideMark/>
          </w:tcPr>
          <w:p w14:paraId="4916CB9C" w14:textId="49D451B7" w:rsidR="00107314" w:rsidRPr="00872DF4" w:rsidRDefault="00107314" w:rsidP="00074F46">
            <w:pPr>
              <w:widowControl w:val="0"/>
              <w:snapToGrid w:val="0"/>
              <w:spacing w:before="20" w:after="20"/>
              <w:rPr>
                <w:rFonts w:eastAsia="Times New Roman" w:cs="Times New Roman"/>
                <w:b/>
                <w:bCs/>
                <w:sz w:val="18"/>
                <w:szCs w:val="18"/>
                <w:lang w:eastAsia="ko-KR"/>
              </w:rPr>
            </w:pPr>
            <w:r>
              <w:rPr>
                <w:rFonts w:eastAsia="Times New Roman" w:cs="Times New Roman"/>
                <w:b/>
                <w:bCs/>
                <w:sz w:val="18"/>
                <w:szCs w:val="18"/>
                <w:lang w:eastAsia="ko-KR"/>
              </w:rPr>
              <w:t>UKUPNO</w:t>
            </w:r>
          </w:p>
        </w:tc>
        <w:tc>
          <w:tcPr>
            <w:tcW w:w="1195" w:type="dxa"/>
            <w:tcBorders>
              <w:top w:val="single" w:sz="4" w:space="0" w:color="8EAADB"/>
              <w:left w:val="nil"/>
              <w:bottom w:val="single" w:sz="4" w:space="0" w:color="8EAADB"/>
              <w:right w:val="nil"/>
            </w:tcBorders>
            <w:vAlign w:val="center"/>
            <w:hideMark/>
          </w:tcPr>
          <w:p w14:paraId="0A8E0ABF" w14:textId="06EA0977" w:rsidR="00107314" w:rsidRPr="00872DF4" w:rsidRDefault="00107314" w:rsidP="00074F46">
            <w:pPr>
              <w:widowControl w:val="0"/>
              <w:snapToGrid w:val="0"/>
              <w:spacing w:before="20" w:after="20"/>
              <w:jc w:val="center"/>
              <w:rPr>
                <w:rFonts w:eastAsia="Times New Roman" w:cs="Arial"/>
                <w:b/>
                <w:bCs/>
                <w:sz w:val="18"/>
                <w:szCs w:val="18"/>
              </w:rPr>
            </w:pPr>
            <w:r w:rsidRPr="007E6804">
              <w:rPr>
                <w:rFonts w:eastAsia="Times New Roman" w:cs="Arial"/>
                <w:b/>
                <w:bCs/>
                <w:sz w:val="18"/>
                <w:szCs w:val="18"/>
              </w:rPr>
              <w:t>979</w:t>
            </w:r>
          </w:p>
        </w:tc>
        <w:tc>
          <w:tcPr>
            <w:tcW w:w="1195" w:type="dxa"/>
            <w:gridSpan w:val="2"/>
            <w:tcBorders>
              <w:top w:val="single" w:sz="4" w:space="0" w:color="8EAADB"/>
              <w:left w:val="nil"/>
              <w:bottom w:val="single" w:sz="4" w:space="0" w:color="8EAADB"/>
              <w:right w:val="nil"/>
            </w:tcBorders>
            <w:vAlign w:val="center"/>
            <w:hideMark/>
          </w:tcPr>
          <w:p w14:paraId="063F0A85" w14:textId="7293BD6A" w:rsidR="00107314" w:rsidRPr="00872DF4" w:rsidRDefault="00107314" w:rsidP="00074F46">
            <w:pPr>
              <w:widowControl w:val="0"/>
              <w:snapToGrid w:val="0"/>
              <w:spacing w:before="20" w:after="20"/>
              <w:jc w:val="center"/>
              <w:rPr>
                <w:rFonts w:eastAsia="Times New Roman" w:cs="Arial"/>
                <w:b/>
                <w:bCs/>
                <w:sz w:val="18"/>
                <w:szCs w:val="18"/>
              </w:rPr>
            </w:pPr>
            <w:r w:rsidRPr="007E6804">
              <w:rPr>
                <w:rFonts w:eastAsia="Times New Roman" w:cs="Arial"/>
                <w:b/>
                <w:bCs/>
                <w:sz w:val="18"/>
                <w:szCs w:val="18"/>
              </w:rPr>
              <w:t>100</w:t>
            </w:r>
          </w:p>
        </w:tc>
        <w:tc>
          <w:tcPr>
            <w:tcW w:w="1195" w:type="dxa"/>
            <w:tcBorders>
              <w:top w:val="single" w:sz="4" w:space="0" w:color="8EAADB"/>
              <w:left w:val="nil"/>
              <w:bottom w:val="single" w:sz="4" w:space="0" w:color="8EAADB"/>
              <w:right w:val="nil"/>
            </w:tcBorders>
            <w:vAlign w:val="center"/>
          </w:tcPr>
          <w:p w14:paraId="3B834E95" w14:textId="467529A4" w:rsidR="00107314" w:rsidRPr="00872DF4" w:rsidRDefault="00107314" w:rsidP="00074F46">
            <w:pPr>
              <w:widowControl w:val="0"/>
              <w:snapToGrid w:val="0"/>
              <w:spacing w:before="20" w:after="20"/>
              <w:jc w:val="center"/>
              <w:rPr>
                <w:rFonts w:eastAsia="Times New Roman" w:cs="Arial"/>
                <w:b/>
                <w:bCs/>
                <w:sz w:val="18"/>
                <w:szCs w:val="18"/>
              </w:rPr>
            </w:pPr>
            <w:r>
              <w:rPr>
                <w:rFonts w:eastAsia="Times New Roman" w:cs="Arial"/>
                <w:b/>
                <w:bCs/>
                <w:sz w:val="18"/>
                <w:szCs w:val="18"/>
              </w:rPr>
              <w:t>1.314</w:t>
            </w:r>
          </w:p>
        </w:tc>
        <w:tc>
          <w:tcPr>
            <w:tcW w:w="1195" w:type="dxa"/>
            <w:tcBorders>
              <w:top w:val="single" w:sz="4" w:space="0" w:color="8EAADB"/>
              <w:left w:val="nil"/>
              <w:bottom w:val="single" w:sz="4" w:space="0" w:color="8EAADB"/>
              <w:right w:val="nil"/>
            </w:tcBorders>
            <w:vAlign w:val="center"/>
          </w:tcPr>
          <w:p w14:paraId="376A81CC" w14:textId="6CBD7990" w:rsidR="00107314" w:rsidRPr="00872DF4" w:rsidRDefault="00107314" w:rsidP="00074F46">
            <w:pPr>
              <w:widowControl w:val="0"/>
              <w:snapToGrid w:val="0"/>
              <w:spacing w:before="20" w:after="20"/>
              <w:jc w:val="center"/>
              <w:rPr>
                <w:rFonts w:eastAsia="Times New Roman" w:cs="Arial"/>
                <w:b/>
                <w:bCs/>
                <w:sz w:val="18"/>
                <w:szCs w:val="18"/>
              </w:rPr>
            </w:pPr>
            <w:r w:rsidRPr="007E6804">
              <w:rPr>
                <w:rFonts w:eastAsia="Times New Roman" w:cs="Arial"/>
                <w:b/>
                <w:bCs/>
                <w:sz w:val="18"/>
                <w:szCs w:val="18"/>
              </w:rPr>
              <w:t>100</w:t>
            </w:r>
          </w:p>
        </w:tc>
      </w:tr>
    </w:tbl>
    <w:p w14:paraId="4BF243C3" w14:textId="1DCAD7DD" w:rsidR="004158A8" w:rsidRPr="00F0315E" w:rsidRDefault="004158A8" w:rsidP="00872DF4">
      <w:pPr>
        <w:shd w:val="clear" w:color="auto" w:fill="FFFFFF"/>
        <w:tabs>
          <w:tab w:val="left" w:pos="-1843"/>
        </w:tabs>
        <w:spacing w:before="120"/>
        <w:rPr>
          <w:rFonts w:eastAsia="Times New Roman" w:cs="Calibri"/>
          <w:i/>
          <w:iCs/>
          <w:sz w:val="20"/>
          <w:szCs w:val="20"/>
        </w:rPr>
      </w:pPr>
      <w:r w:rsidRPr="00F0315E">
        <w:rPr>
          <w:rFonts w:eastAsia="Times New Roman" w:cs="Calibri"/>
          <w:i/>
          <w:iCs/>
          <w:sz w:val="20"/>
          <w:szCs w:val="20"/>
        </w:rPr>
        <w:t xml:space="preserve">Napomena: </w:t>
      </w:r>
      <w:r w:rsidR="00107314">
        <w:rPr>
          <w:rFonts w:eastAsia="Times New Roman" w:cs="Calibri"/>
          <w:i/>
          <w:iCs/>
          <w:sz w:val="20"/>
          <w:szCs w:val="20"/>
        </w:rPr>
        <w:t>6</w:t>
      </w:r>
      <w:r w:rsidRPr="00F0315E">
        <w:rPr>
          <w:rFonts w:eastAsia="Times New Roman" w:cs="Calibri"/>
          <w:i/>
          <w:iCs/>
          <w:sz w:val="20"/>
          <w:szCs w:val="20"/>
        </w:rPr>
        <w:t xml:space="preserve"> žalbi je izostavljeno jer nisu izjavljene na postupanje tijela javne vlasti</w:t>
      </w:r>
    </w:p>
    <w:p w14:paraId="598FFB72" w14:textId="4238EDEF" w:rsidR="00107314" w:rsidRPr="00F0315E" w:rsidRDefault="00940D39" w:rsidP="00107314">
      <w:pPr>
        <w:pBdr>
          <w:top w:val="single" w:sz="4" w:space="1" w:color="auto"/>
          <w:left w:val="single" w:sz="4" w:space="4" w:color="auto"/>
          <w:bottom w:val="single" w:sz="4" w:space="1" w:color="auto"/>
          <w:right w:val="single" w:sz="4" w:space="4" w:color="auto"/>
        </w:pBdr>
        <w:spacing w:before="240"/>
        <w:rPr>
          <w:rFonts w:cs="Arial"/>
        </w:rPr>
      </w:pPr>
      <w:bookmarkStart w:id="50" w:name="_Toc99537980"/>
      <w:r w:rsidRPr="00940D39">
        <w:rPr>
          <w:rFonts w:cs="Arial"/>
        </w:rPr>
        <w:t>Iz usporednog prikaza vidljivo je da se i u ovom izvještajnom razdoblju najveći udio žalbi u vezi s pravom na pristup informacijama odnosi na JLP(R)S (26,8%), dok su tijela državne uprave odmah iza njih (25%). To upućuje na zaključak da je interes i fokus korisnika u najvećoj mjeri usmjeren na informacije kojima raspolažu ta tijela.</w:t>
      </w:r>
    </w:p>
    <w:p w14:paraId="5EF1A6FC" w14:textId="77777777" w:rsidR="004158A8" w:rsidRPr="00F0315E" w:rsidRDefault="004158A8" w:rsidP="009032D7">
      <w:pPr>
        <w:pStyle w:val="Naslov3"/>
        <w:ind w:left="1985"/>
      </w:pPr>
      <w:bookmarkStart w:id="51" w:name="_Toc225865569"/>
      <w:r>
        <w:t>Razlozi za odbijanje zahtjeva kao osnova žalbenog postupka</w:t>
      </w:r>
      <w:bookmarkEnd w:id="50"/>
      <w:bookmarkEnd w:id="51"/>
      <w:r>
        <w:t xml:space="preserve"> </w:t>
      </w:r>
    </w:p>
    <w:p w14:paraId="79B78204" w14:textId="2AD3186F" w:rsidR="005A607B" w:rsidRPr="005A607B" w:rsidRDefault="005A607B" w:rsidP="005A607B">
      <w:pPr>
        <w:rPr>
          <w:rFonts w:cs="Arial"/>
        </w:rPr>
      </w:pPr>
      <w:r w:rsidRPr="005A607B">
        <w:rPr>
          <w:rFonts w:cs="Arial"/>
        </w:rPr>
        <w:t>Ograničenja prava na pristup informacijama moraju, sukladno članku 38. stavku 4. Ustava RH, biti razmjerna naravi potrebe za ograničenjem u svakom pojedinom slučaju te nužna u slobodnom i demokratskom društvu, a propisana zakonom. Odredba članka 15. ZPPI-ja uređuje ograničenja, od koji</w:t>
      </w:r>
      <w:r w:rsidR="00FE40DA">
        <w:rPr>
          <w:rFonts w:cs="Arial"/>
        </w:rPr>
        <w:t>h</w:t>
      </w:r>
      <w:r w:rsidRPr="005A607B">
        <w:rPr>
          <w:rFonts w:cs="Arial"/>
        </w:rPr>
        <w:t xml:space="preserve"> su informacije iz prethodnog i kaznenog postupka za vrijeme trajanja tih postupaka jedino propisano apsolutno izuzeće, dok su sva ostala zakonska ograničenja relativnog karaktera i tijelo javne vlasti prije donošenja odluke mora provesti test razmjernosti i javnog interesa, osim u odnosu na podatke o osobnom imenu ili nazivu, iznosu i namjeni sredstava u slučaju traženja informacija o raspolaganju javnim sredstvima.</w:t>
      </w:r>
    </w:p>
    <w:p w14:paraId="6A9CE593" w14:textId="1003CAF8" w:rsidR="00107314" w:rsidRPr="004A5107" w:rsidRDefault="005A607B" w:rsidP="005A607B">
      <w:pPr>
        <w:rPr>
          <w:rFonts w:cs="Arial"/>
        </w:rPr>
      </w:pPr>
      <w:r w:rsidRPr="005A607B">
        <w:rPr>
          <w:rFonts w:cs="Arial"/>
        </w:rPr>
        <w:t>Prema razlozima za odbijanje i odbacivanje zahtjeva (Tablica 4.3.), tijekom 2025. žalbe su se u najvećem broju slučajeva podnosile na rješenja u kojima su kao razlog odbijanja navedeni, traženje informacije koja se ne smatra informacijom u smislu zakonske odredbe (114 ili 20,8% zlouporaba prava (82 ili 14,9%), osobni podaci (78 ili 14,2%) i klasificirane informacije (60 ili 10,9%), a značajan udio u podnesenim žalbama, kao i u ranijim izvještajnim razdobljima, ima i neposjedovanje informacije od strane tijela javne vlasti kao razlog za odbacivanje zahtjeva (93 ili 16,3%)</w:t>
      </w:r>
      <w:r w:rsidR="00107314" w:rsidRPr="004A5107">
        <w:rPr>
          <w:rFonts w:cs="Arial"/>
        </w:rPr>
        <w:t xml:space="preserve">. </w:t>
      </w:r>
    </w:p>
    <w:p w14:paraId="675EA007" w14:textId="77777777" w:rsidR="005808E4" w:rsidRPr="005808E4" w:rsidRDefault="005808E4" w:rsidP="005808E4">
      <w:pPr>
        <w:pBdr>
          <w:top w:val="single" w:sz="4" w:space="1" w:color="auto"/>
          <w:left w:val="single" w:sz="4" w:space="4" w:color="auto"/>
          <w:bottom w:val="single" w:sz="4" w:space="1" w:color="auto"/>
          <w:right w:val="single" w:sz="4" w:space="4" w:color="auto"/>
        </w:pBdr>
        <w:rPr>
          <w:rFonts w:cs="Arial"/>
          <w:color w:val="000000" w:themeColor="text1"/>
        </w:rPr>
      </w:pPr>
      <w:r w:rsidRPr="005808E4">
        <w:rPr>
          <w:rFonts w:cs="Arial"/>
          <w:color w:val="000000" w:themeColor="text1"/>
        </w:rPr>
        <w:t>Najveći broj žalbi u 2025. godini izjavljen je protiv rješenja kojima je zahtjev odbijen uz obrazloženje da se istim ne traži informacija u smislu zakona, kao i protiv rješenja kojima je zahtjev odbačen zbog toga što tijelo javne vlasti ne raspolaže traženom informacijom. Navedeno upućuje na zaključak da podnositelji zahtjeva i dalje nisu u dostatnoj mjeri upoznati s pojmom informacije u smislu ZPPI-ja te njegovim dosegom.</w:t>
      </w:r>
    </w:p>
    <w:p w14:paraId="342E1033" w14:textId="77777777" w:rsidR="005808E4" w:rsidRPr="005808E4" w:rsidRDefault="005808E4" w:rsidP="005808E4">
      <w:pPr>
        <w:pBdr>
          <w:top w:val="single" w:sz="4" w:space="1" w:color="auto"/>
          <w:left w:val="single" w:sz="4" w:space="4" w:color="auto"/>
          <w:bottom w:val="single" w:sz="4" w:space="1" w:color="auto"/>
          <w:right w:val="single" w:sz="4" w:space="4" w:color="auto"/>
        </w:pBdr>
        <w:rPr>
          <w:rFonts w:cs="Arial"/>
          <w:color w:val="000000" w:themeColor="text1"/>
        </w:rPr>
      </w:pPr>
      <w:r w:rsidRPr="005808E4">
        <w:rPr>
          <w:rFonts w:cs="Arial"/>
          <w:color w:val="000000" w:themeColor="text1"/>
        </w:rPr>
        <w:t>Nadalje, zlouporaba prava na pristup informacijama i dalje je visoko zastupljena osnova odlučivanja, što potvrđuje kontinuitet takve prakse kroz više izvještajnih razdoblja.</w:t>
      </w:r>
    </w:p>
    <w:p w14:paraId="28B38116" w14:textId="66303E54" w:rsidR="00107314" w:rsidRPr="004A5107" w:rsidRDefault="005808E4" w:rsidP="005808E4">
      <w:pPr>
        <w:pBdr>
          <w:top w:val="single" w:sz="4" w:space="1" w:color="auto"/>
          <w:left w:val="single" w:sz="4" w:space="4" w:color="auto"/>
          <w:bottom w:val="single" w:sz="4" w:space="1" w:color="auto"/>
          <w:right w:val="single" w:sz="4" w:space="4" w:color="auto"/>
        </w:pBdr>
        <w:rPr>
          <w:rFonts w:cs="Arial"/>
          <w:color w:val="000000" w:themeColor="text1"/>
        </w:rPr>
      </w:pPr>
      <w:r w:rsidRPr="005808E4">
        <w:rPr>
          <w:rFonts w:cs="Arial"/>
          <w:color w:val="000000" w:themeColor="text1"/>
        </w:rPr>
        <w:t>Od ograničenja prava na pristup informacijama propisanih člankom 15. ZPPI-ja, zaštita osobnih podataka i nadalje predstavlja najčešće primjenjivano zakonsko ograničenje. Porast broja žalbenih postupaka protiv rješenja kojima je pristup informacijama ograničen zbog njihove klasifikacije posljedica je vođenja većeg broja istovrsnih postupaka pred Ministarstvom financija</w:t>
      </w:r>
      <w:r w:rsidR="00107314" w:rsidRPr="004A5107">
        <w:rPr>
          <w:rFonts w:cs="Arial"/>
          <w:color w:val="000000" w:themeColor="text1"/>
        </w:rPr>
        <w:t>.</w:t>
      </w:r>
    </w:p>
    <w:p w14:paraId="650C7E1E" w14:textId="46449F34" w:rsidR="004158A8" w:rsidRPr="00F0315E" w:rsidRDefault="004158A8" w:rsidP="00872DF4">
      <w:pPr>
        <w:keepNext/>
        <w:widowControl w:val="0"/>
        <w:spacing w:before="240"/>
        <w:rPr>
          <w:rFonts w:cs="Arial"/>
          <w:sz w:val="18"/>
          <w:szCs w:val="18"/>
        </w:rPr>
      </w:pPr>
      <w:r w:rsidRPr="006347F5">
        <w:rPr>
          <w:rFonts w:cs="Arial"/>
          <w:sz w:val="18"/>
          <w:szCs w:val="18"/>
        </w:rPr>
        <w:lastRenderedPageBreak/>
        <w:t xml:space="preserve">Tablica </w:t>
      </w:r>
      <w:r w:rsidR="00302599" w:rsidRPr="006347F5">
        <w:rPr>
          <w:rFonts w:cs="Arial"/>
          <w:sz w:val="18"/>
          <w:szCs w:val="18"/>
        </w:rPr>
        <w:t>4</w:t>
      </w:r>
      <w:r w:rsidRPr="006347F5">
        <w:rPr>
          <w:rFonts w:cs="Arial"/>
          <w:sz w:val="18"/>
          <w:szCs w:val="18"/>
        </w:rPr>
        <w:t>.3. Žalbe prema razlozima odbijanja i odbacivanja u 202</w:t>
      </w:r>
      <w:r w:rsidR="00107314">
        <w:rPr>
          <w:rFonts w:cs="Arial"/>
          <w:sz w:val="18"/>
          <w:szCs w:val="18"/>
        </w:rPr>
        <w:t>5</w:t>
      </w:r>
      <w:r w:rsidRPr="006347F5">
        <w:rPr>
          <w:rFonts w:cs="Arial"/>
          <w:sz w:val="18"/>
          <w:szCs w:val="18"/>
        </w:rPr>
        <w:t>.</w:t>
      </w:r>
    </w:p>
    <w:tbl>
      <w:tblPr>
        <w:tblW w:w="9278" w:type="dxa"/>
        <w:jc w:val="center"/>
        <w:tblBorders>
          <w:top w:val="single" w:sz="8" w:space="0" w:color="4F81BD"/>
          <w:bottom w:val="single" w:sz="8" w:space="0" w:color="4F81BD"/>
        </w:tblBorders>
        <w:tblLayout w:type="fixed"/>
        <w:tblLook w:val="04A0" w:firstRow="1" w:lastRow="0" w:firstColumn="1" w:lastColumn="0" w:noHBand="0" w:noVBand="1"/>
      </w:tblPr>
      <w:tblGrid>
        <w:gridCol w:w="4335"/>
        <w:gridCol w:w="1684"/>
        <w:gridCol w:w="1685"/>
        <w:gridCol w:w="1574"/>
      </w:tblGrid>
      <w:tr w:rsidR="004158A8" w:rsidRPr="00872DF4" w14:paraId="6857F86B" w14:textId="77777777" w:rsidTr="00074F46">
        <w:trPr>
          <w:trHeight w:val="340"/>
          <w:jc w:val="center"/>
        </w:trPr>
        <w:tc>
          <w:tcPr>
            <w:tcW w:w="4335" w:type="dxa"/>
            <w:tcBorders>
              <w:top w:val="single" w:sz="8" w:space="0" w:color="4472C4" w:themeColor="accent1"/>
              <w:left w:val="nil"/>
              <w:bottom w:val="single" w:sz="8" w:space="0" w:color="4472C4" w:themeColor="accent1"/>
              <w:right w:val="nil"/>
            </w:tcBorders>
            <w:vAlign w:val="center"/>
            <w:hideMark/>
          </w:tcPr>
          <w:p w14:paraId="6E620092" w14:textId="5083CD58" w:rsidR="004158A8" w:rsidRPr="005C5887" w:rsidRDefault="005C5887" w:rsidP="00074F46">
            <w:pPr>
              <w:widowControl w:val="0"/>
              <w:spacing w:before="20" w:after="20"/>
              <w:jc w:val="center"/>
              <w:rPr>
                <w:rFonts w:eastAsia="Times New Roman" w:cs="Times New Roman"/>
                <w:b/>
                <w:bCs/>
                <w:iCs/>
                <w:sz w:val="18"/>
                <w:szCs w:val="18"/>
              </w:rPr>
            </w:pPr>
            <w:r w:rsidRPr="005C5887">
              <w:rPr>
                <w:rFonts w:eastAsia="Times New Roman" w:cs="Times New Roman"/>
                <w:b/>
                <w:bCs/>
                <w:iCs/>
                <w:sz w:val="18"/>
                <w:szCs w:val="18"/>
              </w:rPr>
              <w:t xml:space="preserve">Razlog odbijanja </w:t>
            </w:r>
            <w:r w:rsidR="007B4E02">
              <w:rPr>
                <w:rFonts w:eastAsia="Times New Roman" w:cs="Times New Roman"/>
                <w:b/>
                <w:bCs/>
                <w:iCs/>
                <w:sz w:val="18"/>
                <w:szCs w:val="18"/>
              </w:rPr>
              <w:t xml:space="preserve">/ </w:t>
            </w:r>
            <w:r w:rsidRPr="005C5887">
              <w:rPr>
                <w:rFonts w:eastAsia="Times New Roman" w:cs="Times New Roman"/>
                <w:b/>
                <w:bCs/>
                <w:iCs/>
                <w:sz w:val="18"/>
                <w:szCs w:val="18"/>
              </w:rPr>
              <w:t>odbacivanja</w:t>
            </w:r>
          </w:p>
        </w:tc>
        <w:tc>
          <w:tcPr>
            <w:tcW w:w="1684" w:type="dxa"/>
            <w:tcBorders>
              <w:top w:val="single" w:sz="8" w:space="0" w:color="4472C4" w:themeColor="accent1"/>
              <w:left w:val="nil"/>
              <w:bottom w:val="single" w:sz="8" w:space="0" w:color="4472C4" w:themeColor="accent1"/>
              <w:right w:val="nil"/>
            </w:tcBorders>
            <w:vAlign w:val="center"/>
            <w:hideMark/>
          </w:tcPr>
          <w:p w14:paraId="40BCD434" w14:textId="77777777" w:rsidR="004158A8" w:rsidRPr="005C5887" w:rsidRDefault="004158A8" w:rsidP="00074F46">
            <w:pPr>
              <w:widowControl w:val="0"/>
              <w:spacing w:before="20" w:after="20"/>
              <w:jc w:val="center"/>
              <w:rPr>
                <w:rFonts w:eastAsia="Times New Roman" w:cs="Times New Roman"/>
                <w:b/>
                <w:iCs/>
                <w:sz w:val="18"/>
                <w:szCs w:val="18"/>
              </w:rPr>
            </w:pPr>
            <w:r w:rsidRPr="005C5887">
              <w:rPr>
                <w:rFonts w:eastAsia="Times New Roman" w:cs="Times New Roman"/>
                <w:b/>
                <w:iCs/>
                <w:sz w:val="18"/>
                <w:szCs w:val="18"/>
              </w:rPr>
              <w:t>Broj</w:t>
            </w:r>
          </w:p>
        </w:tc>
        <w:tc>
          <w:tcPr>
            <w:tcW w:w="1685" w:type="dxa"/>
            <w:tcBorders>
              <w:top w:val="single" w:sz="8" w:space="0" w:color="4472C4" w:themeColor="accent1"/>
              <w:left w:val="nil"/>
              <w:bottom w:val="single" w:sz="8" w:space="0" w:color="4472C4" w:themeColor="accent1"/>
              <w:right w:val="nil"/>
            </w:tcBorders>
            <w:vAlign w:val="center"/>
            <w:hideMark/>
          </w:tcPr>
          <w:p w14:paraId="2725AFC6" w14:textId="77777777" w:rsidR="004158A8" w:rsidRPr="005C5887" w:rsidRDefault="004158A8" w:rsidP="00074F46">
            <w:pPr>
              <w:widowControl w:val="0"/>
              <w:spacing w:before="20" w:after="20"/>
              <w:jc w:val="center"/>
              <w:rPr>
                <w:rFonts w:eastAsia="Times New Roman" w:cs="Times New Roman"/>
                <w:b/>
                <w:iCs/>
                <w:sz w:val="18"/>
                <w:szCs w:val="18"/>
              </w:rPr>
            </w:pPr>
            <w:r w:rsidRPr="005C5887">
              <w:rPr>
                <w:rFonts w:eastAsia="Times New Roman" w:cs="Times New Roman"/>
                <w:b/>
                <w:iCs/>
                <w:sz w:val="18"/>
                <w:szCs w:val="18"/>
              </w:rPr>
              <w:t>Postotak (%)</w:t>
            </w:r>
          </w:p>
        </w:tc>
        <w:tc>
          <w:tcPr>
            <w:tcW w:w="1574" w:type="dxa"/>
            <w:tcBorders>
              <w:top w:val="single" w:sz="8" w:space="0" w:color="4472C4" w:themeColor="accent1"/>
              <w:left w:val="nil"/>
              <w:bottom w:val="single" w:sz="8" w:space="0" w:color="4472C4" w:themeColor="accent1"/>
              <w:right w:val="nil"/>
            </w:tcBorders>
            <w:noWrap/>
            <w:vAlign w:val="center"/>
            <w:hideMark/>
          </w:tcPr>
          <w:p w14:paraId="6BD51372" w14:textId="5EF8C663" w:rsidR="004158A8" w:rsidRPr="005C5887" w:rsidRDefault="004158A8" w:rsidP="00074F46">
            <w:pPr>
              <w:widowControl w:val="0"/>
              <w:spacing w:before="20" w:after="20"/>
              <w:jc w:val="center"/>
              <w:rPr>
                <w:rFonts w:eastAsia="Times New Roman" w:cs="Times New Roman"/>
                <w:b/>
                <w:iCs/>
                <w:sz w:val="18"/>
                <w:szCs w:val="18"/>
              </w:rPr>
            </w:pPr>
            <w:r w:rsidRPr="005C5887">
              <w:rPr>
                <w:rFonts w:eastAsia="Times New Roman" w:cs="Times New Roman"/>
                <w:b/>
                <w:iCs/>
                <w:sz w:val="18"/>
                <w:szCs w:val="18"/>
              </w:rPr>
              <w:t>Rang</w:t>
            </w:r>
            <w:r w:rsidR="008208CD" w:rsidRPr="005C5887">
              <w:rPr>
                <w:rFonts w:eastAsia="Times New Roman" w:cs="Times New Roman"/>
                <w:b/>
                <w:iCs/>
                <w:sz w:val="18"/>
                <w:szCs w:val="18"/>
              </w:rPr>
              <w:t>*</w:t>
            </w:r>
          </w:p>
        </w:tc>
      </w:tr>
      <w:tr w:rsidR="00107314" w:rsidRPr="00872DF4" w14:paraId="15FB0FE4" w14:textId="77777777" w:rsidTr="00074F46">
        <w:trPr>
          <w:trHeight w:val="340"/>
          <w:jc w:val="center"/>
        </w:trPr>
        <w:tc>
          <w:tcPr>
            <w:tcW w:w="4335" w:type="dxa"/>
            <w:tcBorders>
              <w:top w:val="single" w:sz="8" w:space="0" w:color="4472C4" w:themeColor="accent1"/>
              <w:left w:val="nil"/>
              <w:bottom w:val="single" w:sz="4" w:space="0" w:color="8EAADB" w:themeColor="accent1" w:themeTint="99"/>
              <w:right w:val="nil"/>
            </w:tcBorders>
            <w:vAlign w:val="center"/>
            <w:hideMark/>
          </w:tcPr>
          <w:p w14:paraId="11E21264"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prethodni i kazneni postupak</w:t>
            </w:r>
          </w:p>
        </w:tc>
        <w:tc>
          <w:tcPr>
            <w:tcW w:w="1684" w:type="dxa"/>
            <w:tcBorders>
              <w:top w:val="single" w:sz="8" w:space="0" w:color="4472C4" w:themeColor="accent1"/>
              <w:left w:val="nil"/>
              <w:bottom w:val="single" w:sz="4" w:space="0" w:color="8EAADB" w:themeColor="accent1" w:themeTint="99"/>
              <w:right w:val="nil"/>
            </w:tcBorders>
            <w:vAlign w:val="center"/>
            <w:hideMark/>
          </w:tcPr>
          <w:p w14:paraId="28E840EC" w14:textId="4B899E94"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3</w:t>
            </w:r>
          </w:p>
        </w:tc>
        <w:tc>
          <w:tcPr>
            <w:tcW w:w="1685" w:type="dxa"/>
            <w:tcBorders>
              <w:top w:val="single" w:sz="8" w:space="0" w:color="4472C4" w:themeColor="accent1"/>
              <w:left w:val="nil"/>
              <w:bottom w:val="single" w:sz="4" w:space="0" w:color="8EAADB" w:themeColor="accent1" w:themeTint="99"/>
              <w:right w:val="nil"/>
            </w:tcBorders>
            <w:vAlign w:val="center"/>
            <w:hideMark/>
          </w:tcPr>
          <w:p w14:paraId="710F7938" w14:textId="6A2314FA"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0,5</w:t>
            </w:r>
          </w:p>
        </w:tc>
        <w:tc>
          <w:tcPr>
            <w:tcW w:w="1574" w:type="dxa"/>
            <w:tcBorders>
              <w:top w:val="single" w:sz="8" w:space="0" w:color="4472C4" w:themeColor="accent1"/>
              <w:left w:val="nil"/>
              <w:bottom w:val="single" w:sz="4" w:space="0" w:color="8EAADB" w:themeColor="accent1" w:themeTint="99"/>
              <w:right w:val="nil"/>
            </w:tcBorders>
            <w:noWrap/>
            <w:vAlign w:val="center"/>
            <w:hideMark/>
          </w:tcPr>
          <w:p w14:paraId="79AA513A" w14:textId="49BE7D2A"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15</w:t>
            </w:r>
          </w:p>
        </w:tc>
      </w:tr>
      <w:tr w:rsidR="00107314" w:rsidRPr="00872DF4" w14:paraId="34950D25"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5B9D4E01"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klasificirana informacija</w:t>
            </w:r>
          </w:p>
        </w:tc>
        <w:tc>
          <w:tcPr>
            <w:tcW w:w="1684"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3CC674B3" w14:textId="772167E1"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60</w:t>
            </w:r>
          </w:p>
        </w:tc>
        <w:tc>
          <w:tcPr>
            <w:tcW w:w="168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2477C5EE" w14:textId="203953EA"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10,9</w:t>
            </w:r>
          </w:p>
        </w:tc>
        <w:tc>
          <w:tcPr>
            <w:tcW w:w="1574" w:type="dxa"/>
            <w:tcBorders>
              <w:top w:val="single" w:sz="4" w:space="0" w:color="8EAADB" w:themeColor="accent1" w:themeTint="99"/>
              <w:left w:val="nil"/>
              <w:bottom w:val="single" w:sz="4" w:space="0" w:color="8EAADB" w:themeColor="accent1" w:themeTint="99"/>
              <w:right w:val="nil"/>
            </w:tcBorders>
            <w:shd w:val="clear" w:color="auto" w:fill="D9E2F3"/>
            <w:noWrap/>
            <w:vAlign w:val="center"/>
            <w:hideMark/>
          </w:tcPr>
          <w:p w14:paraId="21F0F934" w14:textId="15CEF613"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5</w:t>
            </w:r>
          </w:p>
        </w:tc>
      </w:tr>
      <w:tr w:rsidR="00107314" w:rsidRPr="00872DF4" w14:paraId="7F4832D7"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vAlign w:val="center"/>
            <w:hideMark/>
          </w:tcPr>
          <w:p w14:paraId="55260255"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poslovna ili profesionalna tajna</w:t>
            </w:r>
          </w:p>
        </w:tc>
        <w:tc>
          <w:tcPr>
            <w:tcW w:w="1684" w:type="dxa"/>
            <w:tcBorders>
              <w:top w:val="single" w:sz="4" w:space="0" w:color="8EAADB" w:themeColor="accent1" w:themeTint="99"/>
              <w:left w:val="nil"/>
              <w:bottom w:val="single" w:sz="4" w:space="0" w:color="8EAADB" w:themeColor="accent1" w:themeTint="99"/>
              <w:right w:val="nil"/>
            </w:tcBorders>
            <w:vAlign w:val="center"/>
            <w:hideMark/>
          </w:tcPr>
          <w:p w14:paraId="2E345211" w14:textId="748FD531"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28</w:t>
            </w:r>
          </w:p>
        </w:tc>
        <w:tc>
          <w:tcPr>
            <w:tcW w:w="1685" w:type="dxa"/>
            <w:tcBorders>
              <w:top w:val="single" w:sz="4" w:space="0" w:color="8EAADB" w:themeColor="accent1" w:themeTint="99"/>
              <w:left w:val="nil"/>
              <w:bottom w:val="single" w:sz="4" w:space="0" w:color="8EAADB" w:themeColor="accent1" w:themeTint="99"/>
              <w:right w:val="nil"/>
            </w:tcBorders>
            <w:vAlign w:val="center"/>
            <w:hideMark/>
          </w:tcPr>
          <w:p w14:paraId="283D3231" w14:textId="23ABEE3D"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5,1</w:t>
            </w:r>
          </w:p>
        </w:tc>
        <w:tc>
          <w:tcPr>
            <w:tcW w:w="1574" w:type="dxa"/>
            <w:tcBorders>
              <w:top w:val="single" w:sz="4" w:space="0" w:color="8EAADB" w:themeColor="accent1" w:themeTint="99"/>
              <w:left w:val="nil"/>
              <w:bottom w:val="single" w:sz="4" w:space="0" w:color="8EAADB" w:themeColor="accent1" w:themeTint="99"/>
              <w:right w:val="nil"/>
            </w:tcBorders>
            <w:noWrap/>
            <w:vAlign w:val="center"/>
            <w:hideMark/>
          </w:tcPr>
          <w:p w14:paraId="4EBB3760" w14:textId="3466F43F"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6</w:t>
            </w:r>
          </w:p>
        </w:tc>
      </w:tr>
      <w:tr w:rsidR="00107314" w:rsidRPr="00872DF4" w14:paraId="32D940B5"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0FD36190"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porezna tajna</w:t>
            </w:r>
          </w:p>
        </w:tc>
        <w:tc>
          <w:tcPr>
            <w:tcW w:w="1684"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3B5283BD" w14:textId="16FDC98C"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8</w:t>
            </w:r>
          </w:p>
        </w:tc>
        <w:tc>
          <w:tcPr>
            <w:tcW w:w="168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6794CCDD" w14:textId="37E51C02"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1,5</w:t>
            </w:r>
          </w:p>
        </w:tc>
        <w:tc>
          <w:tcPr>
            <w:tcW w:w="1574" w:type="dxa"/>
            <w:tcBorders>
              <w:top w:val="single" w:sz="4" w:space="0" w:color="8EAADB" w:themeColor="accent1" w:themeTint="99"/>
              <w:left w:val="nil"/>
              <w:bottom w:val="single" w:sz="4" w:space="0" w:color="8EAADB" w:themeColor="accent1" w:themeTint="99"/>
              <w:right w:val="nil"/>
            </w:tcBorders>
            <w:shd w:val="clear" w:color="auto" w:fill="D9E2F3"/>
            <w:noWrap/>
            <w:vAlign w:val="center"/>
            <w:hideMark/>
          </w:tcPr>
          <w:p w14:paraId="52842701" w14:textId="73039514"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11</w:t>
            </w:r>
          </w:p>
        </w:tc>
      </w:tr>
      <w:tr w:rsidR="00107314" w:rsidRPr="00872DF4" w14:paraId="2823062B"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vAlign w:val="center"/>
            <w:hideMark/>
          </w:tcPr>
          <w:p w14:paraId="53943672"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osobni podaci</w:t>
            </w:r>
          </w:p>
        </w:tc>
        <w:tc>
          <w:tcPr>
            <w:tcW w:w="1684" w:type="dxa"/>
            <w:tcBorders>
              <w:top w:val="single" w:sz="4" w:space="0" w:color="8EAADB" w:themeColor="accent1" w:themeTint="99"/>
              <w:left w:val="nil"/>
              <w:bottom w:val="single" w:sz="4" w:space="0" w:color="8EAADB" w:themeColor="accent1" w:themeTint="99"/>
              <w:right w:val="nil"/>
            </w:tcBorders>
            <w:vAlign w:val="center"/>
            <w:hideMark/>
          </w:tcPr>
          <w:p w14:paraId="77F99352" w14:textId="58531618"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78</w:t>
            </w:r>
          </w:p>
        </w:tc>
        <w:tc>
          <w:tcPr>
            <w:tcW w:w="1685" w:type="dxa"/>
            <w:tcBorders>
              <w:top w:val="single" w:sz="4" w:space="0" w:color="8EAADB" w:themeColor="accent1" w:themeTint="99"/>
              <w:left w:val="nil"/>
              <w:bottom w:val="single" w:sz="4" w:space="0" w:color="8EAADB" w:themeColor="accent1" w:themeTint="99"/>
              <w:right w:val="nil"/>
            </w:tcBorders>
            <w:vAlign w:val="center"/>
            <w:hideMark/>
          </w:tcPr>
          <w:p w14:paraId="3C959DCF" w14:textId="508F25AA"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14,2</w:t>
            </w:r>
          </w:p>
        </w:tc>
        <w:tc>
          <w:tcPr>
            <w:tcW w:w="1574" w:type="dxa"/>
            <w:tcBorders>
              <w:top w:val="single" w:sz="4" w:space="0" w:color="8EAADB" w:themeColor="accent1" w:themeTint="99"/>
              <w:left w:val="nil"/>
              <w:bottom w:val="single" w:sz="4" w:space="0" w:color="8EAADB" w:themeColor="accent1" w:themeTint="99"/>
              <w:right w:val="nil"/>
            </w:tcBorders>
            <w:noWrap/>
            <w:vAlign w:val="center"/>
            <w:hideMark/>
          </w:tcPr>
          <w:p w14:paraId="52D3F320" w14:textId="6AA28F7B" w:rsidR="00107314" w:rsidRPr="00872DF4" w:rsidRDefault="00107314" w:rsidP="00074F46">
            <w:pPr>
              <w:widowControl w:val="0"/>
              <w:snapToGrid w:val="0"/>
              <w:spacing w:before="20" w:after="20"/>
              <w:jc w:val="center"/>
              <w:rPr>
                <w:rFonts w:eastAsia="Times New Roman" w:cs="Times New Roman"/>
                <w:sz w:val="18"/>
                <w:szCs w:val="18"/>
              </w:rPr>
            </w:pPr>
            <w:r w:rsidRPr="007E6804">
              <w:rPr>
                <w:rFonts w:eastAsia="Times New Roman" w:cs="Times New Roman"/>
                <w:sz w:val="18"/>
                <w:szCs w:val="18"/>
              </w:rPr>
              <w:t>4</w:t>
            </w:r>
          </w:p>
        </w:tc>
      </w:tr>
      <w:tr w:rsidR="00107314" w:rsidRPr="00872DF4" w14:paraId="1C3DE816"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62B0568B"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intelektualno vlasništvo</w:t>
            </w:r>
          </w:p>
        </w:tc>
        <w:tc>
          <w:tcPr>
            <w:tcW w:w="1684"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21F4F1CF" w14:textId="7C650567" w:rsidR="00107314" w:rsidRPr="00872DF4" w:rsidRDefault="00107314" w:rsidP="00074F46">
            <w:pPr>
              <w:widowControl w:val="0"/>
              <w:snapToGrid w:val="0"/>
              <w:spacing w:before="20" w:after="20"/>
              <w:jc w:val="center"/>
              <w:rPr>
                <w:rFonts w:eastAsia="Times New Roman" w:cs="Times New Roman"/>
                <w:sz w:val="18"/>
                <w:szCs w:val="18"/>
              </w:rPr>
            </w:pPr>
            <w:r w:rsidRPr="007E6804">
              <w:rPr>
                <w:rFonts w:eastAsia="Times New Roman" w:cs="Arial"/>
                <w:sz w:val="18"/>
                <w:szCs w:val="18"/>
              </w:rPr>
              <w:t>5</w:t>
            </w:r>
          </w:p>
        </w:tc>
        <w:tc>
          <w:tcPr>
            <w:tcW w:w="168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4CED4779" w14:textId="32DA6A76"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0,9</w:t>
            </w:r>
          </w:p>
        </w:tc>
        <w:tc>
          <w:tcPr>
            <w:tcW w:w="1574" w:type="dxa"/>
            <w:tcBorders>
              <w:top w:val="single" w:sz="4" w:space="0" w:color="8EAADB" w:themeColor="accent1" w:themeTint="99"/>
              <w:left w:val="nil"/>
              <w:bottom w:val="single" w:sz="4" w:space="0" w:color="8EAADB" w:themeColor="accent1" w:themeTint="99"/>
              <w:right w:val="nil"/>
            </w:tcBorders>
            <w:shd w:val="clear" w:color="auto" w:fill="D9E2F3"/>
            <w:noWrap/>
            <w:vAlign w:val="center"/>
            <w:hideMark/>
          </w:tcPr>
          <w:p w14:paraId="45DBCC6A" w14:textId="0B71322E" w:rsidR="00107314" w:rsidRPr="00872DF4" w:rsidRDefault="00107314" w:rsidP="00074F46">
            <w:pPr>
              <w:widowControl w:val="0"/>
              <w:snapToGrid w:val="0"/>
              <w:spacing w:before="20" w:after="20"/>
              <w:jc w:val="center"/>
              <w:rPr>
                <w:rFonts w:eastAsia="Times New Roman" w:cs="Times New Roman"/>
                <w:sz w:val="18"/>
                <w:szCs w:val="18"/>
              </w:rPr>
            </w:pPr>
            <w:r w:rsidRPr="007E6804">
              <w:rPr>
                <w:rFonts w:eastAsia="Times New Roman" w:cs="Times New Roman"/>
                <w:sz w:val="18"/>
                <w:szCs w:val="18"/>
              </w:rPr>
              <w:t>1</w:t>
            </w:r>
            <w:r>
              <w:rPr>
                <w:rFonts w:eastAsia="Times New Roman" w:cs="Times New Roman"/>
                <w:sz w:val="18"/>
                <w:szCs w:val="18"/>
              </w:rPr>
              <w:t>3</w:t>
            </w:r>
          </w:p>
        </w:tc>
      </w:tr>
      <w:tr w:rsidR="00107314" w:rsidRPr="00872DF4" w14:paraId="76DF7DC0"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vAlign w:val="center"/>
            <w:hideMark/>
          </w:tcPr>
          <w:p w14:paraId="0DFD44D9"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međunarodni ugovori, diplomatski odnosi</w:t>
            </w:r>
          </w:p>
        </w:tc>
        <w:tc>
          <w:tcPr>
            <w:tcW w:w="1684" w:type="dxa"/>
            <w:tcBorders>
              <w:top w:val="single" w:sz="4" w:space="0" w:color="8EAADB" w:themeColor="accent1" w:themeTint="99"/>
              <w:left w:val="nil"/>
              <w:bottom w:val="single" w:sz="4" w:space="0" w:color="8EAADB" w:themeColor="accent1" w:themeTint="99"/>
              <w:right w:val="nil"/>
            </w:tcBorders>
            <w:vAlign w:val="center"/>
            <w:hideMark/>
          </w:tcPr>
          <w:p w14:paraId="4846FCCB" w14:textId="2517E66A"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1</w:t>
            </w:r>
          </w:p>
        </w:tc>
        <w:tc>
          <w:tcPr>
            <w:tcW w:w="1685" w:type="dxa"/>
            <w:tcBorders>
              <w:top w:val="single" w:sz="4" w:space="0" w:color="8EAADB" w:themeColor="accent1" w:themeTint="99"/>
              <w:left w:val="nil"/>
              <w:bottom w:val="single" w:sz="4" w:space="0" w:color="8EAADB" w:themeColor="accent1" w:themeTint="99"/>
              <w:right w:val="nil"/>
            </w:tcBorders>
            <w:vAlign w:val="center"/>
            <w:hideMark/>
          </w:tcPr>
          <w:p w14:paraId="665CC7EB" w14:textId="3F5CE860"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0,2</w:t>
            </w:r>
          </w:p>
        </w:tc>
        <w:tc>
          <w:tcPr>
            <w:tcW w:w="1574" w:type="dxa"/>
            <w:tcBorders>
              <w:top w:val="single" w:sz="4" w:space="0" w:color="8EAADB" w:themeColor="accent1" w:themeTint="99"/>
              <w:left w:val="nil"/>
              <w:bottom w:val="single" w:sz="4" w:space="0" w:color="8EAADB" w:themeColor="accent1" w:themeTint="99"/>
              <w:right w:val="nil"/>
            </w:tcBorders>
            <w:noWrap/>
            <w:vAlign w:val="center"/>
            <w:hideMark/>
          </w:tcPr>
          <w:p w14:paraId="106E69DA" w14:textId="34394C5F"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16</w:t>
            </w:r>
          </w:p>
        </w:tc>
      </w:tr>
      <w:tr w:rsidR="00107314" w:rsidRPr="00872DF4" w14:paraId="53E73FB9"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76E8195F"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ostali slučajevi utvrđeni zakonom</w:t>
            </w:r>
          </w:p>
        </w:tc>
        <w:tc>
          <w:tcPr>
            <w:tcW w:w="1684"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41223DA2" w14:textId="1374D301"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20</w:t>
            </w:r>
          </w:p>
        </w:tc>
        <w:tc>
          <w:tcPr>
            <w:tcW w:w="168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59A34DE3" w14:textId="706E26AC"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3,6</w:t>
            </w:r>
          </w:p>
        </w:tc>
        <w:tc>
          <w:tcPr>
            <w:tcW w:w="1574" w:type="dxa"/>
            <w:tcBorders>
              <w:top w:val="single" w:sz="4" w:space="0" w:color="8EAADB" w:themeColor="accent1" w:themeTint="99"/>
              <w:left w:val="nil"/>
              <w:bottom w:val="single" w:sz="4" w:space="0" w:color="8EAADB" w:themeColor="accent1" w:themeTint="99"/>
              <w:right w:val="nil"/>
            </w:tcBorders>
            <w:shd w:val="clear" w:color="auto" w:fill="D9E2F3"/>
            <w:noWrap/>
            <w:vAlign w:val="center"/>
            <w:hideMark/>
          </w:tcPr>
          <w:p w14:paraId="68EFD5BA" w14:textId="795F8E9C"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8</w:t>
            </w:r>
          </w:p>
        </w:tc>
      </w:tr>
      <w:tr w:rsidR="00107314" w:rsidRPr="00872DF4" w14:paraId="3500AB9F"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vAlign w:val="center"/>
            <w:hideMark/>
          </w:tcPr>
          <w:p w14:paraId="69847F69"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sudski, upravni ili drugi postupak u tijeku</w:t>
            </w:r>
          </w:p>
        </w:tc>
        <w:tc>
          <w:tcPr>
            <w:tcW w:w="1684" w:type="dxa"/>
            <w:tcBorders>
              <w:top w:val="single" w:sz="4" w:space="0" w:color="8EAADB" w:themeColor="accent1" w:themeTint="99"/>
              <w:left w:val="nil"/>
              <w:bottom w:val="single" w:sz="4" w:space="0" w:color="8EAADB" w:themeColor="accent1" w:themeTint="99"/>
              <w:right w:val="nil"/>
            </w:tcBorders>
            <w:vAlign w:val="center"/>
            <w:hideMark/>
          </w:tcPr>
          <w:p w14:paraId="1B18CBDE" w14:textId="4ACAE710" w:rsidR="00107314" w:rsidRPr="00872DF4" w:rsidRDefault="00107314" w:rsidP="00074F46">
            <w:pPr>
              <w:widowControl w:val="0"/>
              <w:snapToGrid w:val="0"/>
              <w:spacing w:before="20" w:after="20"/>
              <w:jc w:val="center"/>
              <w:rPr>
                <w:rFonts w:eastAsia="Times New Roman" w:cs="Times New Roman"/>
                <w:sz w:val="18"/>
                <w:szCs w:val="18"/>
              </w:rPr>
            </w:pPr>
            <w:r w:rsidRPr="007E6804">
              <w:rPr>
                <w:rFonts w:eastAsia="Times New Roman" w:cs="Arial"/>
                <w:sz w:val="18"/>
                <w:szCs w:val="18"/>
              </w:rPr>
              <w:t>2</w:t>
            </w:r>
            <w:r>
              <w:rPr>
                <w:rFonts w:eastAsia="Times New Roman" w:cs="Arial"/>
                <w:sz w:val="18"/>
                <w:szCs w:val="18"/>
              </w:rPr>
              <w:t>5</w:t>
            </w:r>
          </w:p>
        </w:tc>
        <w:tc>
          <w:tcPr>
            <w:tcW w:w="1685" w:type="dxa"/>
            <w:tcBorders>
              <w:top w:val="single" w:sz="4" w:space="0" w:color="8EAADB" w:themeColor="accent1" w:themeTint="99"/>
              <w:left w:val="nil"/>
              <w:bottom w:val="single" w:sz="4" w:space="0" w:color="8EAADB" w:themeColor="accent1" w:themeTint="99"/>
              <w:right w:val="nil"/>
            </w:tcBorders>
            <w:vAlign w:val="center"/>
            <w:hideMark/>
          </w:tcPr>
          <w:p w14:paraId="2151CCA1" w14:textId="2898DED0"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4,6</w:t>
            </w:r>
          </w:p>
        </w:tc>
        <w:tc>
          <w:tcPr>
            <w:tcW w:w="1574" w:type="dxa"/>
            <w:tcBorders>
              <w:top w:val="single" w:sz="4" w:space="0" w:color="8EAADB" w:themeColor="accent1" w:themeTint="99"/>
              <w:left w:val="nil"/>
              <w:bottom w:val="single" w:sz="4" w:space="0" w:color="8EAADB" w:themeColor="accent1" w:themeTint="99"/>
              <w:right w:val="nil"/>
            </w:tcBorders>
            <w:noWrap/>
            <w:vAlign w:val="center"/>
            <w:hideMark/>
          </w:tcPr>
          <w:p w14:paraId="5A24132E" w14:textId="246E248F"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7</w:t>
            </w:r>
          </w:p>
        </w:tc>
      </w:tr>
      <w:tr w:rsidR="00107314" w:rsidRPr="00872DF4" w14:paraId="0046C3E6"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75C4B96B"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upravni, inspekcijski ili nadzor zakonitosti u tijeku</w:t>
            </w:r>
          </w:p>
        </w:tc>
        <w:tc>
          <w:tcPr>
            <w:tcW w:w="1684"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170A22BA" w14:textId="105A4C10"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5</w:t>
            </w:r>
          </w:p>
        </w:tc>
        <w:tc>
          <w:tcPr>
            <w:tcW w:w="168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7AE2FFED" w14:textId="5CEA6C72"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0,9</w:t>
            </w:r>
          </w:p>
        </w:tc>
        <w:tc>
          <w:tcPr>
            <w:tcW w:w="1574" w:type="dxa"/>
            <w:tcBorders>
              <w:top w:val="single" w:sz="4" w:space="0" w:color="8EAADB" w:themeColor="accent1" w:themeTint="99"/>
              <w:left w:val="nil"/>
              <w:bottom w:val="single" w:sz="4" w:space="0" w:color="8EAADB" w:themeColor="accent1" w:themeTint="99"/>
              <w:right w:val="nil"/>
            </w:tcBorders>
            <w:shd w:val="clear" w:color="auto" w:fill="D9E2F3"/>
            <w:noWrap/>
            <w:vAlign w:val="center"/>
            <w:hideMark/>
          </w:tcPr>
          <w:p w14:paraId="71811670" w14:textId="51EFA04F" w:rsidR="00107314" w:rsidRPr="00872DF4" w:rsidRDefault="00107314" w:rsidP="00074F46">
            <w:pPr>
              <w:widowControl w:val="0"/>
              <w:snapToGrid w:val="0"/>
              <w:spacing w:before="20" w:after="20"/>
              <w:jc w:val="center"/>
              <w:rPr>
                <w:rFonts w:eastAsia="Times New Roman" w:cs="Times New Roman"/>
                <w:sz w:val="18"/>
                <w:szCs w:val="18"/>
              </w:rPr>
            </w:pPr>
            <w:r w:rsidRPr="007E6804">
              <w:rPr>
                <w:rFonts w:eastAsia="Times New Roman" w:cs="Times New Roman"/>
                <w:sz w:val="18"/>
                <w:szCs w:val="18"/>
              </w:rPr>
              <w:t>14</w:t>
            </w:r>
          </w:p>
        </w:tc>
      </w:tr>
      <w:tr w:rsidR="00107314" w:rsidRPr="00872DF4" w14:paraId="17623413"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vAlign w:val="center"/>
            <w:hideMark/>
          </w:tcPr>
          <w:p w14:paraId="35D5EFC0"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informacija u postupku izrade</w:t>
            </w:r>
          </w:p>
        </w:tc>
        <w:tc>
          <w:tcPr>
            <w:tcW w:w="1684" w:type="dxa"/>
            <w:tcBorders>
              <w:top w:val="single" w:sz="4" w:space="0" w:color="8EAADB" w:themeColor="accent1" w:themeTint="99"/>
              <w:left w:val="nil"/>
              <w:bottom w:val="single" w:sz="4" w:space="0" w:color="8EAADB" w:themeColor="accent1" w:themeTint="99"/>
              <w:right w:val="nil"/>
            </w:tcBorders>
            <w:vAlign w:val="center"/>
            <w:hideMark/>
          </w:tcPr>
          <w:p w14:paraId="6B5B5E22" w14:textId="60999D15"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10</w:t>
            </w:r>
          </w:p>
        </w:tc>
        <w:tc>
          <w:tcPr>
            <w:tcW w:w="1685" w:type="dxa"/>
            <w:tcBorders>
              <w:top w:val="single" w:sz="4" w:space="0" w:color="8EAADB" w:themeColor="accent1" w:themeTint="99"/>
              <w:left w:val="nil"/>
              <w:bottom w:val="single" w:sz="4" w:space="0" w:color="8EAADB" w:themeColor="accent1" w:themeTint="99"/>
              <w:right w:val="nil"/>
            </w:tcBorders>
            <w:vAlign w:val="center"/>
            <w:hideMark/>
          </w:tcPr>
          <w:p w14:paraId="2B372E39" w14:textId="05069711"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1,8</w:t>
            </w:r>
          </w:p>
        </w:tc>
        <w:tc>
          <w:tcPr>
            <w:tcW w:w="1574" w:type="dxa"/>
            <w:tcBorders>
              <w:top w:val="single" w:sz="4" w:space="0" w:color="8EAADB" w:themeColor="accent1" w:themeTint="99"/>
              <w:left w:val="nil"/>
              <w:bottom w:val="single" w:sz="4" w:space="0" w:color="8EAADB" w:themeColor="accent1" w:themeTint="99"/>
              <w:right w:val="nil"/>
            </w:tcBorders>
            <w:noWrap/>
            <w:vAlign w:val="center"/>
            <w:hideMark/>
          </w:tcPr>
          <w:p w14:paraId="7EF4FB86" w14:textId="3A503D62"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9</w:t>
            </w:r>
          </w:p>
        </w:tc>
      </w:tr>
      <w:tr w:rsidR="00107314" w:rsidRPr="00872DF4" w14:paraId="06819FFA"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2D748210"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informacija u postupku usuglašavanja</w:t>
            </w:r>
          </w:p>
        </w:tc>
        <w:tc>
          <w:tcPr>
            <w:tcW w:w="1684"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69AE6C63" w14:textId="3584274D"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7</w:t>
            </w:r>
          </w:p>
        </w:tc>
        <w:tc>
          <w:tcPr>
            <w:tcW w:w="168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6381043B" w14:textId="2C60A274"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1,3</w:t>
            </w:r>
          </w:p>
        </w:tc>
        <w:tc>
          <w:tcPr>
            <w:tcW w:w="1574" w:type="dxa"/>
            <w:tcBorders>
              <w:top w:val="single" w:sz="4" w:space="0" w:color="8EAADB" w:themeColor="accent1" w:themeTint="99"/>
              <w:left w:val="nil"/>
              <w:bottom w:val="single" w:sz="4" w:space="0" w:color="8EAADB" w:themeColor="accent1" w:themeTint="99"/>
              <w:right w:val="nil"/>
            </w:tcBorders>
            <w:shd w:val="clear" w:color="auto" w:fill="D9E2F3"/>
            <w:noWrap/>
            <w:vAlign w:val="center"/>
            <w:hideMark/>
          </w:tcPr>
          <w:p w14:paraId="678C2558" w14:textId="150A18E1" w:rsidR="00107314" w:rsidRPr="00872DF4" w:rsidRDefault="00107314" w:rsidP="00074F46">
            <w:pPr>
              <w:widowControl w:val="0"/>
              <w:snapToGrid w:val="0"/>
              <w:spacing w:before="20" w:after="20"/>
              <w:jc w:val="center"/>
              <w:rPr>
                <w:rFonts w:eastAsia="Times New Roman" w:cs="Times New Roman"/>
                <w:sz w:val="18"/>
                <w:szCs w:val="18"/>
              </w:rPr>
            </w:pPr>
            <w:r w:rsidRPr="007E6804">
              <w:rPr>
                <w:rFonts w:eastAsia="Times New Roman" w:cs="Times New Roman"/>
                <w:sz w:val="18"/>
                <w:szCs w:val="18"/>
              </w:rPr>
              <w:t>12</w:t>
            </w:r>
          </w:p>
        </w:tc>
      </w:tr>
      <w:tr w:rsidR="00107314" w:rsidRPr="00872DF4" w14:paraId="473E4C50"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vAlign w:val="center"/>
            <w:hideMark/>
          </w:tcPr>
          <w:p w14:paraId="35E2E8BA" w14:textId="77777777" w:rsidR="00107314" w:rsidRPr="00872DF4" w:rsidRDefault="00107314" w:rsidP="00074F46">
            <w:pPr>
              <w:widowControl w:val="0"/>
              <w:snapToGrid w:val="0"/>
              <w:spacing w:before="20" w:after="20"/>
              <w:jc w:val="left"/>
              <w:rPr>
                <w:rFonts w:eastAsia="Times New Roman" w:cs="Times New Roman"/>
                <w:b/>
                <w:bCs/>
                <w:sz w:val="18"/>
                <w:szCs w:val="18"/>
              </w:rPr>
            </w:pPr>
            <w:r w:rsidRPr="00872DF4">
              <w:rPr>
                <w:rFonts w:eastAsia="Times New Roman" w:cs="Times New Roman"/>
                <w:bCs/>
                <w:sz w:val="18"/>
                <w:szCs w:val="18"/>
              </w:rPr>
              <w:t>zlouporaba prava na pristup informacijama</w:t>
            </w:r>
          </w:p>
        </w:tc>
        <w:tc>
          <w:tcPr>
            <w:tcW w:w="1684" w:type="dxa"/>
            <w:tcBorders>
              <w:top w:val="single" w:sz="4" w:space="0" w:color="8EAADB" w:themeColor="accent1" w:themeTint="99"/>
              <w:left w:val="nil"/>
              <w:bottom w:val="single" w:sz="4" w:space="0" w:color="8EAADB" w:themeColor="accent1" w:themeTint="99"/>
              <w:right w:val="nil"/>
            </w:tcBorders>
            <w:vAlign w:val="center"/>
            <w:hideMark/>
          </w:tcPr>
          <w:p w14:paraId="5D06F62B" w14:textId="3CC10A3B"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82</w:t>
            </w:r>
          </w:p>
        </w:tc>
        <w:tc>
          <w:tcPr>
            <w:tcW w:w="1685" w:type="dxa"/>
            <w:tcBorders>
              <w:top w:val="single" w:sz="4" w:space="0" w:color="8EAADB" w:themeColor="accent1" w:themeTint="99"/>
              <w:left w:val="nil"/>
              <w:bottom w:val="single" w:sz="4" w:space="0" w:color="8EAADB" w:themeColor="accent1" w:themeTint="99"/>
              <w:right w:val="nil"/>
            </w:tcBorders>
            <w:vAlign w:val="center"/>
            <w:hideMark/>
          </w:tcPr>
          <w:p w14:paraId="6F1EBE36" w14:textId="7C2A553A"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14,9</w:t>
            </w:r>
          </w:p>
        </w:tc>
        <w:tc>
          <w:tcPr>
            <w:tcW w:w="1574" w:type="dxa"/>
            <w:tcBorders>
              <w:top w:val="single" w:sz="4" w:space="0" w:color="8EAADB" w:themeColor="accent1" w:themeTint="99"/>
              <w:left w:val="nil"/>
              <w:bottom w:val="single" w:sz="4" w:space="0" w:color="8EAADB" w:themeColor="accent1" w:themeTint="99"/>
              <w:right w:val="nil"/>
            </w:tcBorders>
            <w:noWrap/>
            <w:vAlign w:val="center"/>
            <w:hideMark/>
          </w:tcPr>
          <w:p w14:paraId="097421B8" w14:textId="406A3BCA"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3</w:t>
            </w:r>
          </w:p>
        </w:tc>
      </w:tr>
      <w:tr w:rsidR="00107314" w:rsidRPr="00872DF4" w14:paraId="0F1BDCB2"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3C0262F1"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ne smatra se informacijom u smislu ZPPI-ja</w:t>
            </w:r>
          </w:p>
        </w:tc>
        <w:tc>
          <w:tcPr>
            <w:tcW w:w="1684"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429A9523" w14:textId="55DB9100"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Arial"/>
                <w:sz w:val="18"/>
                <w:szCs w:val="18"/>
              </w:rPr>
              <w:t>114</w:t>
            </w:r>
          </w:p>
        </w:tc>
        <w:tc>
          <w:tcPr>
            <w:tcW w:w="1685" w:type="dxa"/>
            <w:tcBorders>
              <w:top w:val="single" w:sz="4" w:space="0" w:color="8EAADB" w:themeColor="accent1" w:themeTint="99"/>
              <w:left w:val="nil"/>
              <w:bottom w:val="single" w:sz="4" w:space="0" w:color="8EAADB" w:themeColor="accent1" w:themeTint="99"/>
              <w:right w:val="nil"/>
            </w:tcBorders>
            <w:shd w:val="clear" w:color="auto" w:fill="D9E2F3"/>
            <w:vAlign w:val="center"/>
            <w:hideMark/>
          </w:tcPr>
          <w:p w14:paraId="3F583489" w14:textId="536D36E7"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20,8</w:t>
            </w:r>
          </w:p>
        </w:tc>
        <w:tc>
          <w:tcPr>
            <w:tcW w:w="1574" w:type="dxa"/>
            <w:tcBorders>
              <w:top w:val="single" w:sz="4" w:space="0" w:color="8EAADB" w:themeColor="accent1" w:themeTint="99"/>
              <w:left w:val="nil"/>
              <w:bottom w:val="single" w:sz="4" w:space="0" w:color="8EAADB" w:themeColor="accent1" w:themeTint="99"/>
              <w:right w:val="nil"/>
            </w:tcBorders>
            <w:shd w:val="clear" w:color="auto" w:fill="D9E2F3"/>
            <w:noWrap/>
            <w:vAlign w:val="center"/>
            <w:hideMark/>
          </w:tcPr>
          <w:p w14:paraId="35E436EC" w14:textId="661D34B4"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1</w:t>
            </w:r>
          </w:p>
        </w:tc>
      </w:tr>
      <w:tr w:rsidR="00107314" w:rsidRPr="00872DF4" w14:paraId="25D57635" w14:textId="77777777" w:rsidTr="00074F46">
        <w:trPr>
          <w:trHeight w:val="340"/>
          <w:jc w:val="center"/>
        </w:trPr>
        <w:tc>
          <w:tcPr>
            <w:tcW w:w="4335" w:type="dxa"/>
            <w:tcBorders>
              <w:top w:val="single" w:sz="4" w:space="0" w:color="8EAADB" w:themeColor="accent1" w:themeTint="99"/>
              <w:left w:val="nil"/>
              <w:bottom w:val="single" w:sz="4" w:space="0" w:color="8EAADB" w:themeColor="accent1" w:themeTint="99"/>
              <w:right w:val="nil"/>
            </w:tcBorders>
            <w:vAlign w:val="center"/>
            <w:hideMark/>
          </w:tcPr>
          <w:p w14:paraId="3AEE4DCA"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nema osnove za dopunu ili ispravak</w:t>
            </w:r>
          </w:p>
        </w:tc>
        <w:tc>
          <w:tcPr>
            <w:tcW w:w="1684" w:type="dxa"/>
            <w:tcBorders>
              <w:top w:val="single" w:sz="4" w:space="0" w:color="8EAADB" w:themeColor="accent1" w:themeTint="99"/>
              <w:left w:val="nil"/>
              <w:bottom w:val="single" w:sz="4" w:space="0" w:color="8EAADB" w:themeColor="accent1" w:themeTint="99"/>
              <w:right w:val="nil"/>
            </w:tcBorders>
            <w:vAlign w:val="center"/>
            <w:hideMark/>
          </w:tcPr>
          <w:p w14:paraId="632B0FE7" w14:textId="0B6861CC" w:rsidR="00107314" w:rsidRPr="00872DF4" w:rsidRDefault="00107314" w:rsidP="00074F46">
            <w:pPr>
              <w:widowControl w:val="0"/>
              <w:snapToGrid w:val="0"/>
              <w:spacing w:before="20" w:after="20"/>
              <w:jc w:val="center"/>
              <w:rPr>
                <w:rFonts w:eastAsia="Times New Roman" w:cs="Times New Roman"/>
                <w:sz w:val="18"/>
                <w:szCs w:val="18"/>
              </w:rPr>
            </w:pPr>
            <w:r w:rsidRPr="007E6804">
              <w:rPr>
                <w:rFonts w:eastAsia="Times New Roman" w:cs="Arial"/>
                <w:sz w:val="18"/>
                <w:szCs w:val="18"/>
              </w:rPr>
              <w:t>1</w:t>
            </w:r>
            <w:r>
              <w:rPr>
                <w:rFonts w:eastAsia="Times New Roman" w:cs="Arial"/>
                <w:sz w:val="18"/>
                <w:szCs w:val="18"/>
              </w:rPr>
              <w:t>0</w:t>
            </w:r>
          </w:p>
        </w:tc>
        <w:tc>
          <w:tcPr>
            <w:tcW w:w="1685" w:type="dxa"/>
            <w:tcBorders>
              <w:top w:val="single" w:sz="4" w:space="0" w:color="8EAADB" w:themeColor="accent1" w:themeTint="99"/>
              <w:left w:val="nil"/>
              <w:bottom w:val="single" w:sz="4" w:space="0" w:color="8EAADB" w:themeColor="accent1" w:themeTint="99"/>
              <w:right w:val="nil"/>
            </w:tcBorders>
            <w:vAlign w:val="center"/>
            <w:hideMark/>
          </w:tcPr>
          <w:p w14:paraId="060E02BD" w14:textId="73A0FA48"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1,8</w:t>
            </w:r>
          </w:p>
        </w:tc>
        <w:tc>
          <w:tcPr>
            <w:tcW w:w="1574" w:type="dxa"/>
            <w:tcBorders>
              <w:top w:val="single" w:sz="4" w:space="0" w:color="8EAADB" w:themeColor="accent1" w:themeTint="99"/>
              <w:left w:val="nil"/>
              <w:bottom w:val="single" w:sz="4" w:space="0" w:color="8EAADB" w:themeColor="accent1" w:themeTint="99"/>
              <w:right w:val="nil"/>
            </w:tcBorders>
            <w:noWrap/>
            <w:vAlign w:val="center"/>
            <w:hideMark/>
          </w:tcPr>
          <w:p w14:paraId="628BBCC3" w14:textId="6F7DE710" w:rsidR="00107314" w:rsidRPr="00872DF4" w:rsidRDefault="00107314" w:rsidP="00074F46">
            <w:pPr>
              <w:widowControl w:val="0"/>
              <w:snapToGrid w:val="0"/>
              <w:spacing w:before="20" w:after="20"/>
              <w:jc w:val="center"/>
              <w:rPr>
                <w:rFonts w:eastAsia="Times New Roman" w:cs="Times New Roman"/>
                <w:sz w:val="18"/>
                <w:szCs w:val="18"/>
              </w:rPr>
            </w:pPr>
            <w:r>
              <w:rPr>
                <w:rFonts w:eastAsia="Times New Roman" w:cs="Times New Roman"/>
                <w:sz w:val="18"/>
                <w:szCs w:val="18"/>
              </w:rPr>
              <w:t>10</w:t>
            </w:r>
          </w:p>
        </w:tc>
      </w:tr>
      <w:tr w:rsidR="00107314" w:rsidRPr="00872DF4" w14:paraId="6B1E74B7" w14:textId="77777777" w:rsidTr="00074F46">
        <w:trPr>
          <w:trHeight w:val="340"/>
          <w:jc w:val="center"/>
        </w:trPr>
        <w:tc>
          <w:tcPr>
            <w:tcW w:w="4335" w:type="dxa"/>
            <w:tcBorders>
              <w:top w:val="single" w:sz="4" w:space="0" w:color="8EAADB" w:themeColor="accent1" w:themeTint="99"/>
              <w:left w:val="nil"/>
              <w:bottom w:val="single" w:sz="8" w:space="0" w:color="4472C4" w:themeColor="accent1"/>
              <w:right w:val="nil"/>
            </w:tcBorders>
            <w:shd w:val="clear" w:color="auto" w:fill="D9E2F3"/>
            <w:vAlign w:val="center"/>
            <w:hideMark/>
          </w:tcPr>
          <w:p w14:paraId="0924A247" w14:textId="77777777" w:rsidR="00107314" w:rsidRPr="00872DF4" w:rsidRDefault="00107314" w:rsidP="00074F46">
            <w:pPr>
              <w:widowControl w:val="0"/>
              <w:snapToGrid w:val="0"/>
              <w:spacing w:before="20" w:after="20"/>
              <w:rPr>
                <w:rFonts w:eastAsia="Times New Roman" w:cs="Times New Roman"/>
                <w:b/>
                <w:bCs/>
                <w:sz w:val="18"/>
                <w:szCs w:val="18"/>
              </w:rPr>
            </w:pPr>
            <w:r w:rsidRPr="00872DF4">
              <w:rPr>
                <w:rFonts w:eastAsia="Times New Roman" w:cs="Times New Roman"/>
                <w:bCs/>
                <w:sz w:val="18"/>
                <w:szCs w:val="18"/>
              </w:rPr>
              <w:t>ne posjeduje informaciju</w:t>
            </w:r>
          </w:p>
        </w:tc>
        <w:tc>
          <w:tcPr>
            <w:tcW w:w="1684" w:type="dxa"/>
            <w:tcBorders>
              <w:top w:val="single" w:sz="4" w:space="0" w:color="8EAADB" w:themeColor="accent1" w:themeTint="99"/>
              <w:left w:val="nil"/>
              <w:bottom w:val="single" w:sz="8" w:space="0" w:color="4472C4" w:themeColor="accent1"/>
              <w:right w:val="nil"/>
            </w:tcBorders>
            <w:shd w:val="clear" w:color="auto" w:fill="D9E2F3"/>
            <w:vAlign w:val="center"/>
            <w:hideMark/>
          </w:tcPr>
          <w:p w14:paraId="5D723B28" w14:textId="48181845" w:rsidR="00107314" w:rsidRPr="00872DF4" w:rsidRDefault="00107314" w:rsidP="00074F46">
            <w:pPr>
              <w:widowControl w:val="0"/>
              <w:snapToGrid w:val="0"/>
              <w:spacing w:before="20" w:after="20"/>
              <w:jc w:val="center"/>
              <w:rPr>
                <w:rFonts w:eastAsia="Times New Roman" w:cs="Times New Roman"/>
                <w:sz w:val="18"/>
                <w:szCs w:val="18"/>
              </w:rPr>
            </w:pPr>
            <w:r w:rsidRPr="007E6804">
              <w:rPr>
                <w:rFonts w:eastAsia="Times New Roman" w:cs="Arial"/>
                <w:sz w:val="18"/>
                <w:szCs w:val="18"/>
              </w:rPr>
              <w:t>9</w:t>
            </w:r>
            <w:r>
              <w:rPr>
                <w:rFonts w:eastAsia="Times New Roman" w:cs="Arial"/>
                <w:sz w:val="18"/>
                <w:szCs w:val="18"/>
              </w:rPr>
              <w:t>3</w:t>
            </w:r>
          </w:p>
        </w:tc>
        <w:tc>
          <w:tcPr>
            <w:tcW w:w="1685" w:type="dxa"/>
            <w:tcBorders>
              <w:top w:val="single" w:sz="4" w:space="0" w:color="8EAADB" w:themeColor="accent1" w:themeTint="99"/>
              <w:left w:val="nil"/>
              <w:bottom w:val="single" w:sz="8" w:space="0" w:color="4472C4" w:themeColor="accent1"/>
              <w:right w:val="nil"/>
            </w:tcBorders>
            <w:shd w:val="clear" w:color="auto" w:fill="D9E2F3"/>
            <w:vAlign w:val="center"/>
            <w:hideMark/>
          </w:tcPr>
          <w:p w14:paraId="025464AC" w14:textId="227D8980" w:rsidR="00107314" w:rsidRPr="00872DF4" w:rsidRDefault="00107314" w:rsidP="00074F46">
            <w:pPr>
              <w:widowControl w:val="0"/>
              <w:snapToGrid w:val="0"/>
              <w:spacing w:before="20" w:after="20"/>
              <w:jc w:val="center"/>
              <w:rPr>
                <w:rFonts w:eastAsia="Times New Roman" w:cs="Times New Roman"/>
                <w:sz w:val="18"/>
                <w:szCs w:val="18"/>
              </w:rPr>
            </w:pPr>
            <w:r w:rsidRPr="003C11BF">
              <w:rPr>
                <w:rFonts w:eastAsia="Times New Roman" w:cs="Arial"/>
                <w:sz w:val="18"/>
                <w:szCs w:val="18"/>
              </w:rPr>
              <w:t>16,3</w:t>
            </w:r>
          </w:p>
        </w:tc>
        <w:tc>
          <w:tcPr>
            <w:tcW w:w="1574" w:type="dxa"/>
            <w:tcBorders>
              <w:top w:val="single" w:sz="4" w:space="0" w:color="8EAADB" w:themeColor="accent1" w:themeTint="99"/>
              <w:left w:val="nil"/>
              <w:bottom w:val="single" w:sz="8" w:space="0" w:color="4472C4" w:themeColor="accent1"/>
              <w:right w:val="nil"/>
            </w:tcBorders>
            <w:shd w:val="clear" w:color="auto" w:fill="D9E2F3"/>
            <w:noWrap/>
            <w:vAlign w:val="center"/>
            <w:hideMark/>
          </w:tcPr>
          <w:p w14:paraId="7AA6C69D" w14:textId="0B12C789" w:rsidR="00107314" w:rsidRPr="00872DF4" w:rsidRDefault="00107314" w:rsidP="00074F46">
            <w:pPr>
              <w:widowControl w:val="0"/>
              <w:snapToGrid w:val="0"/>
              <w:spacing w:before="20" w:after="20"/>
              <w:jc w:val="center"/>
              <w:rPr>
                <w:rFonts w:eastAsia="Times New Roman" w:cs="Times New Roman"/>
                <w:sz w:val="18"/>
                <w:szCs w:val="18"/>
              </w:rPr>
            </w:pPr>
            <w:r w:rsidRPr="007E6804">
              <w:rPr>
                <w:rFonts w:eastAsia="Times New Roman" w:cs="Times New Roman"/>
                <w:sz w:val="18"/>
                <w:szCs w:val="18"/>
              </w:rPr>
              <w:t>2</w:t>
            </w:r>
          </w:p>
        </w:tc>
      </w:tr>
      <w:tr w:rsidR="00107314" w:rsidRPr="00872DF4" w14:paraId="1520E3FD" w14:textId="77777777" w:rsidTr="00074F46">
        <w:trPr>
          <w:trHeight w:val="340"/>
          <w:jc w:val="center"/>
        </w:trPr>
        <w:tc>
          <w:tcPr>
            <w:tcW w:w="4335" w:type="dxa"/>
            <w:tcBorders>
              <w:top w:val="single" w:sz="8" w:space="0" w:color="4472C4" w:themeColor="accent1"/>
              <w:left w:val="nil"/>
              <w:bottom w:val="single" w:sz="8" w:space="0" w:color="4472C4" w:themeColor="accent1"/>
              <w:right w:val="nil"/>
            </w:tcBorders>
            <w:shd w:val="clear" w:color="auto" w:fill="FFFFFF"/>
            <w:vAlign w:val="center"/>
            <w:hideMark/>
          </w:tcPr>
          <w:p w14:paraId="0A706ED2" w14:textId="6CD371EA" w:rsidR="00107314" w:rsidRPr="00872DF4" w:rsidRDefault="00107314" w:rsidP="00074F46">
            <w:pPr>
              <w:widowControl w:val="0"/>
              <w:snapToGrid w:val="0"/>
              <w:spacing w:before="20" w:after="20"/>
              <w:jc w:val="left"/>
              <w:rPr>
                <w:rFonts w:eastAsia="Times New Roman" w:cs="Times New Roman"/>
                <w:b/>
                <w:bCs/>
                <w:sz w:val="18"/>
                <w:szCs w:val="18"/>
              </w:rPr>
            </w:pPr>
            <w:r>
              <w:rPr>
                <w:rFonts w:eastAsia="Times New Roman" w:cs="Times New Roman"/>
                <w:b/>
                <w:bCs/>
                <w:sz w:val="18"/>
                <w:szCs w:val="18"/>
              </w:rPr>
              <w:t>UKUPNO</w:t>
            </w:r>
          </w:p>
        </w:tc>
        <w:tc>
          <w:tcPr>
            <w:tcW w:w="1684" w:type="dxa"/>
            <w:tcBorders>
              <w:top w:val="single" w:sz="8" w:space="0" w:color="4472C4" w:themeColor="accent1"/>
              <w:left w:val="nil"/>
              <w:bottom w:val="single" w:sz="8" w:space="0" w:color="4472C4" w:themeColor="accent1"/>
              <w:right w:val="nil"/>
            </w:tcBorders>
            <w:shd w:val="clear" w:color="auto" w:fill="FFFFFF"/>
            <w:vAlign w:val="center"/>
            <w:hideMark/>
          </w:tcPr>
          <w:p w14:paraId="165815C7" w14:textId="30871C25" w:rsidR="00107314" w:rsidRPr="00872DF4" w:rsidRDefault="00107314" w:rsidP="00074F46">
            <w:pPr>
              <w:widowControl w:val="0"/>
              <w:snapToGrid w:val="0"/>
              <w:spacing w:before="20" w:after="20"/>
              <w:jc w:val="center"/>
              <w:rPr>
                <w:rFonts w:eastAsia="Times New Roman" w:cs="Times New Roman"/>
                <w:b/>
                <w:sz w:val="18"/>
                <w:szCs w:val="18"/>
                <w:highlight w:val="yellow"/>
              </w:rPr>
            </w:pPr>
            <w:r>
              <w:rPr>
                <w:rFonts w:eastAsia="Times New Roman" w:cs="Arial"/>
                <w:b/>
                <w:bCs/>
                <w:sz w:val="18"/>
                <w:szCs w:val="18"/>
              </w:rPr>
              <w:t>549</w:t>
            </w:r>
          </w:p>
        </w:tc>
        <w:tc>
          <w:tcPr>
            <w:tcW w:w="1685" w:type="dxa"/>
            <w:tcBorders>
              <w:top w:val="single" w:sz="8" w:space="0" w:color="4472C4" w:themeColor="accent1"/>
              <w:left w:val="nil"/>
              <w:bottom w:val="single" w:sz="8" w:space="0" w:color="4472C4" w:themeColor="accent1"/>
              <w:right w:val="nil"/>
            </w:tcBorders>
            <w:shd w:val="clear" w:color="auto" w:fill="FFFFFF"/>
            <w:vAlign w:val="center"/>
            <w:hideMark/>
          </w:tcPr>
          <w:p w14:paraId="4C484291" w14:textId="77777777" w:rsidR="00107314" w:rsidRPr="00872DF4" w:rsidRDefault="00107314" w:rsidP="00074F46">
            <w:pPr>
              <w:widowControl w:val="0"/>
              <w:snapToGrid w:val="0"/>
              <w:spacing w:before="20" w:after="20"/>
              <w:jc w:val="center"/>
              <w:rPr>
                <w:rFonts w:eastAsia="Times New Roman" w:cs="Times New Roman"/>
                <w:b/>
                <w:sz w:val="18"/>
                <w:szCs w:val="18"/>
              </w:rPr>
            </w:pPr>
            <w:r w:rsidRPr="00872DF4">
              <w:rPr>
                <w:rFonts w:eastAsia="Times New Roman" w:cs="Arial"/>
                <w:b/>
                <w:bCs/>
                <w:sz w:val="18"/>
                <w:szCs w:val="18"/>
              </w:rPr>
              <w:t>100,00</w:t>
            </w:r>
          </w:p>
        </w:tc>
        <w:tc>
          <w:tcPr>
            <w:tcW w:w="1574" w:type="dxa"/>
            <w:tcBorders>
              <w:top w:val="single" w:sz="8" w:space="0" w:color="4472C4" w:themeColor="accent1"/>
              <w:left w:val="nil"/>
              <w:bottom w:val="single" w:sz="8" w:space="0" w:color="4472C4" w:themeColor="accent1"/>
              <w:right w:val="nil"/>
            </w:tcBorders>
            <w:shd w:val="clear" w:color="auto" w:fill="FFFFFF"/>
            <w:noWrap/>
            <w:vAlign w:val="center"/>
            <w:hideMark/>
          </w:tcPr>
          <w:p w14:paraId="0B2E9543" w14:textId="6F5FB05B" w:rsidR="00107314" w:rsidRPr="00872DF4" w:rsidRDefault="00107314" w:rsidP="00074F46">
            <w:pPr>
              <w:widowControl w:val="0"/>
              <w:snapToGrid w:val="0"/>
              <w:spacing w:before="20" w:after="20"/>
              <w:jc w:val="center"/>
              <w:rPr>
                <w:rFonts w:eastAsia="Times New Roman" w:cs="Calibri"/>
                <w:b/>
                <w:sz w:val="18"/>
                <w:szCs w:val="18"/>
              </w:rPr>
            </w:pPr>
            <w:r w:rsidRPr="007E6804">
              <w:rPr>
                <w:rFonts w:eastAsia="Times New Roman"/>
                <w:b/>
                <w:sz w:val="18"/>
                <w:szCs w:val="18"/>
              </w:rPr>
              <w:t>-</w:t>
            </w:r>
          </w:p>
        </w:tc>
      </w:tr>
    </w:tbl>
    <w:p w14:paraId="1C607FA7" w14:textId="07EA8DC7" w:rsidR="00937B73" w:rsidRDefault="008208CD" w:rsidP="00872DF4">
      <w:pPr>
        <w:spacing w:before="120"/>
        <w:rPr>
          <w:i/>
          <w:iCs/>
          <w:sz w:val="20"/>
          <w:szCs w:val="20"/>
        </w:rPr>
      </w:pPr>
      <w:bookmarkStart w:id="52" w:name="_Toc66103127"/>
      <w:bookmarkStart w:id="53" w:name="_Toc99537981"/>
      <w:r w:rsidRPr="00F0315E">
        <w:rPr>
          <w:i/>
          <w:iCs/>
          <w:sz w:val="20"/>
          <w:szCs w:val="20"/>
        </w:rPr>
        <w:t>* Poredak po broju zaprimljenih žalbi u odnosu na razloge odbijanja</w:t>
      </w:r>
    </w:p>
    <w:p w14:paraId="29D720AD" w14:textId="02DABBBA" w:rsidR="004158A8" w:rsidRPr="00F0315E" w:rsidRDefault="004158A8" w:rsidP="009032D7">
      <w:pPr>
        <w:pStyle w:val="Naslov3"/>
        <w:ind w:left="1985"/>
      </w:pPr>
      <w:bookmarkStart w:id="54" w:name="_Toc225865570"/>
      <w:r>
        <w:t>Rješavanje žalbi</w:t>
      </w:r>
      <w:bookmarkEnd w:id="52"/>
      <w:bookmarkEnd w:id="53"/>
      <w:bookmarkEnd w:id="54"/>
    </w:p>
    <w:p w14:paraId="7723493D" w14:textId="77777777" w:rsidR="003D62F5" w:rsidRPr="003D62F5" w:rsidRDefault="003D62F5" w:rsidP="003D62F5">
      <w:pPr>
        <w:rPr>
          <w:rFonts w:cs="Arial"/>
        </w:rPr>
      </w:pPr>
      <w:r w:rsidRPr="003D62F5">
        <w:rPr>
          <w:rFonts w:cs="Arial"/>
        </w:rPr>
        <w:t xml:space="preserve">S obzirom na to da je u određenom broju žalbenih predmeta bilo riječi o bitno istovjetnoj činjeničnoj i pravnoj osnovi, isti su sukladno članku 44. stavku 1. ZUP-a spojeni te je jednim drugostupanjskim rješenjem odlučeno o više podnesenih žalbi, a kako bi se prikazali podaci u odnosu na broj riješenih žalbi, koristio se broj zaprimljenih žalbi nakon spajanja predmeta, tj. 1.278 žalbi. </w:t>
      </w:r>
    </w:p>
    <w:p w14:paraId="1FBDA4B8" w14:textId="77777777" w:rsidR="003D62F5" w:rsidRPr="003D62F5" w:rsidRDefault="003D62F5" w:rsidP="003D62F5">
      <w:pPr>
        <w:rPr>
          <w:rFonts w:cs="Arial"/>
        </w:rPr>
      </w:pPr>
      <w:r w:rsidRPr="003D62F5">
        <w:rPr>
          <w:rFonts w:cs="Arial"/>
        </w:rPr>
        <w:t>Iz prethodnog razdoblja je u rad preneseno 229 žalbi, od kojih je 14 zaključkom spojeno, pa je uz žalbe zaprimljene u 2025., u rješavanju bilo ukupno 1.502 žalbi. Od ukupnog broja, riješeno je 1.207 žalbi ili 80,3%, dok je 295 žalbi (19,6%) ostalo neriješeno te su prenesene u rad u 2026. (Tablica 4.4.), a među njima je i određeni broj onih kojima do 31. prosinca 2025. nije protekao zakonski rok za rješavanje, koji iznosi 60, odnosno 90 dana.</w:t>
      </w:r>
    </w:p>
    <w:p w14:paraId="069B3BE7" w14:textId="4964EE8D" w:rsidR="00107314" w:rsidRDefault="003D62F5" w:rsidP="003D62F5">
      <w:pPr>
        <w:rPr>
          <w:rFonts w:cs="Arial"/>
        </w:rPr>
      </w:pPr>
      <w:r w:rsidRPr="003D62F5">
        <w:rPr>
          <w:rFonts w:cs="Arial"/>
        </w:rPr>
        <w:t>U odnosu na ukupan broj žalbenih predmeta u rješavanju, na šutnju uprave se odnosilo 730 predmeta ili 48,6%, dok se 693 ili 46,1% predmeta odnosilo na rješenja kojima je u cijelosti ili djelomično odbijen ili odbačen zahtjev korisnika, 65 ili 4,3% predmeta na rješenja o prigovoru, a 14 ili 0,9% predmeta na druge akte tijela javne vlasti donesene u prvostupanjskom postupku (primjerice, obavijesti o produženju roka ili obavijesti o ustupanju zahtjeva)</w:t>
      </w:r>
      <w:r w:rsidR="00107314" w:rsidRPr="00107314">
        <w:rPr>
          <w:rFonts w:cs="Arial"/>
        </w:rPr>
        <w:t xml:space="preserve">. </w:t>
      </w:r>
    </w:p>
    <w:p w14:paraId="6C3F6550" w14:textId="6078EE67" w:rsidR="004158A8" w:rsidRPr="00F0315E" w:rsidRDefault="004158A8" w:rsidP="00107314">
      <w:pPr>
        <w:keepNext/>
        <w:widowControl w:val="0"/>
        <w:spacing w:before="240"/>
        <w:rPr>
          <w:rFonts w:cs="Arial"/>
          <w:sz w:val="18"/>
          <w:szCs w:val="18"/>
        </w:rPr>
      </w:pPr>
      <w:r w:rsidRPr="009A1FEA">
        <w:rPr>
          <w:rFonts w:cs="Arial"/>
          <w:sz w:val="18"/>
          <w:szCs w:val="18"/>
        </w:rPr>
        <w:lastRenderedPageBreak/>
        <w:t xml:space="preserve">Tablica </w:t>
      </w:r>
      <w:r w:rsidR="00302599" w:rsidRPr="009A1FEA">
        <w:rPr>
          <w:rFonts w:cs="Arial"/>
          <w:sz w:val="18"/>
          <w:szCs w:val="18"/>
        </w:rPr>
        <w:t>4</w:t>
      </w:r>
      <w:r w:rsidRPr="009A1FEA">
        <w:rPr>
          <w:rFonts w:cs="Arial"/>
          <w:sz w:val="18"/>
          <w:szCs w:val="18"/>
        </w:rPr>
        <w:t xml:space="preserve">.4. Broj izjavljenih žalbi po godinama </w:t>
      </w:r>
      <w:r w:rsidR="00C26E7C" w:rsidRPr="009A1FEA">
        <w:rPr>
          <w:rFonts w:cs="Arial"/>
          <w:sz w:val="18"/>
          <w:szCs w:val="18"/>
        </w:rPr>
        <w:t>202</w:t>
      </w:r>
      <w:r w:rsidR="009A1FEA" w:rsidRPr="009A1FEA">
        <w:rPr>
          <w:rFonts w:cs="Arial"/>
          <w:sz w:val="18"/>
          <w:szCs w:val="18"/>
        </w:rPr>
        <w:t>1</w:t>
      </w:r>
      <w:r w:rsidRPr="009A1FEA">
        <w:rPr>
          <w:rFonts w:cs="Arial"/>
          <w:sz w:val="18"/>
          <w:szCs w:val="18"/>
        </w:rPr>
        <w:t>.-202</w:t>
      </w:r>
      <w:r w:rsidR="00107314" w:rsidRPr="009A1FEA">
        <w:rPr>
          <w:rFonts w:cs="Arial"/>
          <w:sz w:val="18"/>
          <w:szCs w:val="18"/>
        </w:rPr>
        <w:t>5</w:t>
      </w:r>
      <w:r w:rsidRPr="009A1FEA">
        <w:rPr>
          <w:rFonts w:cs="Arial"/>
          <w:sz w:val="18"/>
          <w:szCs w:val="18"/>
        </w:rPr>
        <w:t>. po statusu rješavanja</w:t>
      </w:r>
    </w:p>
    <w:tbl>
      <w:tblPr>
        <w:tblW w:w="4929" w:type="pct"/>
        <w:tblBorders>
          <w:top w:val="single" w:sz="4" w:space="0" w:color="8EAADB"/>
          <w:bottom w:val="single" w:sz="4" w:space="0" w:color="8EAADB"/>
        </w:tblBorders>
        <w:tblLook w:val="04A0" w:firstRow="1" w:lastRow="0" w:firstColumn="1" w:lastColumn="0" w:noHBand="0" w:noVBand="1"/>
      </w:tblPr>
      <w:tblGrid>
        <w:gridCol w:w="1795"/>
        <w:gridCol w:w="1398"/>
        <w:gridCol w:w="1399"/>
        <w:gridCol w:w="1399"/>
        <w:gridCol w:w="1399"/>
        <w:gridCol w:w="1553"/>
      </w:tblGrid>
      <w:tr w:rsidR="004158A8" w:rsidRPr="00F0315E" w14:paraId="718362C1" w14:textId="77777777" w:rsidTr="00074F46">
        <w:trPr>
          <w:trHeight w:val="340"/>
        </w:trPr>
        <w:tc>
          <w:tcPr>
            <w:tcW w:w="1004" w:type="pct"/>
            <w:tcBorders>
              <w:top w:val="single" w:sz="8" w:space="0" w:color="4472C4" w:themeColor="accent1"/>
              <w:left w:val="nil"/>
              <w:bottom w:val="single" w:sz="8" w:space="0" w:color="4472C4" w:themeColor="accent1"/>
              <w:right w:val="nil"/>
            </w:tcBorders>
            <w:vAlign w:val="center"/>
            <w:hideMark/>
          </w:tcPr>
          <w:p w14:paraId="571E8F3E" w14:textId="77777777" w:rsidR="004158A8" w:rsidRPr="00872DF4" w:rsidRDefault="004158A8" w:rsidP="00074F46">
            <w:pPr>
              <w:widowControl w:val="0"/>
              <w:snapToGrid w:val="0"/>
              <w:spacing w:before="20" w:after="20"/>
              <w:jc w:val="center"/>
              <w:rPr>
                <w:rFonts w:eastAsia="Times New Roman" w:cs="Arial"/>
                <w:b/>
                <w:iCs/>
                <w:sz w:val="18"/>
                <w:szCs w:val="18"/>
              </w:rPr>
            </w:pPr>
            <w:r w:rsidRPr="00872DF4">
              <w:rPr>
                <w:rFonts w:eastAsia="Times New Roman" w:cs="Arial"/>
                <w:b/>
                <w:iCs/>
                <w:sz w:val="18"/>
                <w:szCs w:val="18"/>
              </w:rPr>
              <w:t>Godina</w:t>
            </w:r>
          </w:p>
        </w:tc>
        <w:tc>
          <w:tcPr>
            <w:tcW w:w="782" w:type="pct"/>
            <w:tcBorders>
              <w:top w:val="single" w:sz="8" w:space="0" w:color="4472C4" w:themeColor="accent1"/>
              <w:left w:val="nil"/>
              <w:bottom w:val="single" w:sz="8" w:space="0" w:color="4472C4" w:themeColor="accent1"/>
              <w:right w:val="nil"/>
            </w:tcBorders>
            <w:vAlign w:val="center"/>
            <w:hideMark/>
          </w:tcPr>
          <w:p w14:paraId="4A6A2DFE" w14:textId="77777777" w:rsidR="004158A8" w:rsidRPr="00872DF4" w:rsidRDefault="004158A8" w:rsidP="00074F46">
            <w:pPr>
              <w:widowControl w:val="0"/>
              <w:snapToGrid w:val="0"/>
              <w:spacing w:before="20" w:after="20"/>
              <w:jc w:val="center"/>
              <w:rPr>
                <w:rFonts w:eastAsia="Times New Roman" w:cs="Arial"/>
                <w:b/>
                <w:iCs/>
                <w:sz w:val="18"/>
                <w:szCs w:val="18"/>
              </w:rPr>
            </w:pPr>
            <w:r w:rsidRPr="00872DF4">
              <w:rPr>
                <w:rFonts w:eastAsia="Times New Roman" w:cs="Arial"/>
                <w:b/>
                <w:iCs/>
                <w:sz w:val="18"/>
                <w:szCs w:val="18"/>
              </w:rPr>
              <w:t>Zaprimljene žalbe</w:t>
            </w:r>
          </w:p>
        </w:tc>
        <w:tc>
          <w:tcPr>
            <w:tcW w:w="782" w:type="pct"/>
            <w:tcBorders>
              <w:top w:val="single" w:sz="8" w:space="0" w:color="4472C4" w:themeColor="accent1"/>
              <w:left w:val="nil"/>
              <w:bottom w:val="single" w:sz="8" w:space="0" w:color="4472C4" w:themeColor="accent1"/>
              <w:right w:val="nil"/>
            </w:tcBorders>
            <w:vAlign w:val="center"/>
            <w:hideMark/>
          </w:tcPr>
          <w:p w14:paraId="66733566" w14:textId="77777777" w:rsidR="004158A8" w:rsidRPr="00872DF4" w:rsidRDefault="004158A8" w:rsidP="00074F46">
            <w:pPr>
              <w:widowControl w:val="0"/>
              <w:snapToGrid w:val="0"/>
              <w:spacing w:before="20" w:after="20"/>
              <w:jc w:val="center"/>
              <w:rPr>
                <w:rFonts w:eastAsia="Times New Roman" w:cs="Arial"/>
                <w:b/>
                <w:iCs/>
                <w:sz w:val="18"/>
                <w:szCs w:val="18"/>
              </w:rPr>
            </w:pPr>
            <w:r w:rsidRPr="00872DF4">
              <w:rPr>
                <w:rFonts w:eastAsia="Times New Roman" w:cs="Arial"/>
                <w:b/>
                <w:iCs/>
                <w:sz w:val="18"/>
                <w:szCs w:val="18"/>
              </w:rPr>
              <w:t>Prenesene</w:t>
            </w:r>
          </w:p>
          <w:p w14:paraId="6CD478DF" w14:textId="77777777" w:rsidR="004158A8" w:rsidRPr="00872DF4" w:rsidRDefault="004158A8" w:rsidP="00074F46">
            <w:pPr>
              <w:widowControl w:val="0"/>
              <w:snapToGrid w:val="0"/>
              <w:spacing w:before="20" w:after="20"/>
              <w:jc w:val="center"/>
              <w:rPr>
                <w:rFonts w:eastAsia="Times New Roman" w:cs="Arial"/>
                <w:b/>
                <w:iCs/>
                <w:sz w:val="18"/>
                <w:szCs w:val="18"/>
              </w:rPr>
            </w:pPr>
            <w:r w:rsidRPr="00872DF4">
              <w:rPr>
                <w:rFonts w:eastAsia="Times New Roman" w:cs="Arial"/>
                <w:b/>
                <w:iCs/>
                <w:sz w:val="18"/>
                <w:szCs w:val="18"/>
              </w:rPr>
              <w:t>Žalbe</w:t>
            </w:r>
          </w:p>
        </w:tc>
        <w:tc>
          <w:tcPr>
            <w:tcW w:w="782" w:type="pct"/>
            <w:tcBorders>
              <w:top w:val="single" w:sz="8" w:space="0" w:color="4472C4" w:themeColor="accent1"/>
              <w:left w:val="nil"/>
              <w:bottom w:val="single" w:sz="8" w:space="0" w:color="4472C4" w:themeColor="accent1"/>
              <w:right w:val="nil"/>
            </w:tcBorders>
            <w:vAlign w:val="center"/>
            <w:hideMark/>
          </w:tcPr>
          <w:p w14:paraId="2E2DF5A7" w14:textId="77777777" w:rsidR="004158A8" w:rsidRPr="00872DF4" w:rsidRDefault="004158A8" w:rsidP="00074F46">
            <w:pPr>
              <w:widowControl w:val="0"/>
              <w:snapToGrid w:val="0"/>
              <w:spacing w:before="20" w:after="20"/>
              <w:jc w:val="center"/>
              <w:rPr>
                <w:rFonts w:eastAsia="Times New Roman" w:cs="Arial"/>
                <w:b/>
                <w:iCs/>
                <w:sz w:val="18"/>
                <w:szCs w:val="18"/>
              </w:rPr>
            </w:pPr>
            <w:r w:rsidRPr="00872DF4">
              <w:rPr>
                <w:rFonts w:eastAsia="Times New Roman" w:cs="Arial"/>
                <w:b/>
                <w:iCs/>
                <w:sz w:val="18"/>
                <w:szCs w:val="18"/>
              </w:rPr>
              <w:t>Ukupno u rješavanju</w:t>
            </w:r>
          </w:p>
        </w:tc>
        <w:tc>
          <w:tcPr>
            <w:tcW w:w="782" w:type="pct"/>
            <w:tcBorders>
              <w:top w:val="single" w:sz="8" w:space="0" w:color="4472C4" w:themeColor="accent1"/>
              <w:left w:val="nil"/>
              <w:bottom w:val="single" w:sz="8" w:space="0" w:color="4472C4" w:themeColor="accent1"/>
              <w:right w:val="nil"/>
            </w:tcBorders>
            <w:vAlign w:val="center"/>
            <w:hideMark/>
          </w:tcPr>
          <w:p w14:paraId="3435DE36" w14:textId="77777777" w:rsidR="004158A8" w:rsidRPr="00872DF4" w:rsidRDefault="004158A8" w:rsidP="00074F46">
            <w:pPr>
              <w:widowControl w:val="0"/>
              <w:snapToGrid w:val="0"/>
              <w:spacing w:before="20" w:after="20"/>
              <w:jc w:val="center"/>
              <w:rPr>
                <w:rFonts w:eastAsia="Times New Roman" w:cs="Arial"/>
                <w:b/>
                <w:iCs/>
                <w:sz w:val="18"/>
                <w:szCs w:val="18"/>
              </w:rPr>
            </w:pPr>
            <w:r w:rsidRPr="00872DF4">
              <w:rPr>
                <w:rFonts w:eastAsia="Times New Roman" w:cs="Arial"/>
                <w:b/>
                <w:iCs/>
                <w:sz w:val="18"/>
                <w:szCs w:val="18"/>
              </w:rPr>
              <w:t>Neriješene žalbe</w:t>
            </w:r>
          </w:p>
        </w:tc>
        <w:tc>
          <w:tcPr>
            <w:tcW w:w="868" w:type="pct"/>
            <w:tcBorders>
              <w:top w:val="single" w:sz="8" w:space="0" w:color="4472C4" w:themeColor="accent1"/>
              <w:left w:val="nil"/>
              <w:bottom w:val="single" w:sz="8" w:space="0" w:color="4472C4" w:themeColor="accent1"/>
              <w:right w:val="nil"/>
            </w:tcBorders>
            <w:vAlign w:val="center"/>
            <w:hideMark/>
          </w:tcPr>
          <w:p w14:paraId="119A8F98" w14:textId="77777777" w:rsidR="004158A8" w:rsidRPr="00872DF4" w:rsidRDefault="004158A8" w:rsidP="00074F46">
            <w:pPr>
              <w:widowControl w:val="0"/>
              <w:snapToGrid w:val="0"/>
              <w:spacing w:before="20" w:after="20"/>
              <w:jc w:val="center"/>
              <w:rPr>
                <w:rFonts w:eastAsia="Times New Roman" w:cs="Arial"/>
                <w:b/>
                <w:iCs/>
                <w:sz w:val="18"/>
                <w:szCs w:val="18"/>
              </w:rPr>
            </w:pPr>
            <w:r w:rsidRPr="00872DF4">
              <w:rPr>
                <w:rFonts w:eastAsia="Times New Roman" w:cs="Arial"/>
                <w:b/>
                <w:iCs/>
                <w:sz w:val="18"/>
                <w:szCs w:val="18"/>
              </w:rPr>
              <w:t>% neriješenih žalbi</w:t>
            </w:r>
          </w:p>
        </w:tc>
      </w:tr>
      <w:tr w:rsidR="00107314" w:rsidRPr="00F0315E" w14:paraId="7ACBF065" w14:textId="77777777" w:rsidTr="00074F46">
        <w:trPr>
          <w:trHeight w:val="340"/>
        </w:trPr>
        <w:tc>
          <w:tcPr>
            <w:tcW w:w="1004" w:type="pct"/>
            <w:tcBorders>
              <w:top w:val="single" w:sz="4" w:space="0" w:color="8EAADB"/>
              <w:left w:val="nil"/>
              <w:bottom w:val="single" w:sz="4" w:space="0" w:color="8EAADB"/>
              <w:right w:val="nil"/>
            </w:tcBorders>
            <w:shd w:val="clear" w:color="auto" w:fill="D9E2F3"/>
            <w:vAlign w:val="center"/>
          </w:tcPr>
          <w:p w14:paraId="52272153" w14:textId="62E534CA"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2021.</w:t>
            </w:r>
          </w:p>
        </w:tc>
        <w:tc>
          <w:tcPr>
            <w:tcW w:w="782" w:type="pct"/>
            <w:tcBorders>
              <w:top w:val="single" w:sz="4" w:space="0" w:color="8EAADB"/>
              <w:left w:val="nil"/>
              <w:bottom w:val="single" w:sz="4" w:space="0" w:color="8EAADB"/>
              <w:right w:val="nil"/>
            </w:tcBorders>
            <w:shd w:val="clear" w:color="auto" w:fill="D9E2F3"/>
            <w:vAlign w:val="center"/>
          </w:tcPr>
          <w:p w14:paraId="42364531" w14:textId="114DB6FE"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958</w:t>
            </w:r>
          </w:p>
        </w:tc>
        <w:tc>
          <w:tcPr>
            <w:tcW w:w="782" w:type="pct"/>
            <w:tcBorders>
              <w:top w:val="single" w:sz="4" w:space="0" w:color="8EAADB"/>
              <w:left w:val="nil"/>
              <w:bottom w:val="single" w:sz="4" w:space="0" w:color="8EAADB"/>
              <w:right w:val="nil"/>
            </w:tcBorders>
            <w:shd w:val="clear" w:color="auto" w:fill="D9E2F3"/>
            <w:vAlign w:val="center"/>
          </w:tcPr>
          <w:p w14:paraId="3709530D" w14:textId="4AB28704"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258</w:t>
            </w:r>
          </w:p>
        </w:tc>
        <w:tc>
          <w:tcPr>
            <w:tcW w:w="782" w:type="pct"/>
            <w:tcBorders>
              <w:top w:val="single" w:sz="4" w:space="0" w:color="8EAADB"/>
              <w:left w:val="nil"/>
              <w:bottom w:val="single" w:sz="4" w:space="0" w:color="8EAADB"/>
              <w:right w:val="nil"/>
            </w:tcBorders>
            <w:shd w:val="clear" w:color="auto" w:fill="D9E2F3"/>
            <w:vAlign w:val="center"/>
          </w:tcPr>
          <w:p w14:paraId="7BC3E2ED" w14:textId="38AF5DEA"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1.216</w:t>
            </w:r>
          </w:p>
        </w:tc>
        <w:tc>
          <w:tcPr>
            <w:tcW w:w="782" w:type="pct"/>
            <w:tcBorders>
              <w:top w:val="single" w:sz="4" w:space="0" w:color="8EAADB"/>
              <w:left w:val="nil"/>
              <w:bottom w:val="single" w:sz="4" w:space="0" w:color="8EAADB"/>
              <w:right w:val="nil"/>
            </w:tcBorders>
            <w:shd w:val="clear" w:color="auto" w:fill="D9E2F3"/>
            <w:vAlign w:val="center"/>
          </w:tcPr>
          <w:p w14:paraId="24E589B2" w14:textId="14D8B87C"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139</w:t>
            </w:r>
          </w:p>
        </w:tc>
        <w:tc>
          <w:tcPr>
            <w:tcW w:w="868" w:type="pct"/>
            <w:tcBorders>
              <w:top w:val="single" w:sz="4" w:space="0" w:color="8EAADB"/>
              <w:left w:val="nil"/>
              <w:bottom w:val="single" w:sz="4" w:space="0" w:color="8EAADB"/>
              <w:right w:val="nil"/>
            </w:tcBorders>
            <w:shd w:val="clear" w:color="auto" w:fill="D9E2F3"/>
            <w:vAlign w:val="center"/>
          </w:tcPr>
          <w:p w14:paraId="14E04536" w14:textId="56F47EFC"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11,4</w:t>
            </w:r>
          </w:p>
        </w:tc>
      </w:tr>
      <w:tr w:rsidR="00107314" w:rsidRPr="00F0315E" w14:paraId="7E33CBCF" w14:textId="77777777" w:rsidTr="00074F46">
        <w:trPr>
          <w:trHeight w:val="340"/>
        </w:trPr>
        <w:tc>
          <w:tcPr>
            <w:tcW w:w="1004" w:type="pct"/>
            <w:tcBorders>
              <w:top w:val="single" w:sz="4" w:space="0" w:color="8EAADB"/>
              <w:left w:val="nil"/>
              <w:bottom w:val="single" w:sz="4" w:space="0" w:color="8EAADB"/>
              <w:right w:val="nil"/>
            </w:tcBorders>
            <w:vAlign w:val="center"/>
          </w:tcPr>
          <w:p w14:paraId="7CD25357" w14:textId="0BAD5C9F"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2022.</w:t>
            </w:r>
          </w:p>
        </w:tc>
        <w:tc>
          <w:tcPr>
            <w:tcW w:w="782" w:type="pct"/>
            <w:tcBorders>
              <w:top w:val="single" w:sz="4" w:space="0" w:color="8EAADB"/>
              <w:left w:val="nil"/>
              <w:bottom w:val="single" w:sz="4" w:space="0" w:color="8EAADB"/>
              <w:right w:val="nil"/>
            </w:tcBorders>
            <w:vAlign w:val="center"/>
          </w:tcPr>
          <w:p w14:paraId="2BD42C2A" w14:textId="45670EFD"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1.185</w:t>
            </w:r>
          </w:p>
        </w:tc>
        <w:tc>
          <w:tcPr>
            <w:tcW w:w="782" w:type="pct"/>
            <w:tcBorders>
              <w:top w:val="single" w:sz="4" w:space="0" w:color="8EAADB"/>
              <w:left w:val="nil"/>
              <w:bottom w:val="single" w:sz="4" w:space="0" w:color="8EAADB"/>
              <w:right w:val="nil"/>
            </w:tcBorders>
            <w:vAlign w:val="center"/>
          </w:tcPr>
          <w:p w14:paraId="05AF0EF8" w14:textId="19ECA00B"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139</w:t>
            </w:r>
          </w:p>
        </w:tc>
        <w:tc>
          <w:tcPr>
            <w:tcW w:w="782" w:type="pct"/>
            <w:tcBorders>
              <w:top w:val="single" w:sz="4" w:space="0" w:color="8EAADB"/>
              <w:left w:val="nil"/>
              <w:bottom w:val="single" w:sz="4" w:space="0" w:color="8EAADB"/>
              <w:right w:val="nil"/>
            </w:tcBorders>
            <w:vAlign w:val="center"/>
          </w:tcPr>
          <w:p w14:paraId="27DDED0D" w14:textId="7417C419"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1.324</w:t>
            </w:r>
          </w:p>
        </w:tc>
        <w:tc>
          <w:tcPr>
            <w:tcW w:w="782" w:type="pct"/>
            <w:tcBorders>
              <w:top w:val="single" w:sz="4" w:space="0" w:color="8EAADB"/>
              <w:left w:val="nil"/>
              <w:bottom w:val="single" w:sz="4" w:space="0" w:color="8EAADB"/>
              <w:right w:val="nil"/>
            </w:tcBorders>
            <w:vAlign w:val="center"/>
          </w:tcPr>
          <w:p w14:paraId="07DBE4F7" w14:textId="443F1789"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177</w:t>
            </w:r>
          </w:p>
        </w:tc>
        <w:tc>
          <w:tcPr>
            <w:tcW w:w="868" w:type="pct"/>
            <w:tcBorders>
              <w:top w:val="single" w:sz="4" w:space="0" w:color="8EAADB"/>
              <w:left w:val="nil"/>
              <w:bottom w:val="single" w:sz="4" w:space="0" w:color="8EAADB"/>
              <w:right w:val="nil"/>
            </w:tcBorders>
            <w:vAlign w:val="center"/>
          </w:tcPr>
          <w:p w14:paraId="19EB9806" w14:textId="48DADDDC"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13,4</w:t>
            </w:r>
          </w:p>
        </w:tc>
      </w:tr>
      <w:tr w:rsidR="00107314" w:rsidRPr="00F0315E" w14:paraId="7D62F212" w14:textId="77777777" w:rsidTr="00074F46">
        <w:trPr>
          <w:trHeight w:val="340"/>
        </w:trPr>
        <w:tc>
          <w:tcPr>
            <w:tcW w:w="1004" w:type="pct"/>
            <w:tcBorders>
              <w:top w:val="single" w:sz="4" w:space="0" w:color="8EAADB"/>
              <w:left w:val="nil"/>
              <w:bottom w:val="single" w:sz="4" w:space="0" w:color="8EAADB"/>
              <w:right w:val="nil"/>
            </w:tcBorders>
            <w:shd w:val="clear" w:color="auto" w:fill="D9E2F3"/>
            <w:vAlign w:val="center"/>
          </w:tcPr>
          <w:p w14:paraId="241EB5CB" w14:textId="2FE6F767"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2023.</w:t>
            </w:r>
          </w:p>
        </w:tc>
        <w:tc>
          <w:tcPr>
            <w:tcW w:w="782" w:type="pct"/>
            <w:tcBorders>
              <w:top w:val="single" w:sz="4" w:space="0" w:color="8EAADB"/>
              <w:left w:val="nil"/>
              <w:bottom w:val="single" w:sz="4" w:space="0" w:color="8EAADB"/>
              <w:right w:val="nil"/>
            </w:tcBorders>
            <w:shd w:val="clear" w:color="auto" w:fill="D9E2F3"/>
            <w:vAlign w:val="center"/>
          </w:tcPr>
          <w:p w14:paraId="4930EE4F" w14:textId="0D89CCDF"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1.179</w:t>
            </w:r>
          </w:p>
        </w:tc>
        <w:tc>
          <w:tcPr>
            <w:tcW w:w="782" w:type="pct"/>
            <w:tcBorders>
              <w:top w:val="single" w:sz="4" w:space="0" w:color="8EAADB"/>
              <w:left w:val="nil"/>
              <w:bottom w:val="single" w:sz="4" w:space="0" w:color="8EAADB"/>
              <w:right w:val="nil"/>
            </w:tcBorders>
            <w:shd w:val="clear" w:color="auto" w:fill="D9E2F3"/>
            <w:vAlign w:val="center"/>
          </w:tcPr>
          <w:p w14:paraId="75332410" w14:textId="7EC259A0"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177</w:t>
            </w:r>
          </w:p>
        </w:tc>
        <w:tc>
          <w:tcPr>
            <w:tcW w:w="782" w:type="pct"/>
            <w:tcBorders>
              <w:top w:val="single" w:sz="4" w:space="0" w:color="8EAADB"/>
              <w:left w:val="nil"/>
              <w:bottom w:val="single" w:sz="4" w:space="0" w:color="8EAADB"/>
              <w:right w:val="nil"/>
            </w:tcBorders>
            <w:shd w:val="clear" w:color="auto" w:fill="D9E2F3"/>
            <w:vAlign w:val="center"/>
          </w:tcPr>
          <w:p w14:paraId="45FB7213" w14:textId="57D34C7F"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1.342</w:t>
            </w:r>
          </w:p>
        </w:tc>
        <w:tc>
          <w:tcPr>
            <w:tcW w:w="782" w:type="pct"/>
            <w:tcBorders>
              <w:top w:val="single" w:sz="4" w:space="0" w:color="8EAADB"/>
              <w:left w:val="nil"/>
              <w:bottom w:val="single" w:sz="4" w:space="0" w:color="8EAADB"/>
              <w:right w:val="nil"/>
            </w:tcBorders>
            <w:shd w:val="clear" w:color="auto" w:fill="D9E2F3"/>
            <w:vAlign w:val="center"/>
          </w:tcPr>
          <w:p w14:paraId="5A540AE8" w14:textId="3DC3F79F"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340</w:t>
            </w:r>
          </w:p>
        </w:tc>
        <w:tc>
          <w:tcPr>
            <w:tcW w:w="868" w:type="pct"/>
            <w:tcBorders>
              <w:top w:val="single" w:sz="4" w:space="0" w:color="8EAADB"/>
              <w:left w:val="nil"/>
              <w:bottom w:val="single" w:sz="4" w:space="0" w:color="8EAADB"/>
              <w:right w:val="nil"/>
            </w:tcBorders>
            <w:shd w:val="clear" w:color="auto" w:fill="D9E2F3"/>
            <w:vAlign w:val="center"/>
          </w:tcPr>
          <w:p w14:paraId="65335579" w14:textId="75CF65BF"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25,3</w:t>
            </w:r>
          </w:p>
        </w:tc>
      </w:tr>
      <w:tr w:rsidR="00107314" w:rsidRPr="00F0315E" w14:paraId="0D5F9A1E" w14:textId="77777777" w:rsidTr="00074F46">
        <w:trPr>
          <w:trHeight w:val="340"/>
        </w:trPr>
        <w:tc>
          <w:tcPr>
            <w:tcW w:w="1004" w:type="pct"/>
            <w:tcBorders>
              <w:top w:val="single" w:sz="4" w:space="0" w:color="8EAADB"/>
              <w:left w:val="nil"/>
              <w:bottom w:val="single" w:sz="4" w:space="0" w:color="8EAADB"/>
              <w:right w:val="nil"/>
            </w:tcBorders>
            <w:vAlign w:val="center"/>
          </w:tcPr>
          <w:p w14:paraId="57EDAB0D" w14:textId="0DE3CC50"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2024.</w:t>
            </w:r>
          </w:p>
        </w:tc>
        <w:tc>
          <w:tcPr>
            <w:tcW w:w="782" w:type="pct"/>
            <w:tcBorders>
              <w:top w:val="single" w:sz="4" w:space="0" w:color="8EAADB"/>
              <w:left w:val="nil"/>
              <w:bottom w:val="single" w:sz="4" w:space="0" w:color="8EAADB"/>
              <w:right w:val="nil"/>
            </w:tcBorders>
            <w:vAlign w:val="center"/>
          </w:tcPr>
          <w:p w14:paraId="53C7FE25" w14:textId="62D9EDD3"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987</w:t>
            </w:r>
          </w:p>
        </w:tc>
        <w:tc>
          <w:tcPr>
            <w:tcW w:w="782" w:type="pct"/>
            <w:tcBorders>
              <w:top w:val="single" w:sz="4" w:space="0" w:color="8EAADB"/>
              <w:left w:val="nil"/>
              <w:bottom w:val="single" w:sz="4" w:space="0" w:color="8EAADB"/>
              <w:right w:val="nil"/>
            </w:tcBorders>
            <w:vAlign w:val="center"/>
          </w:tcPr>
          <w:p w14:paraId="3A6DA4EA" w14:textId="5B397A8F"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340</w:t>
            </w:r>
          </w:p>
        </w:tc>
        <w:tc>
          <w:tcPr>
            <w:tcW w:w="782" w:type="pct"/>
            <w:tcBorders>
              <w:top w:val="single" w:sz="4" w:space="0" w:color="8EAADB"/>
              <w:left w:val="nil"/>
              <w:bottom w:val="single" w:sz="4" w:space="0" w:color="8EAADB"/>
              <w:right w:val="nil"/>
            </w:tcBorders>
            <w:vAlign w:val="center"/>
          </w:tcPr>
          <w:p w14:paraId="1B5C65D3" w14:textId="5AFE7CAB"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1.258</w:t>
            </w:r>
          </w:p>
        </w:tc>
        <w:tc>
          <w:tcPr>
            <w:tcW w:w="782" w:type="pct"/>
            <w:tcBorders>
              <w:top w:val="single" w:sz="4" w:space="0" w:color="8EAADB"/>
              <w:left w:val="nil"/>
              <w:bottom w:val="single" w:sz="4" w:space="0" w:color="8EAADB"/>
              <w:right w:val="nil"/>
            </w:tcBorders>
            <w:vAlign w:val="center"/>
          </w:tcPr>
          <w:p w14:paraId="42BB07B3" w14:textId="5AED1531"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229</w:t>
            </w:r>
          </w:p>
        </w:tc>
        <w:tc>
          <w:tcPr>
            <w:tcW w:w="868" w:type="pct"/>
            <w:tcBorders>
              <w:top w:val="single" w:sz="4" w:space="0" w:color="8EAADB"/>
              <w:left w:val="nil"/>
              <w:bottom w:val="single" w:sz="4" w:space="0" w:color="8EAADB"/>
              <w:right w:val="nil"/>
            </w:tcBorders>
            <w:vAlign w:val="center"/>
          </w:tcPr>
          <w:p w14:paraId="1C2332C6" w14:textId="1FBC3D2C" w:rsidR="00107314" w:rsidRPr="00872DF4" w:rsidRDefault="00107314" w:rsidP="00074F46">
            <w:pPr>
              <w:widowControl w:val="0"/>
              <w:snapToGrid w:val="0"/>
              <w:spacing w:before="20" w:after="20" w:line="240" w:lineRule="auto"/>
              <w:jc w:val="center"/>
              <w:rPr>
                <w:rFonts w:eastAsia="Times New Roman" w:cs="Arial"/>
                <w:sz w:val="18"/>
                <w:szCs w:val="18"/>
              </w:rPr>
            </w:pPr>
            <w:r w:rsidRPr="007E6804">
              <w:rPr>
                <w:rFonts w:eastAsia="Times New Roman" w:cs="Arial"/>
                <w:sz w:val="18"/>
                <w:szCs w:val="18"/>
              </w:rPr>
              <w:t>18,2</w:t>
            </w:r>
          </w:p>
        </w:tc>
      </w:tr>
      <w:tr w:rsidR="00107314" w:rsidRPr="009A1FEA" w14:paraId="05456AC0" w14:textId="77777777" w:rsidTr="009A1FEA">
        <w:trPr>
          <w:trHeight w:val="340"/>
        </w:trPr>
        <w:tc>
          <w:tcPr>
            <w:tcW w:w="1004" w:type="pct"/>
            <w:tcBorders>
              <w:top w:val="single" w:sz="4" w:space="0" w:color="8EAADB"/>
              <w:left w:val="nil"/>
              <w:bottom w:val="single" w:sz="4" w:space="0" w:color="8EAADB"/>
              <w:right w:val="nil"/>
            </w:tcBorders>
            <w:shd w:val="clear" w:color="auto" w:fill="D9E2F3" w:themeFill="accent1" w:themeFillTint="33"/>
            <w:vAlign w:val="center"/>
          </w:tcPr>
          <w:p w14:paraId="564BDB4F" w14:textId="7721C3FE"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2025.</w:t>
            </w:r>
          </w:p>
        </w:tc>
        <w:tc>
          <w:tcPr>
            <w:tcW w:w="782" w:type="pct"/>
            <w:tcBorders>
              <w:top w:val="single" w:sz="4" w:space="0" w:color="8EAADB"/>
              <w:left w:val="nil"/>
              <w:bottom w:val="single" w:sz="4" w:space="0" w:color="8EAADB"/>
              <w:right w:val="nil"/>
            </w:tcBorders>
            <w:shd w:val="clear" w:color="auto" w:fill="D9E2F3" w:themeFill="accent1" w:themeFillTint="33"/>
            <w:vAlign w:val="center"/>
          </w:tcPr>
          <w:p w14:paraId="372951F9" w14:textId="5D859A7B"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1.320</w:t>
            </w:r>
          </w:p>
        </w:tc>
        <w:tc>
          <w:tcPr>
            <w:tcW w:w="782" w:type="pct"/>
            <w:tcBorders>
              <w:top w:val="single" w:sz="4" w:space="0" w:color="8EAADB"/>
              <w:left w:val="nil"/>
              <w:bottom w:val="single" w:sz="4" w:space="0" w:color="8EAADB"/>
              <w:right w:val="nil"/>
            </w:tcBorders>
            <w:shd w:val="clear" w:color="auto" w:fill="D9E2F3" w:themeFill="accent1" w:themeFillTint="33"/>
            <w:vAlign w:val="center"/>
          </w:tcPr>
          <w:p w14:paraId="473A82FE" w14:textId="471FA029"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229</w:t>
            </w:r>
          </w:p>
        </w:tc>
        <w:tc>
          <w:tcPr>
            <w:tcW w:w="782" w:type="pct"/>
            <w:tcBorders>
              <w:top w:val="single" w:sz="4" w:space="0" w:color="8EAADB"/>
              <w:left w:val="nil"/>
              <w:bottom w:val="single" w:sz="4" w:space="0" w:color="8EAADB"/>
              <w:right w:val="nil"/>
            </w:tcBorders>
            <w:shd w:val="clear" w:color="auto" w:fill="D9E2F3" w:themeFill="accent1" w:themeFillTint="33"/>
            <w:vAlign w:val="center"/>
          </w:tcPr>
          <w:p w14:paraId="2AC01355" w14:textId="7001A08F"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1.502</w:t>
            </w:r>
          </w:p>
        </w:tc>
        <w:tc>
          <w:tcPr>
            <w:tcW w:w="782" w:type="pct"/>
            <w:tcBorders>
              <w:top w:val="single" w:sz="4" w:space="0" w:color="8EAADB"/>
              <w:left w:val="nil"/>
              <w:bottom w:val="single" w:sz="4" w:space="0" w:color="8EAADB"/>
              <w:right w:val="nil"/>
            </w:tcBorders>
            <w:shd w:val="clear" w:color="auto" w:fill="D9E2F3" w:themeFill="accent1" w:themeFillTint="33"/>
            <w:vAlign w:val="center"/>
          </w:tcPr>
          <w:p w14:paraId="25B25B2E" w14:textId="5452CD3E"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295</w:t>
            </w:r>
          </w:p>
        </w:tc>
        <w:tc>
          <w:tcPr>
            <w:tcW w:w="868" w:type="pct"/>
            <w:tcBorders>
              <w:top w:val="single" w:sz="4" w:space="0" w:color="8EAADB"/>
              <w:left w:val="nil"/>
              <w:bottom w:val="single" w:sz="4" w:space="0" w:color="8EAADB"/>
              <w:right w:val="nil"/>
            </w:tcBorders>
            <w:shd w:val="clear" w:color="auto" w:fill="D9E2F3" w:themeFill="accent1" w:themeFillTint="33"/>
            <w:vAlign w:val="center"/>
          </w:tcPr>
          <w:p w14:paraId="4660A922" w14:textId="13838DB7" w:rsidR="00107314" w:rsidRPr="00872DF4" w:rsidRDefault="00107314" w:rsidP="00074F46">
            <w:pPr>
              <w:widowControl w:val="0"/>
              <w:snapToGrid w:val="0"/>
              <w:spacing w:before="20" w:after="20" w:line="240" w:lineRule="auto"/>
              <w:jc w:val="center"/>
              <w:rPr>
                <w:rFonts w:eastAsia="Times New Roman" w:cs="Arial"/>
                <w:sz w:val="18"/>
                <w:szCs w:val="18"/>
              </w:rPr>
            </w:pPr>
            <w:r>
              <w:rPr>
                <w:rFonts w:eastAsia="Times New Roman" w:cs="Arial"/>
                <w:sz w:val="18"/>
                <w:szCs w:val="18"/>
              </w:rPr>
              <w:t>19,6</w:t>
            </w:r>
          </w:p>
        </w:tc>
      </w:tr>
    </w:tbl>
    <w:p w14:paraId="27A82F9D" w14:textId="77777777" w:rsidR="004158A8" w:rsidRPr="00F0315E" w:rsidRDefault="004158A8" w:rsidP="00872DF4">
      <w:pPr>
        <w:widowControl w:val="0"/>
        <w:shd w:val="clear" w:color="auto" w:fill="FFFFFF"/>
        <w:spacing w:before="120" w:after="240"/>
        <w:rPr>
          <w:rFonts w:eastAsia="Times New Roman" w:cs="Arial"/>
          <w:i/>
          <w:sz w:val="20"/>
          <w:szCs w:val="20"/>
        </w:rPr>
      </w:pPr>
      <w:r w:rsidRPr="00F0315E">
        <w:rPr>
          <w:rFonts w:eastAsia="Times New Roman" w:cs="Arial"/>
          <w:i/>
          <w:sz w:val="20"/>
          <w:szCs w:val="20"/>
        </w:rPr>
        <w:t>Napomena: Žalbe se odnose na postupke po zahtjevima za pristup i ponovnu uporabu informacija</w:t>
      </w:r>
    </w:p>
    <w:p w14:paraId="16CC81B8" w14:textId="77777777" w:rsidR="00895BE7" w:rsidRPr="00895BE7" w:rsidRDefault="00895BE7" w:rsidP="00895BE7">
      <w:pPr>
        <w:rPr>
          <w:rFonts w:cs="Arial"/>
        </w:rPr>
      </w:pPr>
      <w:r w:rsidRPr="00895BE7">
        <w:rPr>
          <w:rFonts w:cs="Arial"/>
        </w:rPr>
        <w:t xml:space="preserve">Vezano za vrstu zahtjeva, Povjerenik je tijekom 2025. riješio 1.203 ili 80,1% žalbi koje su se odnosile na pristup informacijama i 4 ili 0,3% žalbi koje su se odnosile na ponovnu uporabu informacija. </w:t>
      </w:r>
    </w:p>
    <w:p w14:paraId="3E992F9C" w14:textId="77777777" w:rsidR="00895BE7" w:rsidRPr="00895BE7" w:rsidRDefault="00895BE7" w:rsidP="00895BE7">
      <w:pPr>
        <w:rPr>
          <w:rFonts w:cs="Arial"/>
        </w:rPr>
      </w:pPr>
      <w:r w:rsidRPr="00895BE7">
        <w:rPr>
          <w:rFonts w:cs="Arial"/>
        </w:rPr>
        <w:t xml:space="preserve">Iz ovog izvještajnog razdoblja jedna je žalba koja se odnosi na rješavanje zahtjeva o dostupnosti arhivskog gradiva prenesena u rješavanje u 2026. </w:t>
      </w:r>
    </w:p>
    <w:p w14:paraId="62B7EFF7" w14:textId="36E9A4BD" w:rsidR="004158A8" w:rsidRPr="00F0315E" w:rsidRDefault="00895BE7" w:rsidP="00895BE7">
      <w:pPr>
        <w:rPr>
          <w:rFonts w:cs="Arial"/>
        </w:rPr>
      </w:pPr>
      <w:r w:rsidRPr="00895BE7">
        <w:rPr>
          <w:rFonts w:cs="Arial"/>
        </w:rPr>
        <w:t>U nastavku se razmatraju odluke po žalbama u svezi zahtjeva za pristup i ponovnu uporabu informacija.</w:t>
      </w:r>
    </w:p>
    <w:p w14:paraId="457DB24B" w14:textId="778806C8" w:rsidR="004158A8" w:rsidRPr="00F0315E" w:rsidRDefault="004158A8" w:rsidP="009032D7">
      <w:pPr>
        <w:pStyle w:val="Naslov3"/>
        <w:ind w:left="1985"/>
      </w:pPr>
      <w:bookmarkStart w:id="55" w:name="_Toc66103128"/>
      <w:bookmarkStart w:id="56" w:name="_Toc99537982"/>
      <w:bookmarkStart w:id="57" w:name="_Toc225865571"/>
      <w:r>
        <w:t>Odluke o žalbama prema ishodu postupka</w:t>
      </w:r>
      <w:bookmarkEnd w:id="55"/>
      <w:bookmarkEnd w:id="56"/>
      <w:r>
        <w:t xml:space="preserve"> koji se odnose na zahtjeve za pristup informacijama</w:t>
      </w:r>
      <w:bookmarkEnd w:id="57"/>
    </w:p>
    <w:p w14:paraId="4CC053E7" w14:textId="04275C50" w:rsidR="005C4C06" w:rsidRPr="005C4C06" w:rsidRDefault="00107314" w:rsidP="005C4C06">
      <w:pPr>
        <w:rPr>
          <w:rFonts w:cs="Arial"/>
        </w:rPr>
      </w:pPr>
      <w:r w:rsidRPr="00107314">
        <w:rPr>
          <w:rFonts w:cs="Arial"/>
        </w:rPr>
        <w:t>U</w:t>
      </w:r>
      <w:r w:rsidR="005C4C06" w:rsidRPr="005C4C06">
        <w:rPr>
          <w:rFonts w:cs="Arial"/>
        </w:rPr>
        <w:t xml:space="preserve"> odnosu na žalbe koje su se odnosile na zahtjeve za pristup informacijama, tijekom 2025. je  u radu bilo 1.496 predmeta, od kojih je riješeno 1.203 (podaci o ponovnoj uporabi su prikazani u dijelu izvješća iza analize podataka o zahtjevima za pristup informacijama). </w:t>
      </w:r>
    </w:p>
    <w:p w14:paraId="095F9ED6" w14:textId="4B528B63" w:rsidR="005C4C06" w:rsidRPr="00110EA3" w:rsidRDefault="005C4C06" w:rsidP="005F0EC0">
      <w:pPr>
        <w:pStyle w:val="Odlomakpopisa"/>
        <w:numPr>
          <w:ilvl w:val="0"/>
          <w:numId w:val="12"/>
        </w:numPr>
        <w:rPr>
          <w:rFonts w:ascii="Roboto" w:hAnsi="Roboto" w:cs="Arial"/>
        </w:rPr>
      </w:pPr>
      <w:r w:rsidRPr="00110EA3">
        <w:rPr>
          <w:rFonts w:ascii="Roboto" w:hAnsi="Roboto" w:cs="Arial"/>
        </w:rPr>
        <w:t>Od ukupno 614 riješenih predmeta povodom šutnje uprave u predmetima po zahtjevima za pristup informacijama, Povjerenik je:</w:t>
      </w:r>
    </w:p>
    <w:p w14:paraId="345D2A05" w14:textId="77777777" w:rsidR="005C4C06" w:rsidRPr="00DA5857" w:rsidRDefault="005C4C06" w:rsidP="005F0EC0">
      <w:pPr>
        <w:pStyle w:val="Odlomakpopisa"/>
        <w:numPr>
          <w:ilvl w:val="0"/>
          <w:numId w:val="13"/>
        </w:numPr>
        <w:ind w:left="1134"/>
        <w:rPr>
          <w:rFonts w:ascii="Roboto" w:hAnsi="Roboto" w:cs="Arial"/>
        </w:rPr>
      </w:pPr>
      <w:r w:rsidRPr="00DA5857">
        <w:rPr>
          <w:rFonts w:ascii="Roboto" w:hAnsi="Roboto" w:cs="Arial"/>
        </w:rPr>
        <w:t>u 241 (39,3%) slučaju obustavio postupak, ako je žalitelj odustao od žalbe ili je tijelo nakon izjavljene žalbe postupilo po zahtjevu žalitelja, dostavljajući tražene informacije, odnosno donoseći rješenje kojim se zahtjev odbija, a povodom kojega se mogla izjaviti žalba</w:t>
      </w:r>
    </w:p>
    <w:p w14:paraId="7521D715" w14:textId="77777777" w:rsidR="005C4C06" w:rsidRPr="00DA5857" w:rsidRDefault="005C4C06" w:rsidP="005F0EC0">
      <w:pPr>
        <w:pStyle w:val="Odlomakpopisa"/>
        <w:numPr>
          <w:ilvl w:val="0"/>
          <w:numId w:val="13"/>
        </w:numPr>
        <w:ind w:left="1134"/>
        <w:rPr>
          <w:rFonts w:ascii="Roboto" w:hAnsi="Roboto" w:cs="Arial"/>
        </w:rPr>
      </w:pPr>
      <w:r w:rsidRPr="00DA5857">
        <w:rPr>
          <w:rFonts w:ascii="Roboto" w:hAnsi="Roboto" w:cs="Arial"/>
        </w:rPr>
        <w:t xml:space="preserve">u 157 (25,6%) slučajeva naložio tijelima da u određenom roku riješe zahtjev, odnosno da donesu rješenje jer razlozi za nepostupanje po zahtjevu nisu bili opravdani </w:t>
      </w:r>
    </w:p>
    <w:p w14:paraId="2E453598" w14:textId="77777777" w:rsidR="005C4C06" w:rsidRPr="00DA5857" w:rsidRDefault="005C4C06" w:rsidP="005F0EC0">
      <w:pPr>
        <w:pStyle w:val="Odlomakpopisa"/>
        <w:numPr>
          <w:ilvl w:val="0"/>
          <w:numId w:val="13"/>
        </w:numPr>
        <w:ind w:left="1134"/>
        <w:rPr>
          <w:rFonts w:ascii="Roboto" w:hAnsi="Roboto" w:cs="Arial"/>
        </w:rPr>
      </w:pPr>
      <w:r w:rsidRPr="00DA5857">
        <w:rPr>
          <w:rFonts w:ascii="Roboto" w:hAnsi="Roboto" w:cs="Arial"/>
        </w:rPr>
        <w:t>u 154 (25,1%) slučaja žalbu odbacio kao nepravodobnu ili nedopuštenu, u pravilu jer je žalitelju osigurana zaštita putem drugog propisa, sukladno članku 1. stavku 3. ZPPI-ja (stranka je u postupku) ili žalitelji nisu ispravili nedostatke u žalbi</w:t>
      </w:r>
    </w:p>
    <w:p w14:paraId="0CE773A2" w14:textId="0DFEE379" w:rsidR="008848DB" w:rsidRPr="0052400E" w:rsidRDefault="005C4C06" w:rsidP="005F0EC0">
      <w:pPr>
        <w:pStyle w:val="Odlomakpopisa"/>
        <w:numPr>
          <w:ilvl w:val="0"/>
          <w:numId w:val="13"/>
        </w:numPr>
        <w:ind w:left="1134"/>
        <w:rPr>
          <w:rFonts w:cs="Arial"/>
        </w:rPr>
      </w:pPr>
      <w:r w:rsidRPr="00DA5857">
        <w:rPr>
          <w:rFonts w:ascii="Roboto" w:hAnsi="Roboto" w:cs="Arial"/>
        </w:rPr>
        <w:t>u 62 (10,1%) slučaja odbio žalbu kao neosnovanu</w:t>
      </w:r>
      <w:r w:rsidR="005478D6">
        <w:rPr>
          <w:rFonts w:ascii="Roboto" w:hAnsi="Roboto" w:cs="Arial"/>
        </w:rPr>
        <w:t>.</w:t>
      </w:r>
    </w:p>
    <w:p w14:paraId="3DC8B86D" w14:textId="77777777" w:rsidR="0052400E" w:rsidRPr="00110EA3" w:rsidRDefault="0052400E" w:rsidP="0052400E">
      <w:pPr>
        <w:pStyle w:val="Odlomakpopisa"/>
        <w:ind w:left="1134"/>
        <w:rPr>
          <w:rFonts w:cs="Arial"/>
        </w:rPr>
      </w:pPr>
    </w:p>
    <w:p w14:paraId="0E09C9CC" w14:textId="77777777" w:rsidR="00E16356" w:rsidRPr="00E16356" w:rsidRDefault="00E16356" w:rsidP="00E16356">
      <w:pPr>
        <w:pBdr>
          <w:top w:val="single" w:sz="4" w:space="1" w:color="auto"/>
          <w:left w:val="single" w:sz="4" w:space="4" w:color="auto"/>
          <w:bottom w:val="single" w:sz="4" w:space="1" w:color="auto"/>
          <w:right w:val="single" w:sz="4" w:space="4" w:color="auto"/>
        </w:pBdr>
        <w:spacing w:before="240" w:after="240"/>
        <w:rPr>
          <w:rFonts w:cs="Arial"/>
        </w:rPr>
      </w:pPr>
      <w:r w:rsidRPr="00E16356">
        <w:rPr>
          <w:rFonts w:cs="Arial"/>
        </w:rPr>
        <w:lastRenderedPageBreak/>
        <w:t xml:space="preserve">Iz navedenih podataka proizlazi da je u 39,3% predmeta koji su se vodili po žalbama izjavljenima zbog šutnje uprave, izjavljivanje žalbe Povjereniku bilo poticaj tijelima da odluče o zahtjevu te nije bilo potrebe za daljnjim provođenjem drugostupanjskog postupka, što je smanjenje u odnosu na 2024. (54,3% donesenih rješenja o obustavi postupka). </w:t>
      </w:r>
    </w:p>
    <w:p w14:paraId="288F4198" w14:textId="77777777" w:rsidR="00E16356" w:rsidRPr="00E16356" w:rsidRDefault="00E16356" w:rsidP="00E16356">
      <w:pPr>
        <w:pBdr>
          <w:top w:val="single" w:sz="4" w:space="1" w:color="auto"/>
          <w:left w:val="single" w:sz="4" w:space="4" w:color="auto"/>
          <w:bottom w:val="single" w:sz="4" w:space="1" w:color="auto"/>
          <w:right w:val="single" w:sz="4" w:space="4" w:color="auto"/>
        </w:pBdr>
        <w:spacing w:before="240" w:after="240"/>
        <w:rPr>
          <w:rFonts w:cs="Arial"/>
        </w:rPr>
      </w:pPr>
      <w:r w:rsidRPr="00E16356">
        <w:rPr>
          <w:rFonts w:cs="Arial"/>
        </w:rPr>
        <w:t>Broj slučajeva u kojima je Povjerenik tijelima javne vlasti naložio rješavanje zahtjeva, ostao je na istoj razini (25,6%) kao u prethodnom izvještajnom razdoblju (25,1%).</w:t>
      </w:r>
    </w:p>
    <w:p w14:paraId="2466920A" w14:textId="1AD43DB0" w:rsidR="008848DB" w:rsidRPr="00D8170B" w:rsidRDefault="00E16356" w:rsidP="00E16356">
      <w:pPr>
        <w:pBdr>
          <w:top w:val="single" w:sz="4" w:space="1" w:color="auto"/>
          <w:left w:val="single" w:sz="4" w:space="4" w:color="auto"/>
          <w:bottom w:val="single" w:sz="4" w:space="1" w:color="auto"/>
          <w:right w:val="single" w:sz="4" w:space="4" w:color="auto"/>
        </w:pBdr>
        <w:spacing w:before="240" w:after="240"/>
        <w:rPr>
          <w:rFonts w:cs="Arial"/>
        </w:rPr>
      </w:pPr>
      <w:r w:rsidRPr="00E16356">
        <w:rPr>
          <w:rFonts w:cs="Arial"/>
        </w:rPr>
        <w:t>Iz broja slučajeva u kojima se žalbe odbacuju (25,1%) može se zaključiti kako podnositeljima žalbi nisu poznate odredbe ZUP-a o računanju rokova i urednosti žalbi, ali ukazuje i na nevoljkost podnositelja na ispravak neurednih i nepotpunih žalbi.</w:t>
      </w:r>
    </w:p>
    <w:p w14:paraId="14F1AABC" w14:textId="77777777" w:rsidR="008848DB" w:rsidRPr="00D8170B" w:rsidRDefault="008848DB" w:rsidP="005F0EC0">
      <w:pPr>
        <w:widowControl w:val="0"/>
        <w:numPr>
          <w:ilvl w:val="0"/>
          <w:numId w:val="3"/>
        </w:numPr>
        <w:spacing w:before="240" w:line="264" w:lineRule="auto"/>
        <w:ind w:left="714" w:hanging="357"/>
        <w:rPr>
          <w:rFonts w:eastAsia="Times New Roman" w:cs="Times New Roman"/>
        </w:rPr>
      </w:pPr>
      <w:r w:rsidRPr="00D8170B">
        <w:rPr>
          <w:rFonts w:eastAsia="Times New Roman" w:cs="Times New Roman"/>
        </w:rPr>
        <w:t xml:space="preserve">Od riješenih 525 žalbi na odbijajuća i odbacujuća prvostupanjska rješenja u predmetima ostvarivanja prava na pristup informacijama, Povjerenik je u najvećem broju slučajeva postupio kako slijedi: </w:t>
      </w:r>
    </w:p>
    <w:p w14:paraId="162FB5B5" w14:textId="77777777" w:rsidR="008848DB" w:rsidRPr="00D8170B" w:rsidRDefault="008848DB" w:rsidP="005F0EC0">
      <w:pPr>
        <w:numPr>
          <w:ilvl w:val="0"/>
          <w:numId w:val="2"/>
        </w:numPr>
        <w:spacing w:after="0" w:line="264" w:lineRule="auto"/>
        <w:ind w:left="993" w:hanging="357"/>
        <w:contextualSpacing/>
        <w:rPr>
          <w:rFonts w:cs="Arial"/>
        </w:rPr>
      </w:pPr>
      <w:r w:rsidRPr="00D8170B">
        <w:rPr>
          <w:rFonts w:cs="Arial"/>
        </w:rPr>
        <w:t>293 (55,8%) žalbe je odbio kao neosnovane, jer je utvrđeno da je postupak koji je prethodio rješenju pravilno proveden i da je rješenje pravilno i osnovano na zakonu</w:t>
      </w:r>
    </w:p>
    <w:p w14:paraId="3F5A9834" w14:textId="77777777" w:rsidR="008848DB" w:rsidRPr="00D8170B" w:rsidRDefault="008848DB" w:rsidP="005F0EC0">
      <w:pPr>
        <w:numPr>
          <w:ilvl w:val="0"/>
          <w:numId w:val="2"/>
        </w:numPr>
        <w:spacing w:after="0" w:line="264" w:lineRule="auto"/>
        <w:ind w:left="993" w:hanging="357"/>
        <w:contextualSpacing/>
        <w:rPr>
          <w:rFonts w:cs="Arial"/>
        </w:rPr>
      </w:pPr>
      <w:r w:rsidRPr="00D8170B">
        <w:rPr>
          <w:rFonts w:cs="Arial"/>
        </w:rPr>
        <w:t>90 (17,1%) rješenja je poništio i dostavio predmet na ponovno rješavanje tijelu (kad je s obzirom na prirodu upravne stvari bilo nužno neposredno rješavanje prvostupanjskog tijela)</w:t>
      </w:r>
    </w:p>
    <w:p w14:paraId="118DC641" w14:textId="77777777" w:rsidR="008848DB" w:rsidRPr="00D8170B" w:rsidRDefault="008848DB" w:rsidP="005F0EC0">
      <w:pPr>
        <w:numPr>
          <w:ilvl w:val="0"/>
          <w:numId w:val="2"/>
        </w:numPr>
        <w:spacing w:after="0" w:line="264" w:lineRule="auto"/>
        <w:ind w:left="993" w:hanging="357"/>
        <w:contextualSpacing/>
        <w:rPr>
          <w:rFonts w:cs="Arial"/>
        </w:rPr>
      </w:pPr>
      <w:r w:rsidRPr="00D8170B">
        <w:rPr>
          <w:rFonts w:cs="Arial"/>
        </w:rPr>
        <w:t>85 (16,2%) rješenja je poništio i naložio tijelu da korisniku (djelomično) omogući pristup informaciji, kada je utvrđeno da je žalba osnovana</w:t>
      </w:r>
    </w:p>
    <w:p w14:paraId="06FB6A68" w14:textId="77777777" w:rsidR="008848DB" w:rsidRPr="00D8170B" w:rsidRDefault="008848DB" w:rsidP="005F0EC0">
      <w:pPr>
        <w:numPr>
          <w:ilvl w:val="0"/>
          <w:numId w:val="2"/>
        </w:numPr>
        <w:spacing w:after="0" w:line="264" w:lineRule="auto"/>
        <w:ind w:left="993" w:hanging="357"/>
        <w:contextualSpacing/>
        <w:rPr>
          <w:rFonts w:cs="Arial"/>
        </w:rPr>
      </w:pPr>
      <w:r w:rsidRPr="00D8170B">
        <w:rPr>
          <w:rFonts w:cs="Arial"/>
        </w:rPr>
        <w:t>u 18 (3,4%) slučajeva žalbe je odbacio kao nepravovremene, odnosno izjavljene izvan zakonskog roka ili neuredne</w:t>
      </w:r>
    </w:p>
    <w:p w14:paraId="762DD37F" w14:textId="77777777" w:rsidR="008848DB" w:rsidRPr="00D8170B" w:rsidRDefault="008848DB" w:rsidP="005F0EC0">
      <w:pPr>
        <w:numPr>
          <w:ilvl w:val="0"/>
          <w:numId w:val="2"/>
        </w:numPr>
        <w:spacing w:after="0" w:line="264" w:lineRule="auto"/>
        <w:ind w:left="993" w:hanging="357"/>
        <w:contextualSpacing/>
        <w:rPr>
          <w:rFonts w:cs="Arial"/>
        </w:rPr>
      </w:pPr>
      <w:r w:rsidRPr="00D8170B">
        <w:rPr>
          <w:rFonts w:cs="Arial"/>
        </w:rPr>
        <w:t>u 14 (2,7%) slučajeva je poništio rješenja tijela te rješenjem odlučio o zahtjevu</w:t>
      </w:r>
    </w:p>
    <w:p w14:paraId="5717A66C" w14:textId="77777777" w:rsidR="008848DB" w:rsidRPr="00D8170B" w:rsidRDefault="008848DB" w:rsidP="005F0EC0">
      <w:pPr>
        <w:numPr>
          <w:ilvl w:val="0"/>
          <w:numId w:val="2"/>
        </w:numPr>
        <w:spacing w:after="0" w:line="264" w:lineRule="auto"/>
        <w:ind w:left="993" w:hanging="357"/>
        <w:contextualSpacing/>
        <w:rPr>
          <w:rFonts w:cs="Arial"/>
        </w:rPr>
      </w:pPr>
      <w:r w:rsidRPr="00D8170B">
        <w:rPr>
          <w:rFonts w:cs="Arial"/>
        </w:rPr>
        <w:t>u 9 (1,7%) slučajeva rješenje proglasio ništavim</w:t>
      </w:r>
    </w:p>
    <w:p w14:paraId="41585DAB" w14:textId="77777777" w:rsidR="008848DB" w:rsidRPr="00D8170B" w:rsidRDefault="008848DB" w:rsidP="005F0EC0">
      <w:pPr>
        <w:numPr>
          <w:ilvl w:val="0"/>
          <w:numId w:val="2"/>
        </w:numPr>
        <w:spacing w:after="0" w:line="264" w:lineRule="auto"/>
        <w:ind w:left="993" w:hanging="357"/>
        <w:contextualSpacing/>
        <w:jc w:val="left"/>
        <w:rPr>
          <w:rFonts w:cs="Arial"/>
        </w:rPr>
      </w:pPr>
      <w:r w:rsidRPr="00D8170B">
        <w:rPr>
          <w:rFonts w:cs="Arial"/>
        </w:rPr>
        <w:t>u 4 (0,8%) slučaja obustavio postupak.</w:t>
      </w:r>
    </w:p>
    <w:p w14:paraId="760E3A31" w14:textId="6384D179" w:rsidR="008848DB" w:rsidRPr="00D8170B" w:rsidRDefault="00A32AE7" w:rsidP="008848DB">
      <w:pPr>
        <w:pBdr>
          <w:top w:val="single" w:sz="4" w:space="1" w:color="auto"/>
          <w:left w:val="single" w:sz="4" w:space="4" w:color="auto"/>
          <w:bottom w:val="single" w:sz="4" w:space="1" w:color="auto"/>
          <w:right w:val="single" w:sz="4" w:space="4" w:color="auto"/>
        </w:pBdr>
        <w:spacing w:before="240" w:after="240"/>
        <w:rPr>
          <w:rFonts w:cs="Arial"/>
        </w:rPr>
      </w:pPr>
      <w:r w:rsidRPr="00A32AE7">
        <w:rPr>
          <w:rFonts w:cs="Arial"/>
        </w:rPr>
        <w:t>Prema dostupnim podacima, u 55,8% postupaka po žalbi postupanje tijela javne vlasti ocijenjeno je zakonitim i pravilnim, dok je u 33,3% slučajeva utvrđeno da odluka nije bila u skladu s odredbama ZPPI-ja te je rješenje poništeno odnosno odluka izmijenjena. Iako s malim poboljšanjem, takvi rezultati na razini su prošlogodišnjih, s obzirom na to da je 2024. godine udio zakonitog i pravilnog postupanja iznosio 53,8%.</w:t>
      </w:r>
    </w:p>
    <w:p w14:paraId="58F0F9E1" w14:textId="77777777" w:rsidR="008848DB" w:rsidRPr="00D8170B" w:rsidRDefault="008848DB" w:rsidP="00A11394">
      <w:pPr>
        <w:spacing w:before="120"/>
        <w:rPr>
          <w:rFonts w:cs="Arial"/>
        </w:rPr>
      </w:pPr>
      <w:r w:rsidRPr="00D8170B">
        <w:rPr>
          <w:rFonts w:cs="Arial"/>
        </w:rPr>
        <w:t>Povjerenik je, u cilju postizanja veće zakonitosti prvostupanjskih rješenja te kako bi se izbjegle pogreške prilikom rješavanja zahtjeva, i u 2025. nastavio s kontinuiranom objavio svoje prakse i prakse Visokog upravnog suda RH putem Tražilice odluka i mišljenja – TOM i rubrike „Iz prakse Povjerenika“ na svojim mrežnim stranicama, te ažuriranjem postojećih uputa i smjernica za provedbu pojedinih zakonskih odredbi ili aspekata primjene ZPPI-ja.</w:t>
      </w:r>
    </w:p>
    <w:p w14:paraId="2FAF1809" w14:textId="77777777" w:rsidR="008848DB" w:rsidRPr="00D8170B" w:rsidRDefault="008848DB" w:rsidP="005F0EC0">
      <w:pPr>
        <w:widowControl w:val="0"/>
        <w:numPr>
          <w:ilvl w:val="0"/>
          <w:numId w:val="3"/>
        </w:numPr>
        <w:spacing w:line="264" w:lineRule="auto"/>
        <w:jc w:val="left"/>
        <w:rPr>
          <w:rFonts w:eastAsia="Times New Roman" w:cs="Times New Roman"/>
        </w:rPr>
      </w:pPr>
      <w:r w:rsidRPr="00D8170B">
        <w:rPr>
          <w:rFonts w:eastAsia="Times New Roman" w:cs="Times New Roman"/>
        </w:rPr>
        <w:t xml:space="preserve">Od 50 riješenih predmeta koja su se vodila po žalbama izjavljenima protiv rješenja kojima su čelnici tijela odlučivali o prigovorima korisnika izjavljenima protiv obavijesti iz članka 23. stavka 1. točke 2.-6. ZPPI-ja, Povjerenik je donio: </w:t>
      </w:r>
    </w:p>
    <w:p w14:paraId="6B39EF4D" w14:textId="77777777" w:rsidR="008848DB" w:rsidRPr="00D8170B" w:rsidRDefault="008848DB" w:rsidP="005F0EC0">
      <w:pPr>
        <w:numPr>
          <w:ilvl w:val="0"/>
          <w:numId w:val="2"/>
        </w:numPr>
        <w:spacing w:after="0" w:line="264" w:lineRule="auto"/>
        <w:ind w:left="993" w:hanging="357"/>
        <w:contextualSpacing/>
        <w:jc w:val="left"/>
        <w:rPr>
          <w:rFonts w:cs="Arial"/>
        </w:rPr>
      </w:pPr>
      <w:r w:rsidRPr="00D8170B">
        <w:rPr>
          <w:rFonts w:cs="Arial"/>
        </w:rPr>
        <w:t>28 ili 56% rješenja kojima se žalba odbija i potvrđuje rješenje koje je čelnik tijela donio povodom izjavljenog prigovora</w:t>
      </w:r>
    </w:p>
    <w:p w14:paraId="289E5B9A" w14:textId="77777777" w:rsidR="008848DB" w:rsidRPr="00D8170B" w:rsidRDefault="008848DB" w:rsidP="005F0EC0">
      <w:pPr>
        <w:numPr>
          <w:ilvl w:val="0"/>
          <w:numId w:val="2"/>
        </w:numPr>
        <w:spacing w:after="0" w:line="264" w:lineRule="auto"/>
        <w:ind w:left="993" w:hanging="357"/>
        <w:contextualSpacing/>
        <w:jc w:val="left"/>
        <w:rPr>
          <w:rFonts w:cs="Arial"/>
        </w:rPr>
      </w:pPr>
      <w:r w:rsidRPr="00D8170B">
        <w:rPr>
          <w:rFonts w:cs="Arial"/>
        </w:rPr>
        <w:lastRenderedPageBreak/>
        <w:t xml:space="preserve">12 ili 24% rješenja kojima se rješenje o prigovoru poništava i tijelu javne vlasti na ponovni postupak vraća odlučivanje o zahtjevu </w:t>
      </w:r>
    </w:p>
    <w:p w14:paraId="5E2CFBBC" w14:textId="77777777" w:rsidR="008848DB" w:rsidRPr="00D8170B" w:rsidRDefault="008848DB" w:rsidP="005F0EC0">
      <w:pPr>
        <w:numPr>
          <w:ilvl w:val="0"/>
          <w:numId w:val="2"/>
        </w:numPr>
        <w:spacing w:after="0" w:line="264" w:lineRule="auto"/>
        <w:ind w:left="993" w:hanging="357"/>
        <w:contextualSpacing/>
        <w:jc w:val="left"/>
        <w:rPr>
          <w:rFonts w:cs="Arial"/>
        </w:rPr>
      </w:pPr>
      <w:r w:rsidRPr="00D8170B">
        <w:rPr>
          <w:rFonts w:cs="Arial"/>
        </w:rPr>
        <w:t>8 ili 16% rješenja kojima se poništava rješenje o prigovoru, usvaja se prigovor te je riješen zahtjev (odbijen ili odbačen zahtjev)</w:t>
      </w:r>
    </w:p>
    <w:p w14:paraId="7EC23E80" w14:textId="77777777" w:rsidR="008848DB" w:rsidRPr="00D8170B" w:rsidRDefault="008848DB" w:rsidP="005F0EC0">
      <w:pPr>
        <w:numPr>
          <w:ilvl w:val="0"/>
          <w:numId w:val="2"/>
        </w:numPr>
        <w:spacing w:after="0" w:line="264" w:lineRule="auto"/>
        <w:ind w:left="993" w:hanging="357"/>
        <w:contextualSpacing/>
        <w:jc w:val="left"/>
        <w:rPr>
          <w:rFonts w:cs="Arial"/>
        </w:rPr>
      </w:pPr>
      <w:r w:rsidRPr="00D8170B">
        <w:rPr>
          <w:rFonts w:cs="Arial"/>
        </w:rPr>
        <w:t>1 ili 2% rješenja kojima se postupak obustavlja</w:t>
      </w:r>
    </w:p>
    <w:p w14:paraId="7CE4A138" w14:textId="77777777" w:rsidR="008848DB" w:rsidRPr="00D8170B" w:rsidRDefault="008848DB" w:rsidP="005F0EC0">
      <w:pPr>
        <w:numPr>
          <w:ilvl w:val="0"/>
          <w:numId w:val="2"/>
        </w:numPr>
        <w:spacing w:after="0" w:line="264" w:lineRule="auto"/>
        <w:ind w:left="993" w:hanging="357"/>
        <w:contextualSpacing/>
        <w:jc w:val="left"/>
        <w:rPr>
          <w:rFonts w:cs="Arial"/>
        </w:rPr>
      </w:pPr>
      <w:r w:rsidRPr="00D8170B">
        <w:rPr>
          <w:rFonts w:cs="Arial"/>
        </w:rPr>
        <w:t>1 ili 2% rješenja kojima se žalba odbacuje kao nepravovremena.</w:t>
      </w:r>
    </w:p>
    <w:p w14:paraId="170B90BD" w14:textId="77777777" w:rsidR="00394FC9" w:rsidRPr="00394FC9" w:rsidRDefault="00394FC9" w:rsidP="00394FC9">
      <w:pPr>
        <w:pBdr>
          <w:top w:val="single" w:sz="4" w:space="1" w:color="auto"/>
          <w:left w:val="single" w:sz="4" w:space="4" w:color="auto"/>
          <w:bottom w:val="single" w:sz="4" w:space="1" w:color="auto"/>
          <w:right w:val="single" w:sz="4" w:space="4" w:color="auto"/>
        </w:pBdr>
        <w:spacing w:before="240"/>
        <w:rPr>
          <w:rFonts w:cs="Arial"/>
        </w:rPr>
      </w:pPr>
      <w:r w:rsidRPr="00394FC9">
        <w:rPr>
          <w:rFonts w:cs="Arial"/>
        </w:rPr>
        <w:t>U pogledu rješavanja zahtjeva primjenom članka 23. stavaka 1. i 2., odnosno donošenjem obavijesti, podaci pokazuju da je u 56% postupaka po žalbi postupanje tijela javne vlasti ocijenjeno zakonitim i pravilnim, što je više nego 2024. godine, kada je taj udio iznosio 42,2%.</w:t>
      </w:r>
    </w:p>
    <w:p w14:paraId="31BC65B9" w14:textId="77777777" w:rsidR="00394FC9" w:rsidRPr="00394FC9" w:rsidRDefault="00394FC9" w:rsidP="00394FC9">
      <w:pPr>
        <w:pBdr>
          <w:top w:val="single" w:sz="4" w:space="1" w:color="auto"/>
          <w:left w:val="single" w:sz="4" w:space="4" w:color="auto"/>
          <w:bottom w:val="single" w:sz="4" w:space="1" w:color="auto"/>
          <w:right w:val="single" w:sz="4" w:space="4" w:color="auto"/>
        </w:pBdr>
        <w:spacing w:before="240"/>
        <w:rPr>
          <w:rFonts w:cs="Arial"/>
        </w:rPr>
      </w:pPr>
      <w:r w:rsidRPr="00394FC9">
        <w:rPr>
          <w:rFonts w:cs="Arial"/>
        </w:rPr>
        <w:t>S druge strane, u 40% slučajeva utvrđeno je da odluka nije bila u skladu s odredbama ZPPI-ja, zbog čega je rješenje poništeno te je predmet vraćen na ponovni postupak ili je odluka izmijenjena. To predstavlja manji udio u odnosu na 2024., kada je poništeno 46,9% rješenja.</w:t>
      </w:r>
    </w:p>
    <w:p w14:paraId="68F53828" w14:textId="2397337D" w:rsidR="008848DB" w:rsidRPr="00F0315E" w:rsidRDefault="00394FC9" w:rsidP="00394FC9">
      <w:pPr>
        <w:pBdr>
          <w:top w:val="single" w:sz="4" w:space="1" w:color="auto"/>
          <w:left w:val="single" w:sz="4" w:space="4" w:color="auto"/>
          <w:bottom w:val="single" w:sz="4" w:space="1" w:color="auto"/>
          <w:right w:val="single" w:sz="4" w:space="4" w:color="auto"/>
        </w:pBdr>
        <w:spacing w:before="240"/>
        <w:rPr>
          <w:rFonts w:cs="Arial"/>
        </w:rPr>
      </w:pPr>
      <w:r w:rsidRPr="00394FC9">
        <w:rPr>
          <w:rFonts w:cs="Arial"/>
        </w:rPr>
        <w:t>Ukupno gledano, podaci upućuju na višu razinu zakonitog i pravilnog rješavanja zahtjeva za pristup informacijama u odnosu na prethodno izvještajno razdoblje</w:t>
      </w:r>
      <w:r w:rsidR="008848DB" w:rsidRPr="00D8170B">
        <w:rPr>
          <w:rFonts w:cs="Arial"/>
        </w:rPr>
        <w:t>.</w:t>
      </w:r>
    </w:p>
    <w:p w14:paraId="2588F8BC" w14:textId="5D2F14F1" w:rsidR="004158A8" w:rsidRPr="00F0315E" w:rsidRDefault="004158A8" w:rsidP="00811052">
      <w:pPr>
        <w:pStyle w:val="Naslov2"/>
        <w:ind w:left="1276" w:hanging="567"/>
      </w:pPr>
      <w:bookmarkStart w:id="58" w:name="_Toc225865572"/>
      <w:r w:rsidRPr="7D481D26">
        <w:t>Odluke o žalbama po kategorijama tijela javne vlasti</w:t>
      </w:r>
      <w:bookmarkEnd w:id="58"/>
    </w:p>
    <w:p w14:paraId="12BAFFF1" w14:textId="70C24B54" w:rsidR="004158A8" w:rsidRPr="00F0315E" w:rsidRDefault="004158A8" w:rsidP="001B4107">
      <w:pPr>
        <w:rPr>
          <w:rFonts w:eastAsia="Times New Roman" w:cs="Times New Roman"/>
          <w:sz w:val="23"/>
          <w:szCs w:val="23"/>
        </w:rPr>
      </w:pPr>
      <w:r w:rsidRPr="00F0315E">
        <w:rPr>
          <w:rFonts w:cs="Arial"/>
        </w:rPr>
        <w:t>U nastavku se razmatraju odluke o žalbama po pojedinim kategorijama tijela</w:t>
      </w:r>
      <w:r w:rsidR="00686D32" w:rsidRPr="00F0315E">
        <w:rPr>
          <w:rFonts w:cs="Arial"/>
        </w:rPr>
        <w:t xml:space="preserve">, koje su </w:t>
      </w:r>
      <w:r w:rsidRPr="00F0315E">
        <w:rPr>
          <w:rFonts w:cs="Arial"/>
        </w:rPr>
        <w:t>donesene u žalbenim postupcima vezano za zahtjeve za pristup informacijama</w:t>
      </w:r>
      <w:r w:rsidRPr="00F0315E">
        <w:rPr>
          <w:rFonts w:eastAsia="Times New Roman" w:cs="Times New Roman"/>
          <w:sz w:val="23"/>
          <w:szCs w:val="23"/>
        </w:rPr>
        <w:t>.</w:t>
      </w:r>
    </w:p>
    <w:p w14:paraId="42435B6B" w14:textId="6B664D5C" w:rsidR="004158A8" w:rsidRPr="00F0315E" w:rsidRDefault="004158A8" w:rsidP="009032D7">
      <w:pPr>
        <w:pStyle w:val="Naslov3"/>
        <w:ind w:left="1985"/>
      </w:pPr>
      <w:bookmarkStart w:id="59" w:name="_Toc225865573"/>
      <w:r>
        <w:t>Državna tijela</w:t>
      </w:r>
      <w:bookmarkEnd w:id="59"/>
    </w:p>
    <w:p w14:paraId="59BCC511" w14:textId="77777777" w:rsidR="000749F0" w:rsidRDefault="000749F0" w:rsidP="000749F0">
      <w:r>
        <w:t>Kada je riječ o državnim tijelima tijekom 2025. Povjerenik je zaprimio 40 žalbi vezanih za zahtjeve za pristup informacijama koji su upućeni državnim tijelima te je zajedno s prenesenim žalbama iz 2024. u radu imao ukupno 42 žalbe, od kojih su riješene 34 (80,9%).</w:t>
      </w:r>
    </w:p>
    <w:p w14:paraId="39E0FB83" w14:textId="77777777" w:rsidR="000749F0" w:rsidRDefault="000749F0" w:rsidP="000749F0">
      <w:r>
        <w:t xml:space="preserve">Iz obrađenih podataka razvidno je da je tijekom 2025. u radu bilo 5 žalbi na postupanje Hrvatskog sabora, a koje su sve zaprimljene tijekom 2025. i to 4 zbog šutnje uprave,  a 1 protiv rješenja o odbijanju zahtjeva. Od 4 zaprimljene žalbe zbog šutnje uprave riješene su 2 na način da je u jednom slučaju žalba odbačena kao nedopuštena, a drugom slučaju doneseno rješenje o obustavi postupka. Postupajući po žalbi izjavljenoj protiv rješenja o odbijanju zahtjeva, Povjerenik je donio rješenje kojim je poništio rješenje i vratio predmet na ponovni postupak. </w:t>
      </w:r>
    </w:p>
    <w:p w14:paraId="071D9E5F" w14:textId="77777777" w:rsidR="000749F0" w:rsidRDefault="000749F0" w:rsidP="000749F0">
      <w:r>
        <w:t>U odnosu na Ured predsjednika RH tijekom 2025. u radu su bile 4 žalbe, a koje su sve zaprimljene tijekom 2025. i to 2  zbog šutnje uprave, 1 protiv rješenja o odbijanju zahtjeva te 1 protiv rješenja o odbacivanju zahtjeva. Postupajući po žalbama zbog šutnje uprave Povjerenik je u jednom predmetu žalbu odbacio kao nedopuštenu, a u jednom kao nepotpunu. Dvije žalbe izjavljene protiv rješenja o odbijanju zahtjeva odnosno rješenja o odbacivanju zahtjeva, odbijene su kao neosnovane.</w:t>
      </w:r>
    </w:p>
    <w:p w14:paraId="16514475" w14:textId="525DE6C7" w:rsidR="000749F0" w:rsidRDefault="000749F0" w:rsidP="000749F0">
      <w:r>
        <w:t xml:space="preserve">Nadalje, iz obrađenih podataka razvidno je da je tijekom 2025. u odnosu na odlučivanje Vlade RH u radu bilo 11 žalbi od kojih je 9 zaprimljeno tijekom 2025. i to 4 zbog šutnje uprave, 1 protiv rješenja o odbacivanju zahtjeva, 1 protiv rješenja o odbijanju zahtjeva,  1 protiv rješenja o </w:t>
      </w:r>
      <w:r>
        <w:lastRenderedPageBreak/>
        <w:t xml:space="preserve">prigovoru te 2 žalbe na obavijest. Od ukupno 11 žalbi koje su bile u radu tijekom 2025., Povjerenik je riješio njih 10 na način da je povodom 5 žalbi zbog šutnje uprave donio 2 rješenja o odbacivanju žalbe kao nepotpune, 1 rješenje o odbacivanju žalbe kao nedopuštene, 1 rješenje o odbijanju žalbe kao neosnovane te 1 rješenje kojim je naložio rješavanje zahtjeva. Kada je riječ o odbijajućim rješenjima, rješenjima o odbacivanju zahtjeva, rješenjima o prigovoru, Povjerenik je  u 2 predmeta odbio žalbu kao neosnovanu, a u 1 predmetu poništio rješenje i riješio zahtjev. </w:t>
      </w:r>
    </w:p>
    <w:p w14:paraId="46BBFAD8" w14:textId="06694757" w:rsidR="000749F0" w:rsidRDefault="000749F0" w:rsidP="000749F0">
      <w:r>
        <w:t>Dvije zaprimljene žalbe na obavijest Vlade RH, Povjerenik je odbacio kao nedopuštene. Naime,  uvidom u dostavljene obavijesti utvrđeno je da se ne radi o obavijestima iz članka 23. stavka 1. točke 2., 3., 4., 5. i 6. Zakona o pravu na pristup informacijama</w:t>
      </w:r>
      <w:r w:rsidR="005478D6">
        <w:t>.</w:t>
      </w:r>
      <w:r>
        <w:t xml:space="preserve"> </w:t>
      </w:r>
    </w:p>
    <w:p w14:paraId="34930F1B" w14:textId="77777777" w:rsidR="000749F0" w:rsidRDefault="000749F0" w:rsidP="000749F0">
      <w:r>
        <w:t xml:space="preserve">Kada se radi o ostalim državnim tijelima, iz obrađenih podataka vidljivo je da su tijekom 2025. u radu bile ukupno 22 žalbe, a koje su sve zaprimljene tijekom 2025. i iste su izjavljene protiv postupanja Državnog odvjetništva RH (9), Hrvatske narodne banke (5), Državnog ureda za reviziju (2),  Pučkog pravobranitelja (2), Državnog sudbenog vijeća RH (1), Povjerenika za informiranje (1), Povjerenstva za odlučivanje o sukobu interesa (1) te Pravobraniteljice za djecu (1). </w:t>
      </w:r>
    </w:p>
    <w:p w14:paraId="08B74219" w14:textId="77777777" w:rsidR="000749F0" w:rsidRDefault="000749F0" w:rsidP="000749F0">
      <w:r>
        <w:t>Iz obrađenih podataka je vidljivo kako je od ukupno 22 žalbe koje su bile u radu, a koje su se odnosile na ostala državna tijela riješeno njih 17 (77,3%) od kojih je 10 bilo izjavljeno zbog šutnje uprave, 1 žalba na obavijest, 2 žalbe protiv rješenja o odbacivanju zahtjeva te 4 žalbe protiv rješenja o odbijanju zahtjeva.</w:t>
      </w:r>
    </w:p>
    <w:p w14:paraId="796F70E7" w14:textId="776B4452" w:rsidR="000749F0" w:rsidRDefault="000749F0" w:rsidP="000749F0">
      <w:r>
        <w:t>Žalbe izjavljene zbog šutnje uprave, a koje su se odnosile na ostala državna tijela riješene su na način da je Povjerenik donio 2 rješenja kojima je žalba odbačena kao nepotpuna (1 Državno odvjetništvo Republike Hrvatske, 1 Pravobraniteljica za djecu), 3 rješenja kojima je žalba odbačena kao nedopuštena (2 Pučki pravobranitelj, 1 Povjerenstvo za odlučivanje o sukobu interesa), 2 rješenja o obustavi postupka  (1 Državni ured za reviziju, 1 Hrvatska narodna banka) te 3 rješenja kojima je žalba odbijena kao neosnovana (3 Državno odvjetništvo Republike Hrvatske).</w:t>
      </w:r>
    </w:p>
    <w:p w14:paraId="434B341F" w14:textId="77777777" w:rsidR="000749F0" w:rsidRDefault="000749F0" w:rsidP="000749F0">
      <w:r>
        <w:t>Kada se radi o odbijajućim rješenjima ili rješenjima o odbacivanju zahtjeva utvrđeno je da su ostala državna tijela pravilno i zakonito riješila 5 (66,7%) predmeta i to: Državno odvjetništvo RH (2), Hrvatska narodna banka (1) te Državni ured za reviziju (1). U 2 (33,3%) predmeta utvrđeno je da rješenja nisu u skladu sa zakonom te su rješenja poništena i predmet vraćen na ponovni postupak i to Državnom odvjetništvu RH (1) i Hrvatskoj narodnoj banci (1).</w:t>
      </w:r>
    </w:p>
    <w:p w14:paraId="5BBF8C08" w14:textId="371B59CF" w:rsidR="008848DB" w:rsidRDefault="000749F0" w:rsidP="000749F0">
      <w:r>
        <w:t>Jedna zaprimljena žalba na obavijest Povjerenika riješena je na način da je ista rješenjem Povjerenika odbačena kao nedopuštena jer je utvrđeno da se ne radi o obavijestima iz članka 23. stavka 1. točke 2., 3., 4., 5. i 6. Zakona o pravu na pristup informacijama</w:t>
      </w:r>
      <w:r w:rsidR="008848DB" w:rsidRPr="00214A06">
        <w:t>.</w:t>
      </w:r>
    </w:p>
    <w:tbl>
      <w:tblPr>
        <w:tblStyle w:val="Reetkatablice"/>
        <w:tblW w:w="9067" w:type="dxa"/>
        <w:tblLook w:val="04A0" w:firstRow="1" w:lastRow="0" w:firstColumn="1" w:lastColumn="0" w:noHBand="0" w:noVBand="1"/>
      </w:tblPr>
      <w:tblGrid>
        <w:gridCol w:w="9067"/>
      </w:tblGrid>
      <w:tr w:rsidR="008848DB" w14:paraId="4F986E67" w14:textId="77777777" w:rsidTr="00422879">
        <w:tc>
          <w:tcPr>
            <w:tcW w:w="9067" w:type="dxa"/>
          </w:tcPr>
          <w:p w14:paraId="0FD1AF25" w14:textId="77777777" w:rsidR="005A58F7" w:rsidRDefault="005A58F7" w:rsidP="005A58F7">
            <w:r>
              <w:t>Na temelju obrađenih podataka vidljivo je da je, kada se radi o žalbama zbog šutnje uprave u odnosu na sva državna tijela, u 15,8% slučajeva doneseno rješenje o obustavi postupka jer je državno tijelo postupilo po izjavljenoj žalbi i riješilo zahtjev, da je u 21% slučajeva Povjerenik žalbu odbio kao neosnovanu, da je u 31,6% slučajeva žalba odbačena kao nedopuštena, da je u 26,32% slučajeva žalba odbačena kao nepotpuna te da je u 5,3% slučajeva naloženo rješavanje zahtjeva.</w:t>
            </w:r>
          </w:p>
          <w:p w14:paraId="6D903043" w14:textId="7A38D00A" w:rsidR="008848DB" w:rsidRDefault="005A58F7" w:rsidP="005A58F7">
            <w:r>
              <w:lastRenderedPageBreak/>
              <w:t>U predmetima ostvarivanja prava na pristup informacijama, kada se radi o žalbama izjavljenim na rješenja državnih tijela, rezultati žalbenih postupaka ukazuju da su državna tijela u 66,7% slučajeva donijela rješenja koja su utemeljena na zakonu, a u 33,3 % slučajeva rješenja koja nisu u skladu s odredbama ZPPI-ja. Kada se usporede rezultati s prethodnim izvještajnim razdobljem razvidno je da je došlo do porasta broja slučajeva u kojima su donesena rješenja koja su sukladna zakonu (2024. - 50% slučajeva).</w:t>
            </w:r>
          </w:p>
        </w:tc>
      </w:tr>
    </w:tbl>
    <w:p w14:paraId="1F25B82E" w14:textId="7E1A596F" w:rsidR="004158A8" w:rsidRPr="009032D7" w:rsidRDefault="004158A8" w:rsidP="009032D7">
      <w:pPr>
        <w:pStyle w:val="Naslov3"/>
        <w:ind w:left="1985"/>
      </w:pPr>
      <w:bookmarkStart w:id="60" w:name="_Toc225865574"/>
      <w:r>
        <w:lastRenderedPageBreak/>
        <w:t>Tijela državne uprave</w:t>
      </w:r>
      <w:bookmarkEnd w:id="60"/>
    </w:p>
    <w:p w14:paraId="2AD9C1E4" w14:textId="77777777" w:rsidR="00F0350C" w:rsidRDefault="00F0350C" w:rsidP="00F0350C">
      <w:r>
        <w:t>Tijekom 2025. u odnosu na zahtjeve za pristup informacijama koji su upućeni tijelima državne uprave Povjerenik je zaprimio 328 žalbi, od čega 182 žalbe zbog šutnje uprave, 104 žalbe na odbijajuća rješenja, 23 žalbe na rješenja o odbacivanju zahtjeva, 2 žalbe na obavijest te 17 žalbi protiv rješenja o prigovoru.</w:t>
      </w:r>
    </w:p>
    <w:p w14:paraId="7EF0111B" w14:textId="77777777" w:rsidR="00F0350C" w:rsidRDefault="00F0350C" w:rsidP="00F0350C">
      <w:r>
        <w:t>Najviše zaprimljenih žalbi odnosilo se na sljedeća tijela: Ministarstvo financija (81), Ministarstvo znanosti, obrazovanja i mladih (45), Ministarstvo zdravstva (37), Ministarstvo unutarnjih poslova (36), Ministarstvo pravosuđa, uprave i digitalne transformacije (27), Državni inspektorat (23), Ministarstvo prostornoga uređenja, graditeljstva i državne imovine (15), Ministarstvo mora, prometa i infrastrukture (11), Ministarstvo zaštite okoliša i zelene tranzicije (11), Ministarstvo kulture i medija (10), dok je manji broj žalbi zaprimljen u odnosu na sljedeća tijela: Ministarstvo poljoprivrede, šumarstva i ribarstva (8), Ministarstvo obrane (6), Ministarstvo vanjskih i europskih poslova (4) te Ministarstvo gospodarstva (4).</w:t>
      </w:r>
    </w:p>
    <w:p w14:paraId="5ACD2B5F" w14:textId="6928EA6F" w:rsidR="00F0350C" w:rsidRDefault="00F0350C" w:rsidP="00F0350C">
      <w:r>
        <w:t>Tijekom 2025. zajedno s prenesene 34 žalbe iz 2024. u radu su bile ukupno 362 žalbe od kojih su riješene 304 (84%) pri čemu se njih 169 (55,6%) odnosilo na šutnju uprave, 95 (31,2%) na odbijajuća rješenja, 24 (7,9%) na rješenja o odbacivanju zahtjeva, 2 (0,7%) na obavijest te 14 (4,6%) protiv rješenja o prigovoru.</w:t>
      </w:r>
    </w:p>
    <w:p w14:paraId="0C05D161" w14:textId="77777777" w:rsidR="00F0350C" w:rsidRDefault="00F0350C" w:rsidP="00F0350C">
      <w:r>
        <w:t>Žalbe koje se odnose na šutnju uprave riješene su na način da su donesena 34 (20,1%) rješenja kojima je žalba odbačena kao nedopuštena ili nepravovremena odnosno nepotpuna, 87 (51,5%) rješenja o obustavi postupka, 13 (7,7%) rješenja o odbijanju žalbe te 35 (20,7%) rješenja kojima je naloženo rješavanje zahtjeva.</w:t>
      </w:r>
    </w:p>
    <w:p w14:paraId="563E1F00" w14:textId="3B49277A" w:rsidR="00F0350C" w:rsidRDefault="00F0350C" w:rsidP="00F0350C">
      <w:r>
        <w:t>Kada se radi o odbijajućim rješenjima ili rješenjima o odbacivanju zahtjeva, te rješenjima o prigovoru, riješeno je 133 (82,1%) žalbi na način da je u 100 (75,2%) predmeta utvrđeno da su tijela državne uprave pravilno i zakonito riješila zahtjev te je žalba odbijena kao neosnovana i potvrđena su rješenja tijela državne uprave, dok je u 25 (18,8%) predmeta utvrđeno da su rješenja tijela državne uprave nezakonita te su ista poništena na način da je Povjerenik omogućio žalitelju pristup informaciji u 14 predmeta, u 9 predmeta rješenje je poništeno i predmet vraćen na ponovni postupak, a u 2 predmeta poništeno rješenje i riješen zahtjev. Nadalje, u 2 (1,5%) predmeta doneseno je rješenje o odbacivanju žalbe kao nepotpune odnosno nepravovremene, a u 3 (2,3%) predmeta rješenjem je obustavljen postupak. Prvostupanjsko tijelo samo je riješilo žalbu po članku 113. ZUP-a u 3 (2,3%) predmeta.</w:t>
      </w:r>
    </w:p>
    <w:p w14:paraId="1E93B22D" w14:textId="0FE298CB" w:rsidR="008848DB" w:rsidRDefault="00F0350C" w:rsidP="00F0350C">
      <w:r>
        <w:t>Dvije zaprimljene žalbe na obavijest, riješene su na način da su iste rješenjem Povjerenika odbačene kao nedopuštene</w:t>
      </w:r>
      <w:r w:rsidR="005478D6">
        <w:t>.</w:t>
      </w:r>
    </w:p>
    <w:p w14:paraId="232736A6" w14:textId="2B035E66" w:rsidR="008848DB" w:rsidRDefault="00CA2D85" w:rsidP="005872F3">
      <w:pPr>
        <w:pBdr>
          <w:top w:val="single" w:sz="4" w:space="1" w:color="auto"/>
          <w:left w:val="single" w:sz="4" w:space="4" w:color="auto"/>
          <w:bottom w:val="single" w:sz="4" w:space="1" w:color="auto"/>
          <w:right w:val="single" w:sz="4" w:space="4" w:color="auto"/>
        </w:pBdr>
      </w:pPr>
      <w:r w:rsidRPr="00CA2D85">
        <w:lastRenderedPageBreak/>
        <w:t>Na temelju obrađenih podataka vidljivo je da tijela državne uprave i dalje kasne s rješavanjem zahtjeva i tako iniciraju podnošenje žalbi zbog šutnje uprave. Međutim, kada je riječ  o žalbama izjavljenim na rješenja tijela državne uprave (odbijajuća rješenja, rješenja o odbacivanju zahtjeva te rješenja o prigovoru) iz obrađenih podataka vidljivo je da je u odnosu na prethodno izvještajno razdoblje došlo do povećanja broja rješenja koja su potvrđena od strane Povjerenika (2024. - 42%, 2025. - 75,2%</w:t>
      </w:r>
      <w:r w:rsidR="00BA2BD4">
        <w:t>)</w:t>
      </w:r>
      <w:r w:rsidR="008848DB" w:rsidRPr="00E22B2F">
        <w:t>.</w:t>
      </w:r>
    </w:p>
    <w:p w14:paraId="1DF486DC" w14:textId="75BA914F" w:rsidR="004158A8" w:rsidRPr="00F0315E" w:rsidRDefault="008848DB" w:rsidP="009032D7">
      <w:pPr>
        <w:pStyle w:val="Naslov3"/>
        <w:ind w:left="1985"/>
      </w:pPr>
      <w:bookmarkStart w:id="61" w:name="_Toc225865575"/>
      <w:r>
        <w:t>JLP(R)S (o</w:t>
      </w:r>
      <w:r w:rsidR="004158A8">
        <w:t>pćine, gradovi i županije</w:t>
      </w:r>
      <w:r>
        <w:t>)</w:t>
      </w:r>
      <w:bookmarkEnd w:id="61"/>
    </w:p>
    <w:p w14:paraId="3242256D" w14:textId="77777777" w:rsidR="002F0D80" w:rsidRDefault="002F0D80" w:rsidP="002F0D80">
      <w:r>
        <w:t>Kada se radi o zahtjevima za pristup informacijama koji su upućeni JLP(R)S, Povjerenik je tijekom 2025. zaprimio 352 žalbe od čega 189 (53,7%) zbog šutnje uprave, 116 (32,9%) na odbijajuća rješenja, 1 (0,3%) na rješenje o obustavi postupka, 3 (0,8%) na obavijest, 1 (0,3%) protiv rješenja o odbacivanju prigovora, 7 (2%) protiv rješenja o prigovoru, 1 (0,3%) protiv rješenja o odbacivanju žalbe, te 34 (9,7%) protiv rješenja o odbacivanju zahtjeva.</w:t>
      </w:r>
    </w:p>
    <w:p w14:paraId="2EA2A2E9" w14:textId="77777777" w:rsidR="002F0D80" w:rsidRDefault="002F0D80" w:rsidP="002F0D80">
      <w:r>
        <w:t>Najviše zaprimljenih žalbi odnosilo se na sljedeća tijela: Grad Zagreb (59), Grad Split (18),  Grad Dubrovnik (17), Grad Lepoglava (16), Istarska županija (11), dok je manji broj žalbi zaprimljen u odnosu na sljedeća tijela: Općina Pribislavec (9), Općina Seget (9), Primorsko-goranska županija (9), Varaždinska županija (9), Općina Pučišća (8), Grad Čazma (7), Grad Križevci (7), Grad Umag (7), Općina Vođinci (6)  i Dubrovačko-neretvanska županija (5).</w:t>
      </w:r>
    </w:p>
    <w:p w14:paraId="30509618" w14:textId="77777777" w:rsidR="002F0D80" w:rsidRDefault="002F0D80" w:rsidP="002F0D80">
      <w:r>
        <w:t>Povjerenik je tijekom 2025. zajedno sa 72 prenesene žalbe iz 2024. u radu imao 424 žalbe koje su se odnosile na postupanje JLP(R)S (pri čemu je u 30 predmeta donesen zaključak o spajanju,  što znači da je u radu bilo 394 predmeta, od čega je ukupno riješeno 310 predmeta, odnosno 340 s obzirom da je 30 predmeta spojeno zaključkom).</w:t>
      </w:r>
    </w:p>
    <w:p w14:paraId="27467093" w14:textId="1E9ADB35" w:rsidR="008848DB" w:rsidRPr="00214A06" w:rsidRDefault="002F0D80" w:rsidP="002F0D80">
      <w:r>
        <w:t>Od ukupnog broja riješenih žalbi, 175 žalbi odnosilo se na šutnju uprave, od kojih je 30 (17,1%) žalbi bilo nedopušteno, nepravovremeno ili nepotpuno, 7 (4%) je bilo neosnovanih, dok je u 60  (34,3%) predmeta Povjerenik naložio rješavanje zahtjeva, a u 78 (44,6%) predmeta zahtjev je u međuvremenu riješen pa je postupak obustavljen.</w:t>
      </w:r>
      <w:r w:rsidR="008848DB" w:rsidRPr="00214A06">
        <w:t xml:space="preserve"> </w:t>
      </w:r>
    </w:p>
    <w:tbl>
      <w:tblPr>
        <w:tblStyle w:val="Reetkatablice"/>
        <w:tblW w:w="9067" w:type="dxa"/>
        <w:tblLook w:val="04A0" w:firstRow="1" w:lastRow="0" w:firstColumn="1" w:lastColumn="0" w:noHBand="0" w:noVBand="1"/>
      </w:tblPr>
      <w:tblGrid>
        <w:gridCol w:w="9067"/>
      </w:tblGrid>
      <w:tr w:rsidR="008848DB" w14:paraId="46842979" w14:textId="77777777" w:rsidTr="00422879">
        <w:tc>
          <w:tcPr>
            <w:tcW w:w="9067" w:type="dxa"/>
          </w:tcPr>
          <w:p w14:paraId="1ABBEE16" w14:textId="77777777" w:rsidR="00706A39" w:rsidRDefault="00706A39" w:rsidP="00706A39">
            <w:r>
              <w:t xml:space="preserve">Na temelju obrađenih podataka vidljivo je da je kod JLP(R)S u 44,6% slučajeva šutnje uprave samo podnošenje žalbe bio poticaj da se riješi zahtjev, a što bi značilo da u tim slučajevima nije ni bilo razloga za nepostupanje po podnesenim zahtjevima te se moglo izbjeći vođenje žalbenog postupka. Također, vidljivo je da su JLP(R)S u 34,3% slučajeva i dalje ignorirale zahtjeve odnosno nisu ih riješile u roku i na način propisan odredbama ZPPI-ja unatoč izjavljivanju žalbe, tako da je Povjerenik morao naložiti rješavanje zahtjeva. </w:t>
            </w:r>
          </w:p>
          <w:p w14:paraId="05B687CB" w14:textId="36A97505" w:rsidR="008848DB" w:rsidRDefault="00706A39" w:rsidP="00706A39">
            <w:r>
              <w:t>Ako se usporede podaci s prošlim  izvještajnim razdobljem u kojem je bilo 25,8% slučajeva u kojima JLP(R)S ne donose odluku dok ih na to formalno ne obveže Povjerenik, vidljivo je da je došlo do povećanja broja takvih slučajeva na 34,3%.</w:t>
            </w:r>
          </w:p>
        </w:tc>
      </w:tr>
    </w:tbl>
    <w:p w14:paraId="21A01CF5" w14:textId="791E7F6B" w:rsidR="0084779E" w:rsidRDefault="0084779E" w:rsidP="003179B8">
      <w:pPr>
        <w:spacing w:before="120"/>
      </w:pPr>
      <w:r>
        <w:t xml:space="preserve">Kada je riječ o odbijajućim rješenjima, rješenjima o odbacivanju zahtjeva, rješenjima o prigovoru, rješenjima o odbacivanju prigovora, te rješenjima o obustavi postupka riješene su 132 (42,6%) žalbe na način da je utvrđeno da su JLP(R)S pravilno i zakonito riješile 73 (55,3%) predmeta, dok je u 50 (37,9%) predmeta utvrđeno da su rješenja nezakonita pa je tako u 22 predmeta rješenje poništeno i žalitelju omogućen pristup informaciji, u 24 predmeta rješenje </w:t>
      </w:r>
      <w:r>
        <w:lastRenderedPageBreak/>
        <w:t>poništeno i predmet vraćen na ponovni postupak, u 4 predmeta rješenje poništeno i Povjerenik je riješio zahtjev. Također, u 2 (1,5%) predmeta žalba je odbačena kao nepotpuna, u 5 (3,8%) predmeta je rješenje oglašeno ništavim te je u 2 (1,5%) predmeta prvostupanjsko tijelo samo riješilo žalbu po članku 113. ZUP-a.</w:t>
      </w:r>
    </w:p>
    <w:p w14:paraId="4FBE74AF" w14:textId="3615B070" w:rsidR="008848DB" w:rsidRDefault="0084779E" w:rsidP="0084779E">
      <w:r>
        <w:t>Od 3 izjavljene žalbe na obavijest sve tri su odbačene kao nedopuštene.</w:t>
      </w:r>
    </w:p>
    <w:tbl>
      <w:tblPr>
        <w:tblStyle w:val="Reetkatablice"/>
        <w:tblW w:w="0" w:type="auto"/>
        <w:tblLook w:val="04A0" w:firstRow="1" w:lastRow="0" w:firstColumn="1" w:lastColumn="0" w:noHBand="0" w:noVBand="1"/>
      </w:tblPr>
      <w:tblGrid>
        <w:gridCol w:w="9062"/>
      </w:tblGrid>
      <w:tr w:rsidR="008848DB" w14:paraId="0C784AB7" w14:textId="77777777" w:rsidTr="00422879">
        <w:tc>
          <w:tcPr>
            <w:tcW w:w="16721" w:type="dxa"/>
          </w:tcPr>
          <w:p w14:paraId="588F4C8B" w14:textId="5592C4D1" w:rsidR="008848DB" w:rsidRDefault="00872170" w:rsidP="00422879">
            <w:r w:rsidRPr="00872170">
              <w:t>Na temelju obrađenih podataka vidljivo je da je u odnosu na prethodno izvještajno razdoblje kada se radilo o 26,9% slučajeva, u 2025. godini došlo do povećanja broja slučajeva uskrate pristupa informacijama na temelju nezakonitih odluka donesenih od strane JLP(R)S na 37,9%. Razlozi navedenom su i dalje nedostatak potrebnih stručnih kapaciteta, nedovoljno poznavanje propisa, odnosi čelnika i korisnika kada su zahtjevi potaknuti razlozima osobne prirode.</w:t>
            </w:r>
          </w:p>
        </w:tc>
      </w:tr>
    </w:tbl>
    <w:p w14:paraId="26195D06" w14:textId="01526EAB" w:rsidR="004158A8" w:rsidRPr="00F0315E" w:rsidRDefault="004158A8" w:rsidP="009032D7">
      <w:pPr>
        <w:pStyle w:val="Naslov3"/>
        <w:ind w:left="1985"/>
      </w:pPr>
      <w:bookmarkStart w:id="62" w:name="_Toc225865576"/>
      <w:r>
        <w:t>Pravosudna tijela</w:t>
      </w:r>
      <w:bookmarkEnd w:id="62"/>
    </w:p>
    <w:p w14:paraId="6B72C4DD" w14:textId="20FCF634" w:rsidR="005F1B58" w:rsidRDefault="005F1B58" w:rsidP="005F1B58">
      <w:r>
        <w:t>Povjerenik je tijekom 2025. u odnosu na zahtjeve za pristup informacijama koji su upućeni  pravosudnim tijelima zaprimio 99 žalbi, od kojih 41 zbog šutnje uprave, 40 na rješenja o odbijanju, 6 na rješenja o odbacivanju zahtjeva, 10 na rješenja o prigovoru i 2 žalbe na obavijest.</w:t>
      </w:r>
    </w:p>
    <w:p w14:paraId="2CF731F8" w14:textId="77777777" w:rsidR="005F1B58" w:rsidRDefault="005F1B58" w:rsidP="005F1B58">
      <w:r>
        <w:t>Najveći broj žalbi zaprimljenih u 2025. odnosio se na postupanje sljedećih tijela: Općinsko državno odvjetništvo u Zlataru (9), Općinsko državno odvjetništvo u Šibeniku (8), Vrhovni sud RH (8), Općinski građanski sud u Zagrebu (7), Općinski sud u Zlataru (4), Općinsko državno odvjetništvo u Splitu (4), Općinsko državno odvjetništvo u Zadru (4), Županijski sud u Osijeku (4), Županijsko državno odvjetništvo u Zagrebu (4), Općinski radni sud u Zagrebu (3), Općinsko kazneno državno odvjetništvo (3), Visoki upravni sud (3), Županijski sud u Zagrebu (3),  dok su ostala pravosudna tijela imala po jednu ili dvije žalbe.</w:t>
      </w:r>
    </w:p>
    <w:p w14:paraId="2244CF49" w14:textId="77777777" w:rsidR="005F1B58" w:rsidRDefault="005F1B58" w:rsidP="005F1B58">
      <w:r>
        <w:t>Tijekom 2025. Povjerenik je zajedno s 15 prenesenih žalbi iz prethodnog razdoblja, imao u radu ukupno 114 žalbi (pri čemu je u 1 predmetu donesen zaključak o spajanju) od kojih je riješena 91 (79,8%) žalba s obzirom da je 1 predmet spojen zaključkom.</w:t>
      </w:r>
    </w:p>
    <w:p w14:paraId="44D0F557" w14:textId="77777777" w:rsidR="005F1B58" w:rsidRDefault="005F1B58" w:rsidP="005F1B58">
      <w:r>
        <w:t>Navedene riješene žalbe odnosile su se na: 42 (46,1%) žalbe zbog šutnje uprave, 2 (2,2%) žalbe na obavijest, 8 (8,8%) žalbi na rješenja o odbacivanju zahtjeva, 28 (30,8%) žalbi na rješenja o odbijanju te 11 (12,1%) žalbi na rješenja o prigovoru.</w:t>
      </w:r>
    </w:p>
    <w:p w14:paraId="583E8416" w14:textId="1F60F1EF" w:rsidR="008848DB" w:rsidRPr="00246CB1" w:rsidRDefault="005F1B58" w:rsidP="005F1B58">
      <w:r>
        <w:t>Kada je riječ o šutnji uprave, iz obrađenih podataka vidljivo je da su 42 žalbe koje su se odnosile na šutnju uprave riješene na način da je doneseno: 21 (50%) rješenje od odbacivanju žalbe kao nedopuštene ili nepotpune ili nepravovremene, 12 (28,6%) rješenja o obustavi postupka, 3 (7,1%) rješenja o odbijanju žalbe kao neosnovane i 6 (14,3%) rješenja kojima je naloženo rješavanje zahtjeva.</w:t>
      </w:r>
    </w:p>
    <w:tbl>
      <w:tblPr>
        <w:tblStyle w:val="Reetkatablice"/>
        <w:tblW w:w="9067" w:type="dxa"/>
        <w:tblLook w:val="04A0" w:firstRow="1" w:lastRow="0" w:firstColumn="1" w:lastColumn="0" w:noHBand="0" w:noVBand="1"/>
      </w:tblPr>
      <w:tblGrid>
        <w:gridCol w:w="9067"/>
      </w:tblGrid>
      <w:tr w:rsidR="008848DB" w:rsidRPr="00246CB1" w14:paraId="432E653F" w14:textId="77777777" w:rsidTr="00422879">
        <w:tc>
          <w:tcPr>
            <w:tcW w:w="9067" w:type="dxa"/>
          </w:tcPr>
          <w:p w14:paraId="715E213F" w14:textId="1D4308E6" w:rsidR="008848DB" w:rsidRPr="00246CB1" w:rsidRDefault="0014512C" w:rsidP="00422879">
            <w:pPr>
              <w:rPr>
                <w:rFonts w:cs="Arial"/>
              </w:rPr>
            </w:pPr>
            <w:r w:rsidRPr="0014512C">
              <w:t xml:space="preserve">Iz navedenih podataka vidljivo je da je u 28,6% slučajeva šutnje uprave pravosudnih tijela samo podnošenje žalbe bilo poticaj da se riješi zahtjev. Ako se usporedi s prošlim izvještajnim razdobljem, kada je u 92,9% slučajeva šutnje uprave pravosudnih tijela (u kojima se radilo o istovrsnim postupcima), samo podnošenje žalbe bio poticaj da se riješi zahtjev razvidno je da je došlo do pada slučajeva šutnje uprave u kojima je samo podnošenje žalbe </w:t>
            </w:r>
            <w:r w:rsidRPr="0014512C">
              <w:lastRenderedPageBreak/>
              <w:t>bio poticaj da se riješi zahtjev odnosno u kojima je Povjerenik za informiranje donio rješenja o obustavi postupka.</w:t>
            </w:r>
          </w:p>
        </w:tc>
      </w:tr>
    </w:tbl>
    <w:p w14:paraId="008CF890" w14:textId="77777777" w:rsidR="00350EE9" w:rsidRDefault="00350EE9" w:rsidP="003179B8">
      <w:pPr>
        <w:spacing w:before="120"/>
      </w:pPr>
      <w:r>
        <w:lastRenderedPageBreak/>
        <w:t>Kada je riječ o odbijajućim rješenjima ili rješenjima o odbacivanju zahtjeva, te rješenjima o prigovoru riješeno je 47 žalbi na način da je u 31 (66%) predmetu žalba odbijena kao neosnovana, a u 13 (27,7%) predmeta utvrđeno da je rješenje nezakonito te je rješenje: poništeno i predmet vraćen na ponovni postupak u 5 predmeta, poništeno i omogućeno u 3 predmeta i poništeno i riješen zahtjev u 5 predmeta.  Nadalje, u 1 (2,1%) predmetu podnesak je odbačen jer se radilo o nepotpunoj žalbi, a u 2 (4,3%) predmeta rješenje je oglašeno ništavim.</w:t>
      </w:r>
    </w:p>
    <w:p w14:paraId="2625CC04" w14:textId="3B285B4B" w:rsidR="008848DB" w:rsidRPr="00214A06" w:rsidRDefault="00350EE9" w:rsidP="00350EE9">
      <w:r>
        <w:t>Dvije zaprimljene žalbe na obavijest riješene su na način da su žalbe odbačene kao nedopuštene.</w:t>
      </w:r>
    </w:p>
    <w:tbl>
      <w:tblPr>
        <w:tblStyle w:val="Reetkatablice"/>
        <w:tblW w:w="0" w:type="auto"/>
        <w:tblLook w:val="04A0" w:firstRow="1" w:lastRow="0" w:firstColumn="1" w:lastColumn="0" w:noHBand="0" w:noVBand="1"/>
      </w:tblPr>
      <w:tblGrid>
        <w:gridCol w:w="9062"/>
      </w:tblGrid>
      <w:tr w:rsidR="008848DB" w14:paraId="7A50C4B4" w14:textId="77777777" w:rsidTr="00422879">
        <w:tc>
          <w:tcPr>
            <w:tcW w:w="16721" w:type="dxa"/>
          </w:tcPr>
          <w:p w14:paraId="13107B24" w14:textId="26DF6322" w:rsidR="008848DB" w:rsidRDefault="002E334A" w:rsidP="00422879">
            <w:pPr>
              <w:rPr>
                <w:color w:val="000000" w:themeColor="text1"/>
              </w:rPr>
            </w:pPr>
            <w:r w:rsidRPr="002E334A">
              <w:rPr>
                <w:color w:val="000000" w:themeColor="text1"/>
              </w:rPr>
              <w:t>Iz obrađenih podataka proizlazi da su pravosudna tijela pravilno i zakonito riješila zahtjev u 66% slučajeva te je žalba odbijena kao neosnovana i potvrđena su prvostupanjska rješenja. U usporedbi s podacima iz prethodnog izvještajnog razdoblja došlo je do pada broja donesenih zakonitih i pravilnih odluka pravosudnih tijela (2024. - 82,8%).</w:t>
            </w:r>
          </w:p>
        </w:tc>
      </w:tr>
    </w:tbl>
    <w:p w14:paraId="414D0F90" w14:textId="35C2099F" w:rsidR="004158A8" w:rsidRPr="00F0315E" w:rsidRDefault="004158A8" w:rsidP="009032D7">
      <w:pPr>
        <w:pStyle w:val="Naslov3"/>
        <w:ind w:left="1985"/>
      </w:pPr>
      <w:bookmarkStart w:id="63" w:name="_Toc225865577"/>
      <w:r>
        <w:t>Trgovačka društva u vlasništvu RH</w:t>
      </w:r>
      <w:bookmarkEnd w:id="63"/>
    </w:p>
    <w:p w14:paraId="2283026D" w14:textId="77777777" w:rsidR="007C46E7" w:rsidRPr="007C46E7" w:rsidRDefault="007C46E7" w:rsidP="007C46E7">
      <w:pPr>
        <w:rPr>
          <w:rFonts w:cs="Arial"/>
          <w:color w:val="000000" w:themeColor="text1"/>
        </w:rPr>
      </w:pPr>
      <w:r w:rsidRPr="007C46E7">
        <w:rPr>
          <w:rFonts w:cs="Arial"/>
          <w:color w:val="000000" w:themeColor="text1"/>
        </w:rPr>
        <w:t xml:space="preserve">U odnosu na zahtjeve za pristup informacijama podnesene trgovačkim društvima u vlasništvu RH, Povjerenik je tijekom 2025. zaprimio 52 žalbe, od kojih 31 na odbijajuća rješenja te 21 zbog šutnje uprave. </w:t>
      </w:r>
    </w:p>
    <w:p w14:paraId="1700CBC5" w14:textId="77777777" w:rsidR="007C46E7" w:rsidRPr="007C46E7" w:rsidRDefault="007C46E7" w:rsidP="007C46E7">
      <w:pPr>
        <w:rPr>
          <w:rFonts w:cs="Arial"/>
          <w:color w:val="000000" w:themeColor="text1"/>
        </w:rPr>
      </w:pPr>
      <w:r w:rsidRPr="007C46E7">
        <w:rPr>
          <w:rFonts w:cs="Arial"/>
          <w:color w:val="000000" w:themeColor="text1"/>
        </w:rPr>
        <w:t>Najveći broj žalbi zaprimljenih u 2025. odnosio se na postupanje Hrvatske elektroprivrede d.d. (15), Hrvatske poštanske banke d.d. (6),  Hrvatskih cesta d.o.o. (6) i HP-Hrvatske pošte d.d. (5).</w:t>
      </w:r>
    </w:p>
    <w:p w14:paraId="1495F293" w14:textId="77777777" w:rsidR="007C46E7" w:rsidRPr="007C46E7" w:rsidRDefault="007C46E7" w:rsidP="007C46E7">
      <w:pPr>
        <w:rPr>
          <w:rFonts w:cs="Arial"/>
          <w:color w:val="000000" w:themeColor="text1"/>
        </w:rPr>
      </w:pPr>
      <w:r w:rsidRPr="007C46E7">
        <w:rPr>
          <w:rFonts w:cs="Arial"/>
          <w:color w:val="000000" w:themeColor="text1"/>
        </w:rPr>
        <w:t>Tijekom 2025. u radu je zajedno s prenesenim žalbama iz prošlog izvještajnog razdoblja bilo ukupno 60 žalbi, od kojih 37 na odbijajuća rješenja, 1 na rješenje o odbacivanju žalbe, 1 protiv rješenja o prigovoru te 21 zbog šutnje uprave.</w:t>
      </w:r>
    </w:p>
    <w:p w14:paraId="461EC325" w14:textId="5787B91C" w:rsidR="008848DB" w:rsidRDefault="007C46E7" w:rsidP="007C46E7">
      <w:pPr>
        <w:rPr>
          <w:rFonts w:cs="Arial"/>
          <w:color w:val="000000" w:themeColor="text1"/>
        </w:rPr>
      </w:pPr>
      <w:r w:rsidRPr="007C46E7">
        <w:rPr>
          <w:rFonts w:cs="Arial"/>
          <w:color w:val="000000" w:themeColor="text1"/>
        </w:rPr>
        <w:t>Povjerenik je tijekom 2025. riješio 41 (68,3%) žalbu, na način da je u pogledu 14 žalbi zbog šutnje uprave doneseno 3 (21,4%) rješenja o obustavi postupka, 3 (21,4%) rješenja kojima je naloženo rješavanje zahtjeva, 2 (14,3%) rješenja kojima je odbačen podnesak zbog nepotpunosti žalbe, 3 (21,4%) rješenja kojima je žalba odbačena kao nedopuštena, 1 (7,1%) rješenje kojim je žalba odbačena kao nepravovremena te 2 (14,3%) rješenja kojima je žalba odbijena kao neosnovana.</w:t>
      </w:r>
    </w:p>
    <w:tbl>
      <w:tblPr>
        <w:tblStyle w:val="Reetkatablice"/>
        <w:tblW w:w="9067" w:type="dxa"/>
        <w:tblLook w:val="04A0" w:firstRow="1" w:lastRow="0" w:firstColumn="1" w:lastColumn="0" w:noHBand="0" w:noVBand="1"/>
      </w:tblPr>
      <w:tblGrid>
        <w:gridCol w:w="9067"/>
      </w:tblGrid>
      <w:tr w:rsidR="008848DB" w14:paraId="6C6C8D21" w14:textId="77777777" w:rsidTr="00422879">
        <w:tc>
          <w:tcPr>
            <w:tcW w:w="9067" w:type="dxa"/>
          </w:tcPr>
          <w:p w14:paraId="25313936" w14:textId="7E189D27" w:rsidR="008848DB" w:rsidRDefault="0084156D" w:rsidP="00422879">
            <w:pPr>
              <w:rPr>
                <w:rFonts w:cs="Arial"/>
                <w:color w:val="000000" w:themeColor="text1"/>
              </w:rPr>
            </w:pPr>
            <w:r w:rsidRPr="0084156D">
              <w:rPr>
                <w:rFonts w:cs="Arial"/>
                <w:color w:val="000000" w:themeColor="text1"/>
              </w:rPr>
              <w:t>Podnošenje žalbe zbog šutnje uprave je u 21,4% slučajeva trgovačkim društvima u vlasništvu RH bilo poticaj da se riješi zahtjev, dok u 21,4% slučajeva unatoč izjavljenoj žalbi trgovačka društva u vlasništvu RH nisu riješila zahtjev te je bilo potrebno donošenje rješenja kojim je naloženo njegovo rješavanje. U preostalih 57,1% slučajeva donesena su rješenja temeljem kojih trgovačka društva u vlasništvu RH nisu trebala postupati</w:t>
            </w:r>
            <w:r w:rsidR="004F6AD8">
              <w:rPr>
                <w:rFonts w:cs="Arial"/>
                <w:color w:val="000000" w:themeColor="text1"/>
              </w:rPr>
              <w:t>,</w:t>
            </w:r>
            <w:r w:rsidR="006268A4">
              <w:rPr>
                <w:rFonts w:cs="Arial"/>
                <w:color w:val="000000" w:themeColor="text1"/>
              </w:rPr>
              <w:t xml:space="preserve"> jer se radilo</w:t>
            </w:r>
            <w:r w:rsidR="00EA1166">
              <w:rPr>
                <w:rFonts w:cs="Arial"/>
                <w:color w:val="000000" w:themeColor="text1"/>
              </w:rPr>
              <w:t xml:space="preserve"> o </w:t>
            </w:r>
            <w:r w:rsidR="00EA1166" w:rsidRPr="00EA1166">
              <w:rPr>
                <w:rFonts w:cs="Arial"/>
                <w:color w:val="000000" w:themeColor="text1"/>
              </w:rPr>
              <w:t>rješenj</w:t>
            </w:r>
            <w:r w:rsidR="00EA1166">
              <w:rPr>
                <w:rFonts w:cs="Arial"/>
                <w:color w:val="000000" w:themeColor="text1"/>
              </w:rPr>
              <w:t>im</w:t>
            </w:r>
            <w:r w:rsidR="00EA1166" w:rsidRPr="00EA1166">
              <w:rPr>
                <w:rFonts w:cs="Arial"/>
                <w:color w:val="000000" w:themeColor="text1"/>
              </w:rPr>
              <w:t xml:space="preserve">a </w:t>
            </w:r>
            <w:r w:rsidR="00EA1166">
              <w:rPr>
                <w:rFonts w:cs="Arial"/>
                <w:color w:val="000000" w:themeColor="text1"/>
              </w:rPr>
              <w:t>kojima su žalbe odbačene</w:t>
            </w:r>
            <w:r w:rsidR="005804F9">
              <w:rPr>
                <w:rFonts w:cs="Arial"/>
                <w:color w:val="000000" w:themeColor="text1"/>
              </w:rPr>
              <w:t xml:space="preserve"> kao nepotpune</w:t>
            </w:r>
            <w:r w:rsidR="00B42C8D">
              <w:rPr>
                <w:rFonts w:cs="Arial"/>
                <w:color w:val="000000" w:themeColor="text1"/>
              </w:rPr>
              <w:t>,</w:t>
            </w:r>
            <w:r w:rsidR="005804F9">
              <w:rPr>
                <w:rFonts w:cs="Arial"/>
                <w:color w:val="000000" w:themeColor="text1"/>
              </w:rPr>
              <w:t xml:space="preserve"> nedopuštene ili nepravovremene ili su odbijene kao neosnovane</w:t>
            </w:r>
            <w:r w:rsidRPr="0084156D">
              <w:rPr>
                <w:rFonts w:cs="Arial"/>
                <w:color w:val="000000" w:themeColor="text1"/>
              </w:rPr>
              <w:t>.</w:t>
            </w:r>
          </w:p>
        </w:tc>
      </w:tr>
    </w:tbl>
    <w:p w14:paraId="48CB5895" w14:textId="77777777" w:rsidR="00DA014E" w:rsidRPr="00DA014E" w:rsidRDefault="00DA014E" w:rsidP="003179B8">
      <w:pPr>
        <w:spacing w:before="120"/>
        <w:rPr>
          <w:rFonts w:cs="Arial"/>
          <w:color w:val="000000" w:themeColor="text1"/>
        </w:rPr>
      </w:pPr>
      <w:r w:rsidRPr="00DA014E">
        <w:rPr>
          <w:rFonts w:cs="Arial"/>
          <w:color w:val="000000" w:themeColor="text1"/>
        </w:rPr>
        <w:lastRenderedPageBreak/>
        <w:t>U odnosu na prethodno izvještajno razdoblje uočeno je da je u 2025. došlo do smanjenja broja donesenih rješenja o nalaganju i to s 42,9% na 21,4%.</w:t>
      </w:r>
    </w:p>
    <w:p w14:paraId="2A04FF5A" w14:textId="14E2FDED" w:rsidR="008848DB" w:rsidRDefault="00DA014E" w:rsidP="00DA014E">
      <w:pPr>
        <w:rPr>
          <w:rFonts w:cs="Arial"/>
          <w:color w:val="000000" w:themeColor="text1"/>
        </w:rPr>
      </w:pPr>
      <w:r w:rsidRPr="00DA014E">
        <w:rPr>
          <w:rFonts w:cs="Arial"/>
          <w:color w:val="000000" w:themeColor="text1"/>
        </w:rPr>
        <w:t>Kada je riječ o odbijajućim rješenjima, rješenjima o odbacivanju zahtjeva i rješenjima o žalbi protiv prigovora, riješeno je 27 žalbi na način da je u 13 (48,1%) predmeta utvrđeno da su predmetna tijela pravilno i zakonito riješila zahtjev te je žalba odbijena kao neosnovana i potvrđena su prvostupanjska rješenja, dok je u 13 (48,1%) predmeta utvrđeno da su rješenja nepravilna te su ista poništena, i to na način da je Povjerenik omogućio žalitelju pristup informaciji u devet predmeta, u četiri slučaja je predmet vratio na ponovni postupak. Također je u jednom slučaju (3,7%) donio rješenje o obustavi postupka.</w:t>
      </w:r>
    </w:p>
    <w:tbl>
      <w:tblPr>
        <w:tblStyle w:val="Reetkatablice"/>
        <w:tblW w:w="9067" w:type="dxa"/>
        <w:tblLook w:val="04A0" w:firstRow="1" w:lastRow="0" w:firstColumn="1" w:lastColumn="0" w:noHBand="0" w:noVBand="1"/>
      </w:tblPr>
      <w:tblGrid>
        <w:gridCol w:w="9067"/>
      </w:tblGrid>
      <w:tr w:rsidR="008848DB" w14:paraId="49B1A4F2" w14:textId="77777777" w:rsidTr="00422879">
        <w:tc>
          <w:tcPr>
            <w:tcW w:w="9067" w:type="dxa"/>
          </w:tcPr>
          <w:p w14:paraId="1CC4EC80" w14:textId="2371EBF6" w:rsidR="008848DB" w:rsidRDefault="004408BC" w:rsidP="00422879">
            <w:pPr>
              <w:rPr>
                <w:rFonts w:cs="Arial"/>
                <w:color w:val="000000" w:themeColor="text1"/>
              </w:rPr>
            </w:pPr>
            <w:r w:rsidRPr="004408BC">
              <w:rPr>
                <w:rFonts w:cs="Arial"/>
                <w:color w:val="000000" w:themeColor="text1"/>
              </w:rPr>
              <w:t>U usporedbi s 2024. godinom vidljivo je da je u 2025. godini (48,1%) zabilježen niži postotak nepravilnih odluka trgovačkih društava u vlasništvu RH (2024. - 64,29%), što upućuje na zaključak da je došlo do poboljšanja u postupanju tih tijela javne vlasti.</w:t>
            </w:r>
          </w:p>
        </w:tc>
      </w:tr>
    </w:tbl>
    <w:p w14:paraId="7B94077D" w14:textId="7DCF1DEE" w:rsidR="006C6B6C" w:rsidRDefault="000D3FEE" w:rsidP="003179B8">
      <w:pPr>
        <w:spacing w:before="120"/>
        <w:rPr>
          <w:rFonts w:eastAsia="Times New Roman" w:cs="Times New Roman"/>
          <w:sz w:val="23"/>
          <w:szCs w:val="23"/>
        </w:rPr>
      </w:pPr>
      <w:r w:rsidRPr="000D3FEE">
        <w:rPr>
          <w:rFonts w:eastAsia="Times New Roman" w:cs="Times New Roman"/>
          <w:color w:val="000000" w:themeColor="text1"/>
        </w:rPr>
        <w:t>Informacije koje su se tražile od trgovačkih društava u vlasništvu RH odnosile su se, primjerice, na: ugovor o radu, elektroenergetsku suglasnost, podatke o osobi koja je vršila očitanje brojila, dokumentaciju projekta, plaćanje računa, podatke o odvjetnicima,  isplaćene naknade temeljem ugovora o djelu, isplaćeni putni troškovi i drugo.</w:t>
      </w:r>
    </w:p>
    <w:p w14:paraId="3B3B9996" w14:textId="726CA409" w:rsidR="004158A8" w:rsidRPr="00F0315E" w:rsidRDefault="004158A8" w:rsidP="009032D7">
      <w:pPr>
        <w:pStyle w:val="Naslov3"/>
        <w:ind w:left="1985"/>
      </w:pPr>
      <w:bookmarkStart w:id="64" w:name="_Toc225865578"/>
      <w:r>
        <w:t>Trgovačka društva u vlasništvu JLP(R)S</w:t>
      </w:r>
      <w:bookmarkEnd w:id="64"/>
      <w:r>
        <w:t xml:space="preserve"> </w:t>
      </w:r>
    </w:p>
    <w:p w14:paraId="421B4B21" w14:textId="77777777" w:rsidR="00FA016D" w:rsidRPr="00FA016D" w:rsidRDefault="00FA016D" w:rsidP="00FA016D">
      <w:pPr>
        <w:rPr>
          <w:rFonts w:cs="Arial"/>
          <w:color w:val="000000" w:themeColor="text1"/>
        </w:rPr>
      </w:pPr>
      <w:r w:rsidRPr="00FA016D">
        <w:rPr>
          <w:rFonts w:cs="Arial"/>
          <w:color w:val="000000" w:themeColor="text1"/>
        </w:rPr>
        <w:t>Tijekom 2025. Povjerenik je u odnosu na zahtjeve za pristup informacijama podnesene trgovačkim društvima u vlasništvu JLP(R)S zaprimio 73 žalbe, od kojih 29 na odbijajuća rješenja, 7 na rješenja o odbacivanju zahtjeva, 1 protiv rješenja o odbacivanju žalbe, 7 protiv rješenja o prigovoru i 29 zbog šutnje uprave.</w:t>
      </w:r>
    </w:p>
    <w:p w14:paraId="2C1DF6D3" w14:textId="77777777" w:rsidR="00FA016D" w:rsidRPr="00FA016D" w:rsidRDefault="00FA016D" w:rsidP="00FA016D">
      <w:pPr>
        <w:rPr>
          <w:rFonts w:cs="Arial"/>
          <w:color w:val="000000" w:themeColor="text1"/>
        </w:rPr>
      </w:pPr>
      <w:r w:rsidRPr="00FA016D">
        <w:rPr>
          <w:rFonts w:cs="Arial"/>
          <w:color w:val="000000" w:themeColor="text1"/>
        </w:rPr>
        <w:t>Najveći broj žalbi zaprimljenih u 2025. odnosio se na postupanje sljedećih tijela: ZET - Zagrebački električni tramvaj d.o.o. (9), Zagrebački velesajam d.o.o. (4), IZVOR ORAH D.O.O. (3), UNIKOM d.o.o. za komunalno gospodarstvo (3), Vodoopskrba i odvodnja d.o.o. iz Zagreba (3).</w:t>
      </w:r>
    </w:p>
    <w:p w14:paraId="1492BB38" w14:textId="77777777" w:rsidR="00FA016D" w:rsidRPr="00FA016D" w:rsidRDefault="00FA016D" w:rsidP="00FA016D">
      <w:pPr>
        <w:rPr>
          <w:rFonts w:cs="Arial"/>
          <w:color w:val="000000" w:themeColor="text1"/>
        </w:rPr>
      </w:pPr>
      <w:r w:rsidRPr="00FA016D">
        <w:rPr>
          <w:rFonts w:cs="Arial"/>
          <w:color w:val="000000" w:themeColor="text1"/>
        </w:rPr>
        <w:t>Tijekom 2025. u radu je zajedno s prenesenim žalbama iz prethodnog izvještajnog razdoblja bilo ukupno 85  žalbi (pri čemu su  četiri predmeta koji su zaključkom spojeni), od kojih je riješeno 65 (80,2%), odnosno 69 s obzirom da su  četiri predmeta zaključkom spojeni.</w:t>
      </w:r>
    </w:p>
    <w:p w14:paraId="026FD0BF" w14:textId="5C252085" w:rsidR="008848DB" w:rsidRPr="00E30897" w:rsidRDefault="00FA016D" w:rsidP="00FA016D">
      <w:pPr>
        <w:rPr>
          <w:rFonts w:cs="Arial"/>
          <w:color w:val="000000" w:themeColor="text1"/>
        </w:rPr>
      </w:pPr>
      <w:r w:rsidRPr="00FA016D">
        <w:rPr>
          <w:rFonts w:cs="Arial"/>
          <w:color w:val="000000" w:themeColor="text1"/>
        </w:rPr>
        <w:t xml:space="preserve">U pogledu 24 žalbe koje su se odnosile na šutnju uprave doneseno je pet (20,8%) rješenja o odbacivanju žalbe kao nedopuštene ili nepotpune, 12 (50%) rješenja o obustavi postupka, jedno (4,2%) odbijajuće rješenje te šest (25%) rješenja kojima je naloženo rješavanje zahtjeva. </w:t>
      </w:r>
      <w:r w:rsidR="008848DB" w:rsidRPr="00E30897">
        <w:rPr>
          <w:rFonts w:cs="Arial"/>
          <w:color w:val="000000" w:themeColor="text1"/>
        </w:rPr>
        <w:t xml:space="preserve"> </w:t>
      </w:r>
    </w:p>
    <w:tbl>
      <w:tblPr>
        <w:tblStyle w:val="Reetkatablice"/>
        <w:tblW w:w="0" w:type="auto"/>
        <w:tblLook w:val="04A0" w:firstRow="1" w:lastRow="0" w:firstColumn="1" w:lastColumn="0" w:noHBand="0" w:noVBand="1"/>
      </w:tblPr>
      <w:tblGrid>
        <w:gridCol w:w="9062"/>
      </w:tblGrid>
      <w:tr w:rsidR="008848DB" w14:paraId="41EDA781" w14:textId="77777777" w:rsidTr="00422879">
        <w:tc>
          <w:tcPr>
            <w:tcW w:w="16721" w:type="dxa"/>
          </w:tcPr>
          <w:p w14:paraId="16A7E44A" w14:textId="7D3A02D0" w:rsidR="008848DB" w:rsidRDefault="00F00162" w:rsidP="00422879">
            <w:pPr>
              <w:rPr>
                <w:rFonts w:cs="Arial"/>
                <w:color w:val="000000" w:themeColor="text1"/>
              </w:rPr>
            </w:pPr>
            <w:r w:rsidRPr="00F00162">
              <w:rPr>
                <w:rFonts w:cs="Arial"/>
                <w:color w:val="000000" w:themeColor="text1"/>
              </w:rPr>
              <w:t>Na temelju obrađenih podataka vidljivo je da je podnošenje žalbe u odnosu na postupanja trgovačkih društava u vlasništvu JLP(R)S u 50% slučajeva šutnje uprave bilo poticaj da se riješi zahtjev, dok je u 25% slučajeva šutnje uprave bilo potrebno donošenje rješenja kojim je naloženo rješavanje zahtjeva. U odnosu na 2024. vidljivo je da je došlo do blagog povećanja broja slučajeva u kojima je bilo potrebno donošenje rješenja kojim se nalaže rješavanje zahtjeva u 2025. godini (25%) u odnosu na 2024. godinu (22,6%),  što upućuje na potrebu daljnjeg unaprjeđenja pravodobnosti i učinkovitosti postupanja tijela javne vlasti.</w:t>
            </w:r>
          </w:p>
        </w:tc>
      </w:tr>
    </w:tbl>
    <w:p w14:paraId="0AF4BE12" w14:textId="64835F08" w:rsidR="008848DB" w:rsidRPr="00E30897" w:rsidRDefault="000E0C21" w:rsidP="003179B8">
      <w:pPr>
        <w:spacing w:before="120"/>
        <w:rPr>
          <w:rFonts w:cs="Arial"/>
          <w:color w:val="000000" w:themeColor="text1"/>
        </w:rPr>
      </w:pPr>
      <w:r w:rsidRPr="000E0C21">
        <w:rPr>
          <w:rFonts w:cs="Arial"/>
          <w:color w:val="000000" w:themeColor="text1"/>
        </w:rPr>
        <w:lastRenderedPageBreak/>
        <w:t>Kada se radi o žalbama na rješenja predmetnih tijela, tijekom 2025. je riješeno 41 odnosno 45 žalbi s obzirom da su  četiri predmeta zaključkom spojeni, na način da je u 13 (31,7%) predmeta utvrđeno da su tijela pravilno i zakonito riješila zahtjev te je žalba odbijena kao neosnovana i potvrđeno prvostupanjsko rješenje, dok je u 25 (60,9%) predmeta utvrđeno da su rješenja nepravilna te su ista poništena, i to na način da je Povjerenik omogućio žalitelju pristup informaciji u pet predmeta, u 17 predmeta Povjerenik je poništio rješenja i vratio predmet na ponovni postupak, a u tri predmeta Povjerenik je poništio rješenje i riješio zahtjev. Nadalje, u dva predmeta žalba je odbačena kao nedopuštena ili nepravovremena (4,8%), a u jednom predmetu prvostupanjsko tijelo je samo riješilo žalbu po članku 113. ZUP-a (2,4%).</w:t>
      </w:r>
    </w:p>
    <w:tbl>
      <w:tblPr>
        <w:tblStyle w:val="Reetkatablice"/>
        <w:tblW w:w="9067" w:type="dxa"/>
        <w:tblLook w:val="04A0" w:firstRow="1" w:lastRow="0" w:firstColumn="1" w:lastColumn="0" w:noHBand="0" w:noVBand="1"/>
      </w:tblPr>
      <w:tblGrid>
        <w:gridCol w:w="9067"/>
      </w:tblGrid>
      <w:tr w:rsidR="008848DB" w14:paraId="44B46D13" w14:textId="77777777" w:rsidTr="00422879">
        <w:tc>
          <w:tcPr>
            <w:tcW w:w="9067" w:type="dxa"/>
          </w:tcPr>
          <w:p w14:paraId="6A2C6891" w14:textId="327F54A5" w:rsidR="008848DB" w:rsidRDefault="007E2957" w:rsidP="00422879">
            <w:pPr>
              <w:rPr>
                <w:rFonts w:cs="Arial"/>
                <w:color w:val="000000" w:themeColor="text1"/>
              </w:rPr>
            </w:pPr>
            <w:r w:rsidRPr="007E2957">
              <w:rPr>
                <w:rFonts w:cs="Arial"/>
                <w:color w:val="000000" w:themeColor="text1"/>
              </w:rPr>
              <w:t>Kod trgovačkih društava u vlasništvu JLP(R)S je u 2025. došlo do smanjenja broja slučajeva u kojima je pravilno i zakonito riješen zahtjev (tijekom 2024. su u 53,3% slučajeva pravilno i zakonito riješila zahtjev, a u 2025. u 31,7% slučajeva). Slijedom navedenog, došlo je do povećanja broja poništenih odluka s 35,6% slučajeva u 2024. na 60,9% u 2025. što ukazuje na potrebu dosljednije primjene ZPPI-ja te unaprjeđenja zakonitosti i pravilnosti u rješavanju zahtjeva za pristup informacijama.</w:t>
            </w:r>
          </w:p>
        </w:tc>
      </w:tr>
    </w:tbl>
    <w:p w14:paraId="3D040E5A" w14:textId="689B8D6B" w:rsidR="008848DB" w:rsidRPr="00F0315E" w:rsidRDefault="003179B8" w:rsidP="003179B8">
      <w:pPr>
        <w:spacing w:before="120"/>
        <w:rPr>
          <w:rFonts w:cs="Arial"/>
        </w:rPr>
      </w:pPr>
      <w:r w:rsidRPr="003179B8">
        <w:rPr>
          <w:rFonts w:cs="Arial"/>
          <w:color w:val="000000" w:themeColor="text1"/>
        </w:rPr>
        <w:t>Informacije koje su se tražile od trgovačkih društava u vlasništvu JLP(R)S odnosile su se, primjerice, na: isplate temeljem ugovora o djelu, ugovore o radu, zapisnike sa sjednica, cjenik usluga, uvid u natječajnu dokumentaciju, obračunske liste, knjigovodstvene kartice, izgradnju i priključenje na vodovodnu mrežu, ugovore o kupnji tramvaja i autobusa, presliku projektne dokumentacije i drugo.</w:t>
      </w:r>
    </w:p>
    <w:p w14:paraId="62622F70" w14:textId="177F1DE3" w:rsidR="004158A8" w:rsidRPr="00F0315E" w:rsidRDefault="004158A8" w:rsidP="009032D7">
      <w:pPr>
        <w:pStyle w:val="Naslov3"/>
        <w:ind w:left="1985"/>
      </w:pPr>
      <w:bookmarkStart w:id="65" w:name="_Toc225865579"/>
      <w:r>
        <w:t>Tijela javne vlasti - agencije, zavodi, fondovi, centri</w:t>
      </w:r>
      <w:bookmarkEnd w:id="65"/>
    </w:p>
    <w:p w14:paraId="544161FB" w14:textId="77777777" w:rsidR="00433A34" w:rsidRPr="00433A34" w:rsidRDefault="00433A34" w:rsidP="00433A34">
      <w:pPr>
        <w:rPr>
          <w:rFonts w:cs="Arial"/>
          <w:color w:val="000000" w:themeColor="text1"/>
        </w:rPr>
      </w:pPr>
      <w:bookmarkStart w:id="66" w:name="_Toc131070567"/>
      <w:r w:rsidRPr="00433A34">
        <w:rPr>
          <w:rFonts w:cs="Arial"/>
          <w:color w:val="000000" w:themeColor="text1"/>
        </w:rPr>
        <w:t>Tijekom 2025. u odnosu na zahtjeve za pristup informacijama upućene tijelima javne vlasti skupine agencije, zavodi, fondovi ili centri, Povjerenik je zaprimio 80 žalbi, od kojih 51 zbog šutnje uprave, 15 na odbijajuća rješenja, 10 na rješenja o odbacivanju zahtjeva, jedna na odbacivanje žalbe te tri protiv rješenja o prigovoru.</w:t>
      </w:r>
    </w:p>
    <w:p w14:paraId="6B58BB37" w14:textId="77777777" w:rsidR="00433A34" w:rsidRPr="00433A34" w:rsidRDefault="00433A34" w:rsidP="00433A34">
      <w:pPr>
        <w:rPr>
          <w:rFonts w:cs="Arial"/>
          <w:color w:val="000000" w:themeColor="text1"/>
        </w:rPr>
      </w:pPr>
      <w:r w:rsidRPr="00433A34">
        <w:rPr>
          <w:rFonts w:cs="Arial"/>
          <w:color w:val="000000" w:themeColor="text1"/>
        </w:rPr>
        <w:t>Najviše žalbi tijekom 2025. kod ove skupine tijela javne vlasti zaprimili su: Agencija za odgoj i obrazovanje (23), Hrvatski zavod za zdravstveno osiguranje (9), Hrvatski zavod za zapošljavanje (6), Zavod za vještačenje, profesionalnu rehabilitaciju i zapošljavanje osoba s invaliditetom (5), Agencija za plaćanja u poljoprivredi, ribarstvu i ruralnom razvoju (4), Agencija za pravni promet i posredovanje nekretninama (4), Hrvatska akademska istraživačka mreža (4), Hrvatski zavod za mirovinsko osiguranje (4), Nacionalni centar za vanjsko vrednovanje obrazovanja (4).</w:t>
      </w:r>
    </w:p>
    <w:p w14:paraId="46130F70" w14:textId="77777777" w:rsidR="00433A34" w:rsidRPr="00433A34" w:rsidRDefault="00433A34" w:rsidP="00433A34">
      <w:pPr>
        <w:rPr>
          <w:rFonts w:cs="Arial"/>
          <w:color w:val="000000" w:themeColor="text1"/>
        </w:rPr>
      </w:pPr>
      <w:r w:rsidRPr="00433A34">
        <w:rPr>
          <w:rFonts w:cs="Arial"/>
          <w:color w:val="000000" w:themeColor="text1"/>
        </w:rPr>
        <w:t xml:space="preserve">Povjerenik je tijekom 2025. u radu zajedno s prenesenim žalbama iz prethodnog izvještajnog razdoblja imao  ukupno 93 žalbe koja su se odnosile na ove kategorije tijela. Od toga je riješena 81 žalba (87,1%), od kojih se njih 50 (61,7%) odnosilo na šutnju uprave. </w:t>
      </w:r>
    </w:p>
    <w:p w14:paraId="2D33CAF2" w14:textId="6444093D" w:rsidR="008848DB" w:rsidRDefault="00433A34" w:rsidP="00433A34">
      <w:pPr>
        <w:rPr>
          <w:rFonts w:cs="Arial"/>
          <w:color w:val="000000" w:themeColor="text1"/>
        </w:rPr>
      </w:pPr>
      <w:r w:rsidRPr="00433A34">
        <w:rPr>
          <w:rFonts w:cs="Arial"/>
          <w:color w:val="000000" w:themeColor="text1"/>
        </w:rPr>
        <w:t>Žalbe koje su se odnosile na šutnju uprave su riješene na način da je u 20 (40%) predmeta podnesak odbačen jer se radilo o nepotpunoj, nepravovremenoj ili nedopuštenoj žalbi, u 12 (24%) predmeta je Povjerenik naložio rješavanje zahtjeva,  u 14 (28%) predmeta zahtjev je u međuvremenu riješen pa je postupak obustavljen, a u četiri (8%) predmeta žalba je odbijena kao neosnovana.</w:t>
      </w:r>
    </w:p>
    <w:tbl>
      <w:tblPr>
        <w:tblStyle w:val="Reetkatablice"/>
        <w:tblW w:w="0" w:type="auto"/>
        <w:tblLook w:val="04A0" w:firstRow="1" w:lastRow="0" w:firstColumn="1" w:lastColumn="0" w:noHBand="0" w:noVBand="1"/>
      </w:tblPr>
      <w:tblGrid>
        <w:gridCol w:w="9062"/>
      </w:tblGrid>
      <w:tr w:rsidR="008848DB" w14:paraId="34B670D3" w14:textId="77777777" w:rsidTr="003B31B4">
        <w:tc>
          <w:tcPr>
            <w:tcW w:w="9062" w:type="dxa"/>
          </w:tcPr>
          <w:p w14:paraId="36FD7676" w14:textId="588D0A12" w:rsidR="008848DB" w:rsidRDefault="00976DDF" w:rsidP="00422879">
            <w:pPr>
              <w:rPr>
                <w:rFonts w:cs="Arial"/>
                <w:color w:val="000000" w:themeColor="text1"/>
              </w:rPr>
            </w:pPr>
            <w:r w:rsidRPr="00976DDF">
              <w:rPr>
                <w:rFonts w:cs="Arial"/>
                <w:color w:val="000000" w:themeColor="text1"/>
              </w:rPr>
              <w:lastRenderedPageBreak/>
              <w:t>Iz navedenoga proizlazi da je u odnosu na postupanja tijela javne vlasti iz skupine agencije, zavodi, fondovi ili centri u 28% slučajeva šutnje uprave podnošenje žalbe bilo poticaj da se riješi zahtjev, dok u 24% slučajeva, usprkos izjavljivanju žalbe Povjereniku, tijela nisu riješila zahtjev te je bilo potrebno donošenje rješenja kojim se nalaže rješavanje zahtjeva.</w:t>
            </w:r>
          </w:p>
        </w:tc>
      </w:tr>
    </w:tbl>
    <w:p w14:paraId="340BA93A" w14:textId="19330F48" w:rsidR="008848DB" w:rsidRPr="00E30897" w:rsidRDefault="003B31B4" w:rsidP="003B31B4">
      <w:pPr>
        <w:spacing w:before="120"/>
        <w:rPr>
          <w:rFonts w:cs="Arial"/>
          <w:color w:val="000000" w:themeColor="text1"/>
        </w:rPr>
      </w:pPr>
      <w:r w:rsidRPr="003B31B4">
        <w:rPr>
          <w:rFonts w:cs="Arial"/>
          <w:color w:val="000000" w:themeColor="text1"/>
        </w:rPr>
        <w:t>Kada je riječ o žalbama na rješenja predmetnih tijela, riješena je 31 (38,2%) žalba na način da je utvrđeno da su tijela pravilno i zakonito riješila u 15 (48,3%) predmeta, dok je u 14 (45,1%) predmeta utvrđeno da su rješenja nepravilna te su ista riješena na način da je Povjerenik poništio rješenje i omogućio pristup informaciji u šest predmeta, poništio rješenje i vratio predmet na ponovni postupak u šest predmeta, dok je u dva predmeta poništio rješenje i riješio zahtjev. Nadalje, Povjerenik je žalbu odbacio kao nepravovremenu ili nedopuštenu u dva predmeta (6,4%).</w:t>
      </w:r>
    </w:p>
    <w:tbl>
      <w:tblPr>
        <w:tblStyle w:val="Reetkatablice"/>
        <w:tblW w:w="9067" w:type="dxa"/>
        <w:tblLook w:val="04A0" w:firstRow="1" w:lastRow="0" w:firstColumn="1" w:lastColumn="0" w:noHBand="0" w:noVBand="1"/>
      </w:tblPr>
      <w:tblGrid>
        <w:gridCol w:w="9067"/>
      </w:tblGrid>
      <w:tr w:rsidR="008848DB" w14:paraId="34828E48" w14:textId="77777777" w:rsidTr="00422879">
        <w:tc>
          <w:tcPr>
            <w:tcW w:w="9067" w:type="dxa"/>
          </w:tcPr>
          <w:p w14:paraId="3E67F082" w14:textId="4C402784" w:rsidR="008848DB" w:rsidRDefault="00BB0404" w:rsidP="00422879">
            <w:pPr>
              <w:rPr>
                <w:rFonts w:cs="Arial"/>
                <w:color w:val="000000" w:themeColor="text1"/>
              </w:rPr>
            </w:pPr>
            <w:r w:rsidRPr="00BB0404">
              <w:rPr>
                <w:rFonts w:cs="Arial"/>
                <w:color w:val="000000" w:themeColor="text1"/>
              </w:rPr>
              <w:t>Iz obrađenih podataka proizlazi da odluke tijela javne vlasti skupine agencije, zavodi, fondovi ili centri u 45,1% slučajeva nisu u skladu s odredbama ZPPI-ja. Kada se usporede podaci iz prethodnog izvještajnog razdoblja, vidljivo je da je taj postotak u 2025. (45,1%) manji nego u 2024. (56%) iz čega proizlazi da je u promatranom razdoblju zabilježeno poboljšanje u postupanju ove skupine tijela javne vlasti, odnosno da je postotak odluka koje nisu u skladu s odredbama ZPPI-ja smanjen. Navedeno upućuje na relativni napredak u usklađenosti postupanja s odredbama ZPPI-ja ali i dalje postoji potreba za daljnjim unapređenjem rada.</w:t>
            </w:r>
          </w:p>
        </w:tc>
      </w:tr>
    </w:tbl>
    <w:p w14:paraId="41D7C2A2" w14:textId="0323C9FB" w:rsidR="004158A8" w:rsidRPr="00BB23CE" w:rsidRDefault="005115C9" w:rsidP="009032D7">
      <w:pPr>
        <w:pStyle w:val="Naslov3"/>
        <w:ind w:left="1985"/>
      </w:pPr>
      <w:bookmarkStart w:id="67" w:name="_Toc225865580"/>
      <w:r>
        <w:t>Nepravilno</w:t>
      </w:r>
      <w:r w:rsidR="004158A8">
        <w:t xml:space="preserve"> postupanje i šutnja uprave po kategorijama tijela javne vlasti - objedinjeni podaci</w:t>
      </w:r>
      <w:bookmarkEnd w:id="66"/>
      <w:bookmarkEnd w:id="67"/>
    </w:p>
    <w:p w14:paraId="3F7D70BA" w14:textId="77777777" w:rsidR="003971B2" w:rsidRDefault="003971B2" w:rsidP="003971B2">
      <w:r>
        <w:t>Nakon prethodne obrade podataka o odlukama o žalbama po pojedinim kategorijama tijela javne vlasti (državna tijela, tijela države uprave, JLP(R)S, pravosudna tijela, trgovačka društva u vlasništvu RH i JLP(R)S, agencije, zavodi, fondovi i centri) donesenih u žalbenim postupcima vezano za zahtjeve za pristup informacijama, u nastavku se analiziraju objedinjeni podaci za ta tijela javne vlasti.</w:t>
      </w:r>
    </w:p>
    <w:p w14:paraId="4A5A57E0" w14:textId="77777777" w:rsidR="003971B2" w:rsidRDefault="003971B2" w:rsidP="003971B2">
      <w:r>
        <w:t>U žalbenim predmetima šutnje uprave kao temeljni pokazatelj ocjene nepravilnosti postupanja tijela javne vlasti uzet je podatak o broju rješenja u kojima je Povjerenik naložio tijelima da riješe zahtjev. Sukladno odredbama ZUP-a, Povjerenik nakon zaprimanja žalbe zbog šutnje uprave traži od tijela javne vlasti obavijest o razlozima za nerješavanje zahtjeva te jedan dio tijela javne vlasti u međuvremenu riješi zahtjev. U žalbenim predmetima u kojima Povjerenik donosi rješenje o nalaganju to ukazuje na daljnju nespremnost tijela javne vlasti da riješe zahtjev, iako su od dostave obavijesti Povjerenika o izjavljenoj žalbi mogli riješiti zahtjev.</w:t>
      </w:r>
    </w:p>
    <w:p w14:paraId="0566C135" w14:textId="06EA1115" w:rsidR="00AA324B" w:rsidRDefault="003971B2" w:rsidP="003971B2">
      <w:r>
        <w:t>Za ocjenu nepravilnosti postupanja tijela javne vlasti u žalbenim predmetima u kojima su tijela javne vlasti rješavala o zahtjevu, kao temeljni pokazatelj uzet je podatak o broju poništenih odluka od strane Povjerenika u predmetima u kojima su tijela donijela rješenja o odbijanju ili odbacivanju zahtjeva za pristup informacijama.</w:t>
      </w:r>
      <w:r w:rsidR="00AA324B" w:rsidRPr="00EE0F9F">
        <w:t xml:space="preserve"> </w:t>
      </w:r>
    </w:p>
    <w:p w14:paraId="62A25511" w14:textId="77777777" w:rsidR="0052400E" w:rsidRDefault="0052400E" w:rsidP="003971B2"/>
    <w:p w14:paraId="6F07AA39" w14:textId="77777777" w:rsidR="0052400E" w:rsidRDefault="0052400E" w:rsidP="003971B2"/>
    <w:tbl>
      <w:tblPr>
        <w:tblStyle w:val="Reetkatablice"/>
        <w:tblW w:w="0" w:type="auto"/>
        <w:tblLook w:val="04A0" w:firstRow="1" w:lastRow="0" w:firstColumn="1" w:lastColumn="0" w:noHBand="0" w:noVBand="1"/>
      </w:tblPr>
      <w:tblGrid>
        <w:gridCol w:w="9062"/>
      </w:tblGrid>
      <w:tr w:rsidR="00AA324B" w14:paraId="0D398E7D" w14:textId="77777777" w:rsidTr="00D43648">
        <w:tc>
          <w:tcPr>
            <w:tcW w:w="9062" w:type="dxa"/>
          </w:tcPr>
          <w:p w14:paraId="4257473B" w14:textId="77777777" w:rsidR="007039CB" w:rsidRPr="007039CB" w:rsidRDefault="007039CB" w:rsidP="007039CB">
            <w:pPr>
              <w:rPr>
                <w:rFonts w:cs="Arial"/>
              </w:rPr>
            </w:pPr>
            <w:r w:rsidRPr="007039CB">
              <w:rPr>
                <w:rFonts w:cs="Arial"/>
              </w:rPr>
              <w:lastRenderedPageBreak/>
              <w:t>Obrađeni podaci koji se odnose na predmete u kojima su izjavljene žalbe zbog šutnje uprave tijekom 2025. pokazuju da kod JLP(R)S samo izjavljivanje žalbe Povjereniku nije bilo dovoljan poticaj da se žalba riješi te je bilo potrebno donošenje rješenja o nalaganju rješavanja zahtjeva (34,3%). Nakon njih slijede trgovačka društva u vlasništvu JLP(R)S (25%), agencije, zavodi, fondovi i centri (24%), trgovačka društava u vlasništvu RH (21,4%), tijela državne uprave (20,7%), pravosudna tijela (14,3%) i državna tijela (5,3%).</w:t>
            </w:r>
          </w:p>
          <w:p w14:paraId="16FD4480" w14:textId="29547AC7" w:rsidR="00AA324B" w:rsidRDefault="007039CB" w:rsidP="007039CB">
            <w:pPr>
              <w:rPr>
                <w:rFonts w:cs="Arial"/>
              </w:rPr>
            </w:pPr>
            <w:r w:rsidRPr="007039CB">
              <w:rPr>
                <w:rFonts w:cs="Arial"/>
              </w:rPr>
              <w:t>Analizom tijela koja najčešće donose nepravilna rješenja uočeno je da su tijekom 2025. najveći broj nepravilnih odluka donijela trgovačka društva u vlasništvu JLP(R)S (60,9%). Nakon njih slijede trgovačka društva u vlasništvu RH (48,1%), agencije, zavodi, fondovi i centri (45,1%), JLP(R)S  (37,9%), državna tijela (33,3%), pravosudna tijela (27,7%), a najmanje poništenih rješenja su imala tijela državne uprave  (18,8%).</w:t>
            </w:r>
          </w:p>
        </w:tc>
      </w:tr>
    </w:tbl>
    <w:p w14:paraId="6EFEBD2E" w14:textId="77777777" w:rsidR="00296064" w:rsidRPr="00296064" w:rsidRDefault="00296064" w:rsidP="00296064">
      <w:pPr>
        <w:spacing w:before="120"/>
        <w:rPr>
          <w:rFonts w:cs="Arial"/>
        </w:rPr>
      </w:pPr>
      <w:r w:rsidRPr="00296064">
        <w:rPr>
          <w:rFonts w:cs="Arial"/>
        </w:rPr>
        <w:t xml:space="preserve">Analizirani podaci pokazuju da je u odnosu na prethodno izvještajno razdoblje kod državnih tijela došlo do neznatnog povećanja poništenih odluka (s 31,3% u 2024. na 33,3% u 2025.) te da je u predmetima šutnje uprave došlo do povećanja broja rješenja o nalaganju i to u 2024. kada nije bilo doneseno niti jedno rješenje o nalaganju na 5,3% u 2025. </w:t>
      </w:r>
    </w:p>
    <w:p w14:paraId="3DAC8C57" w14:textId="77777777" w:rsidR="00296064" w:rsidRPr="00296064" w:rsidRDefault="00296064" w:rsidP="00296064">
      <w:pPr>
        <w:rPr>
          <w:rFonts w:cs="Arial"/>
        </w:rPr>
      </w:pPr>
      <w:r w:rsidRPr="00296064">
        <w:rPr>
          <w:rFonts w:cs="Arial"/>
        </w:rPr>
        <w:t xml:space="preserve">Kod tijela državne uprave je u odnosu na 2024. došlo do smanjenja broja poništenih odluka kada je riječ o rješenjima o odbijanju ili odbacivanju, te se broj s 46,5% slučajeva smanjio na 18,8% u 2025., a u predmetima šutnje uprave je došlo malog smanjivanja broja rješenja o nalaganju i to s 21,1% u 2024. na 20,7% u 2025. </w:t>
      </w:r>
    </w:p>
    <w:p w14:paraId="1F90BE8C" w14:textId="77777777" w:rsidR="00296064" w:rsidRPr="00296064" w:rsidRDefault="00296064" w:rsidP="00296064">
      <w:pPr>
        <w:rPr>
          <w:rFonts w:cs="Arial"/>
        </w:rPr>
      </w:pPr>
      <w:r w:rsidRPr="00296064">
        <w:rPr>
          <w:rFonts w:cs="Arial"/>
        </w:rPr>
        <w:t>Analizirani podaci pokazuju da je kod JLP(R)S u odnosu na prethodno izvještajno razdoblje došlo do povećanje broja poništenih rješenja s 29,5% na 37,9% u 2025., a također i do povećanja broja donesenih rješenja o nalaganju s 25,8% na 34,3% u 2025.</w:t>
      </w:r>
    </w:p>
    <w:p w14:paraId="0EEACBA4" w14:textId="77777777" w:rsidR="00296064" w:rsidRPr="00296064" w:rsidRDefault="00296064" w:rsidP="00296064">
      <w:pPr>
        <w:rPr>
          <w:rFonts w:cs="Arial"/>
        </w:rPr>
      </w:pPr>
      <w:r w:rsidRPr="00296064">
        <w:rPr>
          <w:rFonts w:cs="Arial"/>
        </w:rPr>
        <w:t>Kad je riječ o postupanju pravosudnih tijela, obrađeni podaci pokazuju da je došlo do povećanja broja poništenih rješenja u usporedbi s 2024. kada su imali 3,6% poništenih oduka u odnosu na 2025. kada ih je poništeno 27,7%. Također je došlo do povećanje broja donesenih rješenja u nalaganju s 4,8% u 2024. na 14,3% u 2025.</w:t>
      </w:r>
    </w:p>
    <w:p w14:paraId="609310B1" w14:textId="77777777" w:rsidR="00296064" w:rsidRPr="00296064" w:rsidRDefault="00296064" w:rsidP="00296064">
      <w:pPr>
        <w:rPr>
          <w:rFonts w:cs="Arial"/>
        </w:rPr>
      </w:pPr>
      <w:r w:rsidRPr="00296064">
        <w:rPr>
          <w:rFonts w:cs="Arial"/>
        </w:rPr>
        <w:t>Obrađeni podaci pokazuju da je kod trgovačkih društava u vlasništvu RH došlo do smanjenja broja poništenih rješenja u 2025. na 48,1% u usporedbi s 2024. kada ih je poništeno 64,3%,  te je i u odnosu na šutnju uprave došlo do smanjenja broja rješenja o nalaganju i to s 42,9% u 2024. na 21,4% u 2025.</w:t>
      </w:r>
    </w:p>
    <w:p w14:paraId="04F44666" w14:textId="77777777" w:rsidR="00296064" w:rsidRPr="00296064" w:rsidRDefault="00296064" w:rsidP="00296064">
      <w:pPr>
        <w:rPr>
          <w:rFonts w:cs="Arial"/>
        </w:rPr>
      </w:pPr>
      <w:r w:rsidRPr="00296064">
        <w:rPr>
          <w:rFonts w:cs="Arial"/>
        </w:rPr>
        <w:t>Kod trgovačkih društava u vlasništvu JLP(R)S tijekom 2024. je došlo do povećanje broja poništenih rješenja gdje se broj poništenih rješenja s 22,6% u 2024. povećao na 60,9% u 2025., a u predmetima šutnje uprave je došlo do smanjenja broja rješenja o nalaganju i to s 35,6% u 2024. na 25% u 2025.</w:t>
      </w:r>
    </w:p>
    <w:p w14:paraId="0A773D05" w14:textId="2A3D6058" w:rsidR="00AA324B" w:rsidRDefault="00296064" w:rsidP="00296064">
      <w:pPr>
        <w:rPr>
          <w:rFonts w:cs="Arial"/>
        </w:rPr>
      </w:pPr>
      <w:r w:rsidRPr="00296064">
        <w:rPr>
          <w:rFonts w:cs="Arial"/>
        </w:rPr>
        <w:t>Agencije, zavodi, fondovi i centri, nepravilna rješenja su donosili u 45,1% slučajeva, što predstavlja smanjenje u usporedbi s 56% u 2024., dok je u odnosu na šutnju uprave došlo do povećanja broj rješenja o nalaganju s 18,8% u 2024. na 24% u 2025.</w:t>
      </w:r>
    </w:p>
    <w:p w14:paraId="50A09168" w14:textId="77777777" w:rsidR="0052400E" w:rsidRDefault="0052400E" w:rsidP="00296064">
      <w:pPr>
        <w:rPr>
          <w:rFonts w:cs="Arial"/>
        </w:rPr>
      </w:pPr>
    </w:p>
    <w:p w14:paraId="373118FE" w14:textId="77777777" w:rsidR="0052400E" w:rsidRPr="00EE0F9F" w:rsidRDefault="0052400E" w:rsidP="00296064">
      <w:pPr>
        <w:rPr>
          <w:rFonts w:cs="Arial"/>
        </w:rPr>
      </w:pPr>
    </w:p>
    <w:p w14:paraId="6A64504F" w14:textId="342D0CEC" w:rsidR="004158A8" w:rsidRPr="00F0315E" w:rsidRDefault="004158A8" w:rsidP="00872DF4">
      <w:pPr>
        <w:keepNext/>
        <w:widowControl w:val="0"/>
        <w:spacing w:before="240"/>
        <w:rPr>
          <w:rFonts w:cs="Arial"/>
          <w:sz w:val="18"/>
          <w:szCs w:val="18"/>
        </w:rPr>
      </w:pPr>
      <w:r w:rsidRPr="00F0315E">
        <w:rPr>
          <w:rFonts w:cs="Arial"/>
          <w:sz w:val="18"/>
          <w:szCs w:val="18"/>
        </w:rPr>
        <w:lastRenderedPageBreak/>
        <w:t xml:space="preserve">Tablica </w:t>
      </w:r>
      <w:r w:rsidR="00920F3B" w:rsidRPr="00F0315E">
        <w:rPr>
          <w:rFonts w:cs="Arial"/>
          <w:sz w:val="18"/>
          <w:szCs w:val="18"/>
        </w:rPr>
        <w:t>4</w:t>
      </w:r>
      <w:r w:rsidRPr="00F0315E">
        <w:rPr>
          <w:rFonts w:cs="Arial"/>
          <w:sz w:val="18"/>
          <w:szCs w:val="18"/>
        </w:rPr>
        <w:t>.5. Objedinjeni podaci za odabrane kategorije tijela javne vlasti</w:t>
      </w:r>
    </w:p>
    <w:tbl>
      <w:tblPr>
        <w:tblW w:w="5005" w:type="pct"/>
        <w:tblBorders>
          <w:top w:val="single" w:sz="4" w:space="0" w:color="8EAADB"/>
          <w:bottom w:val="single" w:sz="4" w:space="0" w:color="8EAADB"/>
          <w:insideH w:val="single" w:sz="4" w:space="0" w:color="8EAADB"/>
        </w:tblBorders>
        <w:tblLayout w:type="fixed"/>
        <w:tblLook w:val="04A0" w:firstRow="1" w:lastRow="0" w:firstColumn="1" w:lastColumn="0" w:noHBand="0" w:noVBand="1"/>
      </w:tblPr>
      <w:tblGrid>
        <w:gridCol w:w="3408"/>
        <w:gridCol w:w="1419"/>
        <w:gridCol w:w="1418"/>
        <w:gridCol w:w="1418"/>
        <w:gridCol w:w="1418"/>
      </w:tblGrid>
      <w:tr w:rsidR="006347F5" w:rsidRPr="00F0315E" w14:paraId="5C3AD583" w14:textId="77777777" w:rsidTr="00074F46">
        <w:trPr>
          <w:trHeight w:val="340"/>
        </w:trPr>
        <w:tc>
          <w:tcPr>
            <w:tcW w:w="1876" w:type="pct"/>
            <w:vMerge w:val="restart"/>
            <w:tcBorders>
              <w:top w:val="single" w:sz="8" w:space="0" w:color="4472C4" w:themeColor="accent1"/>
              <w:left w:val="nil"/>
              <w:right w:val="nil"/>
            </w:tcBorders>
            <w:noWrap/>
            <w:vAlign w:val="center"/>
            <w:hideMark/>
          </w:tcPr>
          <w:p w14:paraId="2569C410" w14:textId="77777777" w:rsidR="006347F5" w:rsidRPr="00237140" w:rsidRDefault="006347F5" w:rsidP="00074F46">
            <w:pPr>
              <w:spacing w:before="20" w:after="20"/>
              <w:rPr>
                <w:rFonts w:eastAsia="Times New Roman" w:cs="Arial"/>
                <w:b/>
                <w:bCs/>
                <w:sz w:val="18"/>
                <w:szCs w:val="18"/>
                <w:lang w:eastAsia="ko-KR"/>
              </w:rPr>
            </w:pPr>
            <w:r w:rsidRPr="00237140">
              <w:rPr>
                <w:rFonts w:eastAsia="Times New Roman" w:cs="Arial"/>
                <w:b/>
                <w:bCs/>
                <w:sz w:val="18"/>
                <w:szCs w:val="18"/>
                <w:lang w:eastAsia="ko-KR"/>
              </w:rPr>
              <w:t>Kategorija tijela javne vlasti</w:t>
            </w:r>
          </w:p>
        </w:tc>
        <w:tc>
          <w:tcPr>
            <w:tcW w:w="1562" w:type="pct"/>
            <w:gridSpan w:val="2"/>
            <w:tcBorders>
              <w:top w:val="single" w:sz="8" w:space="0" w:color="4472C4" w:themeColor="accent1"/>
              <w:left w:val="nil"/>
              <w:bottom w:val="nil"/>
              <w:right w:val="nil"/>
            </w:tcBorders>
            <w:noWrap/>
            <w:vAlign w:val="center"/>
            <w:hideMark/>
          </w:tcPr>
          <w:p w14:paraId="746A87D3" w14:textId="24D6FF33" w:rsidR="006347F5" w:rsidRPr="005C5887" w:rsidRDefault="006347F5" w:rsidP="00074F46">
            <w:pPr>
              <w:spacing w:before="20" w:after="20"/>
              <w:jc w:val="center"/>
              <w:rPr>
                <w:rFonts w:eastAsia="Times New Roman" w:cs="Arial"/>
                <w:sz w:val="18"/>
                <w:szCs w:val="18"/>
                <w:lang w:eastAsia="ko-KR"/>
              </w:rPr>
            </w:pPr>
            <w:r w:rsidRPr="005C5887">
              <w:rPr>
                <w:rFonts w:eastAsia="Times New Roman" w:cs="Arial"/>
                <w:sz w:val="18"/>
                <w:szCs w:val="18"/>
                <w:lang w:eastAsia="ko-KR"/>
              </w:rPr>
              <w:t>Poništene odluke o odbijanju ili odbacivanju zahtjeva (%)</w:t>
            </w:r>
          </w:p>
        </w:tc>
        <w:tc>
          <w:tcPr>
            <w:tcW w:w="1562" w:type="pct"/>
            <w:gridSpan w:val="2"/>
            <w:tcBorders>
              <w:top w:val="single" w:sz="8" w:space="0" w:color="4472C4" w:themeColor="accent1"/>
              <w:left w:val="nil"/>
              <w:bottom w:val="nil"/>
              <w:right w:val="nil"/>
            </w:tcBorders>
            <w:vAlign w:val="center"/>
            <w:hideMark/>
          </w:tcPr>
          <w:p w14:paraId="35E98FB5" w14:textId="3EB07521" w:rsidR="006347F5" w:rsidRPr="005C5887" w:rsidRDefault="006347F5" w:rsidP="00074F46">
            <w:pPr>
              <w:spacing w:before="20" w:after="20"/>
              <w:jc w:val="center"/>
              <w:rPr>
                <w:rFonts w:eastAsia="Times New Roman" w:cs="Arial"/>
                <w:sz w:val="18"/>
                <w:szCs w:val="18"/>
                <w:lang w:eastAsia="ko-KR"/>
              </w:rPr>
            </w:pPr>
            <w:r w:rsidRPr="005C5887">
              <w:rPr>
                <w:rFonts w:eastAsia="Times New Roman" w:cs="Arial"/>
                <w:sz w:val="18"/>
                <w:szCs w:val="18"/>
                <w:lang w:eastAsia="ko-KR"/>
              </w:rPr>
              <w:t>Rješenje o nalogu za rješavanja zahtjeva (šutnja uprave) (%)</w:t>
            </w:r>
          </w:p>
        </w:tc>
      </w:tr>
      <w:tr w:rsidR="00AA324B" w:rsidRPr="00F0315E" w14:paraId="3D4B6E6B" w14:textId="77777777" w:rsidTr="00074F46">
        <w:trPr>
          <w:trHeight w:val="340"/>
        </w:trPr>
        <w:tc>
          <w:tcPr>
            <w:tcW w:w="1876" w:type="pct"/>
            <w:vMerge/>
            <w:tcBorders>
              <w:left w:val="nil"/>
              <w:bottom w:val="single" w:sz="8" w:space="0" w:color="4472C4" w:themeColor="accent1"/>
              <w:right w:val="nil"/>
            </w:tcBorders>
            <w:noWrap/>
            <w:vAlign w:val="center"/>
          </w:tcPr>
          <w:p w14:paraId="1CBEF140" w14:textId="77777777" w:rsidR="00AA324B" w:rsidRPr="005C5887" w:rsidRDefault="00AA324B" w:rsidP="00074F46">
            <w:pPr>
              <w:spacing w:before="20" w:after="20"/>
              <w:rPr>
                <w:rFonts w:eastAsia="Times New Roman" w:cs="Arial"/>
                <w:sz w:val="18"/>
                <w:szCs w:val="18"/>
                <w:lang w:eastAsia="ko-KR"/>
              </w:rPr>
            </w:pPr>
          </w:p>
        </w:tc>
        <w:tc>
          <w:tcPr>
            <w:tcW w:w="781" w:type="pct"/>
            <w:tcBorders>
              <w:top w:val="nil"/>
              <w:left w:val="nil"/>
              <w:bottom w:val="single" w:sz="8" w:space="0" w:color="4472C4" w:themeColor="accent1"/>
              <w:right w:val="nil"/>
            </w:tcBorders>
            <w:noWrap/>
            <w:vAlign w:val="center"/>
          </w:tcPr>
          <w:p w14:paraId="042A000F" w14:textId="59609643" w:rsidR="00AA324B" w:rsidRPr="005C5887" w:rsidRDefault="00AA324B" w:rsidP="00074F46">
            <w:pPr>
              <w:spacing w:before="20" w:after="20"/>
              <w:jc w:val="center"/>
              <w:rPr>
                <w:rFonts w:eastAsia="Times New Roman" w:cs="Arial"/>
                <w:b/>
                <w:bCs/>
                <w:sz w:val="18"/>
                <w:szCs w:val="18"/>
                <w:lang w:eastAsia="ko-KR"/>
              </w:rPr>
            </w:pPr>
            <w:r w:rsidRPr="008A4A8C">
              <w:rPr>
                <w:rFonts w:eastAsia="Times New Roman" w:cs="Arial"/>
                <w:b/>
                <w:bCs/>
                <w:sz w:val="18"/>
                <w:szCs w:val="18"/>
                <w:lang w:eastAsia="ko-KR"/>
              </w:rPr>
              <w:t>2024.</w:t>
            </w:r>
          </w:p>
        </w:tc>
        <w:tc>
          <w:tcPr>
            <w:tcW w:w="781" w:type="pct"/>
            <w:tcBorders>
              <w:top w:val="nil"/>
              <w:left w:val="nil"/>
              <w:bottom w:val="single" w:sz="8" w:space="0" w:color="4472C4" w:themeColor="accent1"/>
              <w:right w:val="nil"/>
            </w:tcBorders>
            <w:vAlign w:val="center"/>
          </w:tcPr>
          <w:p w14:paraId="6439E3B6" w14:textId="3DCD7083" w:rsidR="00AA324B" w:rsidRPr="005C5887" w:rsidRDefault="00AA324B" w:rsidP="00074F46">
            <w:pPr>
              <w:spacing w:before="20" w:after="20"/>
              <w:jc w:val="center"/>
              <w:rPr>
                <w:rFonts w:eastAsia="Times New Roman" w:cs="Arial"/>
                <w:b/>
                <w:bCs/>
                <w:sz w:val="18"/>
                <w:szCs w:val="18"/>
                <w:lang w:eastAsia="ko-KR"/>
              </w:rPr>
            </w:pPr>
            <w:r w:rsidRPr="008A4A8C">
              <w:rPr>
                <w:rFonts w:eastAsia="Times New Roman" w:cs="Arial"/>
                <w:b/>
                <w:bCs/>
                <w:sz w:val="18"/>
                <w:szCs w:val="18"/>
                <w:lang w:eastAsia="ko-KR"/>
              </w:rPr>
              <w:t>202</w:t>
            </w:r>
            <w:r w:rsidRPr="008A4A8C">
              <w:rPr>
                <w:rFonts w:cs="Arial"/>
                <w:b/>
                <w:bCs/>
                <w:sz w:val="18"/>
                <w:szCs w:val="18"/>
                <w:lang w:eastAsia="ko-KR"/>
              </w:rPr>
              <w:t>5</w:t>
            </w:r>
            <w:r w:rsidRPr="008A4A8C">
              <w:rPr>
                <w:rFonts w:eastAsia="Times New Roman" w:cs="Arial"/>
                <w:b/>
                <w:bCs/>
                <w:sz w:val="18"/>
                <w:szCs w:val="18"/>
                <w:lang w:eastAsia="ko-KR"/>
              </w:rPr>
              <w:t>.</w:t>
            </w:r>
          </w:p>
        </w:tc>
        <w:tc>
          <w:tcPr>
            <w:tcW w:w="781" w:type="pct"/>
            <w:tcBorders>
              <w:top w:val="nil"/>
              <w:left w:val="nil"/>
              <w:bottom w:val="single" w:sz="8" w:space="0" w:color="4472C4" w:themeColor="accent1"/>
              <w:right w:val="nil"/>
            </w:tcBorders>
            <w:vAlign w:val="center"/>
          </w:tcPr>
          <w:p w14:paraId="50B3BDA9" w14:textId="0AB5C64D" w:rsidR="00AA324B" w:rsidRPr="005C5887" w:rsidRDefault="00AA324B" w:rsidP="00074F46">
            <w:pPr>
              <w:spacing w:before="20" w:after="20"/>
              <w:jc w:val="center"/>
              <w:rPr>
                <w:rFonts w:eastAsia="Times New Roman" w:cs="Arial"/>
                <w:b/>
                <w:bCs/>
                <w:sz w:val="18"/>
                <w:szCs w:val="18"/>
                <w:lang w:eastAsia="ko-KR"/>
              </w:rPr>
            </w:pPr>
            <w:r w:rsidRPr="008A4A8C">
              <w:rPr>
                <w:rFonts w:eastAsia="Times New Roman" w:cs="Arial"/>
                <w:b/>
                <w:bCs/>
                <w:sz w:val="18"/>
                <w:szCs w:val="18"/>
                <w:lang w:eastAsia="ko-KR"/>
              </w:rPr>
              <w:t>2024.</w:t>
            </w:r>
          </w:p>
        </w:tc>
        <w:tc>
          <w:tcPr>
            <w:tcW w:w="781" w:type="pct"/>
            <w:tcBorders>
              <w:top w:val="nil"/>
              <w:left w:val="nil"/>
              <w:bottom w:val="single" w:sz="8" w:space="0" w:color="4472C4" w:themeColor="accent1"/>
              <w:right w:val="nil"/>
            </w:tcBorders>
            <w:vAlign w:val="center"/>
          </w:tcPr>
          <w:p w14:paraId="1BE1B78D" w14:textId="604B5EAF" w:rsidR="00AA324B" w:rsidRPr="005C5887" w:rsidRDefault="00AA324B" w:rsidP="00074F46">
            <w:pPr>
              <w:spacing w:before="20" w:after="20"/>
              <w:jc w:val="center"/>
              <w:rPr>
                <w:rFonts w:eastAsia="Times New Roman" w:cs="Arial"/>
                <w:b/>
                <w:bCs/>
                <w:sz w:val="18"/>
                <w:szCs w:val="18"/>
                <w:lang w:eastAsia="ko-KR"/>
              </w:rPr>
            </w:pPr>
            <w:r w:rsidRPr="008A4A8C">
              <w:rPr>
                <w:rFonts w:eastAsia="Times New Roman" w:cs="Arial"/>
                <w:b/>
                <w:bCs/>
                <w:sz w:val="18"/>
                <w:szCs w:val="18"/>
                <w:lang w:eastAsia="ko-KR"/>
              </w:rPr>
              <w:t>202</w:t>
            </w:r>
            <w:r w:rsidRPr="008A4A8C">
              <w:rPr>
                <w:rFonts w:cs="Arial"/>
                <w:b/>
                <w:bCs/>
                <w:sz w:val="18"/>
                <w:szCs w:val="18"/>
                <w:lang w:eastAsia="ko-KR"/>
              </w:rPr>
              <w:t>5</w:t>
            </w:r>
            <w:r w:rsidRPr="008A4A8C">
              <w:rPr>
                <w:rFonts w:eastAsia="Times New Roman" w:cs="Arial"/>
                <w:b/>
                <w:bCs/>
                <w:sz w:val="18"/>
                <w:szCs w:val="18"/>
                <w:lang w:eastAsia="ko-KR"/>
              </w:rPr>
              <w:t>.</w:t>
            </w:r>
          </w:p>
        </w:tc>
      </w:tr>
      <w:tr w:rsidR="00AA324B" w:rsidRPr="00F0315E" w14:paraId="471D8124" w14:textId="77777777" w:rsidTr="00074F46">
        <w:trPr>
          <w:trHeight w:val="340"/>
        </w:trPr>
        <w:tc>
          <w:tcPr>
            <w:tcW w:w="1876" w:type="pct"/>
            <w:tcBorders>
              <w:top w:val="single" w:sz="8" w:space="0" w:color="4472C4" w:themeColor="accent1"/>
              <w:left w:val="nil"/>
              <w:bottom w:val="single" w:sz="4" w:space="0" w:color="95B3D7"/>
              <w:right w:val="nil"/>
            </w:tcBorders>
            <w:shd w:val="clear" w:color="auto" w:fill="D9E2F3" w:themeFill="accent1" w:themeFillTint="33"/>
            <w:noWrap/>
            <w:vAlign w:val="center"/>
            <w:hideMark/>
          </w:tcPr>
          <w:p w14:paraId="581DFCB9" w14:textId="77777777" w:rsidR="00AA324B" w:rsidRPr="005C5887" w:rsidRDefault="00AA324B" w:rsidP="00AA324B">
            <w:pPr>
              <w:snapToGrid w:val="0"/>
              <w:spacing w:before="20" w:after="20"/>
              <w:rPr>
                <w:rFonts w:eastAsia="Times New Roman" w:cs="Arial"/>
                <w:sz w:val="18"/>
                <w:szCs w:val="18"/>
                <w:lang w:eastAsia="ko-KR"/>
              </w:rPr>
            </w:pPr>
            <w:r w:rsidRPr="005C5887">
              <w:rPr>
                <w:rFonts w:eastAsia="Times New Roman" w:cs="Arial"/>
                <w:sz w:val="18"/>
                <w:szCs w:val="18"/>
                <w:lang w:eastAsia="ko-KR"/>
              </w:rPr>
              <w:t>Državna tijela</w:t>
            </w:r>
          </w:p>
        </w:tc>
        <w:tc>
          <w:tcPr>
            <w:tcW w:w="781" w:type="pct"/>
            <w:tcBorders>
              <w:top w:val="single" w:sz="8" w:space="0" w:color="4472C4" w:themeColor="accent1"/>
              <w:left w:val="nil"/>
              <w:bottom w:val="single" w:sz="4" w:space="0" w:color="95B3D7"/>
              <w:right w:val="nil"/>
            </w:tcBorders>
            <w:shd w:val="clear" w:color="auto" w:fill="D9E2F3" w:themeFill="accent1" w:themeFillTint="33"/>
            <w:noWrap/>
            <w:vAlign w:val="center"/>
          </w:tcPr>
          <w:p w14:paraId="543CE643" w14:textId="550791D8"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31,3</w:t>
            </w:r>
          </w:p>
        </w:tc>
        <w:tc>
          <w:tcPr>
            <w:tcW w:w="781" w:type="pct"/>
            <w:tcBorders>
              <w:top w:val="single" w:sz="8" w:space="0" w:color="4472C4" w:themeColor="accent1"/>
              <w:left w:val="nil"/>
              <w:bottom w:val="single" w:sz="4" w:space="0" w:color="95B3D7"/>
              <w:right w:val="nil"/>
            </w:tcBorders>
            <w:shd w:val="clear" w:color="auto" w:fill="D9E2F3" w:themeFill="accent1" w:themeFillTint="33"/>
            <w:vAlign w:val="center"/>
          </w:tcPr>
          <w:p w14:paraId="117521E6" w14:textId="38A5DB71"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33,3</w:t>
            </w:r>
          </w:p>
        </w:tc>
        <w:tc>
          <w:tcPr>
            <w:tcW w:w="781" w:type="pct"/>
            <w:tcBorders>
              <w:top w:val="single" w:sz="8" w:space="0" w:color="4472C4" w:themeColor="accent1"/>
              <w:left w:val="nil"/>
              <w:bottom w:val="single" w:sz="4" w:space="0" w:color="95B3D7"/>
              <w:right w:val="nil"/>
            </w:tcBorders>
            <w:shd w:val="clear" w:color="auto" w:fill="D9E2F3" w:themeFill="accent1" w:themeFillTint="33"/>
            <w:vAlign w:val="center"/>
          </w:tcPr>
          <w:p w14:paraId="5B42E283" w14:textId="30E96AE6"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0</w:t>
            </w:r>
          </w:p>
        </w:tc>
        <w:tc>
          <w:tcPr>
            <w:tcW w:w="781" w:type="pct"/>
            <w:tcBorders>
              <w:top w:val="single" w:sz="8" w:space="0" w:color="4472C4" w:themeColor="accent1"/>
              <w:left w:val="nil"/>
              <w:bottom w:val="single" w:sz="4" w:space="0" w:color="95B3D7"/>
              <w:right w:val="nil"/>
            </w:tcBorders>
            <w:shd w:val="clear" w:color="auto" w:fill="D9E2F3" w:themeFill="accent1" w:themeFillTint="33"/>
            <w:vAlign w:val="center"/>
          </w:tcPr>
          <w:p w14:paraId="55A21C1E" w14:textId="526E14A3"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5,3</w:t>
            </w:r>
          </w:p>
        </w:tc>
      </w:tr>
      <w:tr w:rsidR="00AA324B" w:rsidRPr="00F0315E" w14:paraId="7FCD5649" w14:textId="77777777" w:rsidTr="00074F46">
        <w:trPr>
          <w:trHeight w:val="340"/>
        </w:trPr>
        <w:tc>
          <w:tcPr>
            <w:tcW w:w="1876" w:type="pct"/>
            <w:tcBorders>
              <w:top w:val="single" w:sz="4" w:space="0" w:color="95B3D7"/>
              <w:left w:val="nil"/>
              <w:bottom w:val="single" w:sz="4" w:space="0" w:color="95B3D7"/>
              <w:right w:val="nil"/>
            </w:tcBorders>
            <w:noWrap/>
            <w:vAlign w:val="center"/>
            <w:hideMark/>
          </w:tcPr>
          <w:p w14:paraId="51F01E8A" w14:textId="77777777" w:rsidR="00AA324B" w:rsidRPr="005C5887" w:rsidRDefault="00AA324B" w:rsidP="00AA324B">
            <w:pPr>
              <w:snapToGrid w:val="0"/>
              <w:spacing w:before="20" w:after="20"/>
              <w:rPr>
                <w:rFonts w:eastAsia="Times New Roman" w:cs="Arial"/>
                <w:sz w:val="18"/>
                <w:szCs w:val="18"/>
                <w:lang w:eastAsia="ko-KR"/>
              </w:rPr>
            </w:pPr>
            <w:r w:rsidRPr="005C5887">
              <w:rPr>
                <w:rFonts w:eastAsia="Times New Roman" w:cs="Arial"/>
                <w:sz w:val="18"/>
                <w:szCs w:val="18"/>
                <w:lang w:eastAsia="ko-KR"/>
              </w:rPr>
              <w:t>Tijela državne uprave</w:t>
            </w:r>
          </w:p>
        </w:tc>
        <w:tc>
          <w:tcPr>
            <w:tcW w:w="781" w:type="pct"/>
            <w:tcBorders>
              <w:top w:val="single" w:sz="4" w:space="0" w:color="95B3D7"/>
              <w:left w:val="nil"/>
              <w:bottom w:val="single" w:sz="4" w:space="0" w:color="95B3D7"/>
              <w:right w:val="nil"/>
            </w:tcBorders>
            <w:noWrap/>
            <w:vAlign w:val="center"/>
          </w:tcPr>
          <w:p w14:paraId="7E536E46" w14:textId="6BA58F1D"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46,5</w:t>
            </w:r>
          </w:p>
        </w:tc>
        <w:tc>
          <w:tcPr>
            <w:tcW w:w="781" w:type="pct"/>
            <w:tcBorders>
              <w:top w:val="single" w:sz="4" w:space="0" w:color="95B3D7"/>
              <w:left w:val="nil"/>
              <w:bottom w:val="single" w:sz="4" w:space="0" w:color="95B3D7"/>
              <w:right w:val="nil"/>
            </w:tcBorders>
            <w:vAlign w:val="center"/>
          </w:tcPr>
          <w:p w14:paraId="03D07385" w14:textId="73476CB7"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18,8</w:t>
            </w:r>
          </w:p>
        </w:tc>
        <w:tc>
          <w:tcPr>
            <w:tcW w:w="781" w:type="pct"/>
            <w:tcBorders>
              <w:top w:val="single" w:sz="4" w:space="0" w:color="95B3D7"/>
              <w:left w:val="nil"/>
              <w:bottom w:val="single" w:sz="4" w:space="0" w:color="95B3D7"/>
              <w:right w:val="nil"/>
            </w:tcBorders>
            <w:vAlign w:val="center"/>
          </w:tcPr>
          <w:p w14:paraId="07508AB8" w14:textId="4A213995"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21,1</w:t>
            </w:r>
          </w:p>
        </w:tc>
        <w:tc>
          <w:tcPr>
            <w:tcW w:w="781" w:type="pct"/>
            <w:tcBorders>
              <w:top w:val="single" w:sz="4" w:space="0" w:color="95B3D7"/>
              <w:left w:val="nil"/>
              <w:bottom w:val="single" w:sz="4" w:space="0" w:color="95B3D7"/>
              <w:right w:val="nil"/>
            </w:tcBorders>
            <w:vAlign w:val="center"/>
          </w:tcPr>
          <w:p w14:paraId="6EEC718E" w14:textId="7344E514"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20,7</w:t>
            </w:r>
          </w:p>
        </w:tc>
      </w:tr>
      <w:tr w:rsidR="00AA324B" w:rsidRPr="00F0315E" w14:paraId="78775B15" w14:textId="77777777" w:rsidTr="00074F46">
        <w:trPr>
          <w:trHeight w:val="340"/>
        </w:trPr>
        <w:tc>
          <w:tcPr>
            <w:tcW w:w="1876" w:type="pct"/>
            <w:tcBorders>
              <w:top w:val="single" w:sz="4" w:space="0" w:color="95B3D7"/>
              <w:left w:val="nil"/>
              <w:bottom w:val="single" w:sz="4" w:space="0" w:color="95B3D7"/>
              <w:right w:val="nil"/>
            </w:tcBorders>
            <w:shd w:val="clear" w:color="auto" w:fill="D9E2F3" w:themeFill="accent1" w:themeFillTint="33"/>
            <w:noWrap/>
            <w:vAlign w:val="center"/>
            <w:hideMark/>
          </w:tcPr>
          <w:p w14:paraId="0374188C" w14:textId="77777777" w:rsidR="00AA324B" w:rsidRPr="005C5887" w:rsidRDefault="00AA324B" w:rsidP="00AA324B">
            <w:pPr>
              <w:snapToGrid w:val="0"/>
              <w:spacing w:before="20" w:after="20"/>
              <w:rPr>
                <w:rFonts w:eastAsia="Times New Roman" w:cs="Arial"/>
                <w:sz w:val="18"/>
                <w:szCs w:val="18"/>
                <w:lang w:eastAsia="ko-KR"/>
              </w:rPr>
            </w:pPr>
            <w:r w:rsidRPr="005C5887">
              <w:rPr>
                <w:rFonts w:eastAsia="Times New Roman" w:cs="Arial"/>
                <w:sz w:val="18"/>
                <w:szCs w:val="18"/>
                <w:lang w:eastAsia="ko-KR"/>
              </w:rPr>
              <w:t>Općine, gradovi i županije</w:t>
            </w:r>
          </w:p>
        </w:tc>
        <w:tc>
          <w:tcPr>
            <w:tcW w:w="781" w:type="pct"/>
            <w:tcBorders>
              <w:top w:val="single" w:sz="4" w:space="0" w:color="95B3D7"/>
              <w:left w:val="nil"/>
              <w:bottom w:val="single" w:sz="4" w:space="0" w:color="95B3D7"/>
              <w:right w:val="nil"/>
            </w:tcBorders>
            <w:shd w:val="clear" w:color="auto" w:fill="D9E2F3" w:themeFill="accent1" w:themeFillTint="33"/>
            <w:noWrap/>
            <w:vAlign w:val="center"/>
          </w:tcPr>
          <w:p w14:paraId="7C8D6647" w14:textId="09B4B48D"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29,5</w:t>
            </w:r>
          </w:p>
        </w:tc>
        <w:tc>
          <w:tcPr>
            <w:tcW w:w="781" w:type="pct"/>
            <w:tcBorders>
              <w:top w:val="single" w:sz="4" w:space="0" w:color="95B3D7"/>
              <w:left w:val="nil"/>
              <w:bottom w:val="single" w:sz="4" w:space="0" w:color="95B3D7"/>
              <w:right w:val="nil"/>
            </w:tcBorders>
            <w:shd w:val="clear" w:color="auto" w:fill="D9E2F3" w:themeFill="accent1" w:themeFillTint="33"/>
            <w:vAlign w:val="center"/>
          </w:tcPr>
          <w:p w14:paraId="17DE673D" w14:textId="4EE8A59F"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37,9</w:t>
            </w:r>
          </w:p>
        </w:tc>
        <w:tc>
          <w:tcPr>
            <w:tcW w:w="781" w:type="pct"/>
            <w:tcBorders>
              <w:top w:val="single" w:sz="4" w:space="0" w:color="95B3D7"/>
              <w:left w:val="nil"/>
              <w:bottom w:val="single" w:sz="4" w:space="0" w:color="95B3D7"/>
              <w:right w:val="nil"/>
            </w:tcBorders>
            <w:shd w:val="clear" w:color="auto" w:fill="D9E2F3" w:themeFill="accent1" w:themeFillTint="33"/>
            <w:vAlign w:val="center"/>
          </w:tcPr>
          <w:p w14:paraId="21BBB011" w14:textId="3CEF70FA"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25,8</w:t>
            </w:r>
          </w:p>
        </w:tc>
        <w:tc>
          <w:tcPr>
            <w:tcW w:w="781" w:type="pct"/>
            <w:tcBorders>
              <w:top w:val="single" w:sz="4" w:space="0" w:color="95B3D7"/>
              <w:left w:val="nil"/>
              <w:bottom w:val="single" w:sz="4" w:space="0" w:color="95B3D7"/>
              <w:right w:val="nil"/>
            </w:tcBorders>
            <w:shd w:val="clear" w:color="auto" w:fill="D9E2F3" w:themeFill="accent1" w:themeFillTint="33"/>
            <w:vAlign w:val="center"/>
          </w:tcPr>
          <w:p w14:paraId="4A2B415D" w14:textId="212D2E61"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34,3</w:t>
            </w:r>
          </w:p>
        </w:tc>
      </w:tr>
      <w:tr w:rsidR="00AA324B" w:rsidRPr="00F0315E" w14:paraId="2B57E8A6" w14:textId="77777777" w:rsidTr="00074F46">
        <w:trPr>
          <w:trHeight w:val="340"/>
        </w:trPr>
        <w:tc>
          <w:tcPr>
            <w:tcW w:w="1876" w:type="pct"/>
            <w:tcBorders>
              <w:top w:val="single" w:sz="4" w:space="0" w:color="95B3D7"/>
              <w:left w:val="nil"/>
              <w:bottom w:val="single" w:sz="4" w:space="0" w:color="95B3D7"/>
              <w:right w:val="nil"/>
            </w:tcBorders>
            <w:noWrap/>
            <w:vAlign w:val="center"/>
            <w:hideMark/>
          </w:tcPr>
          <w:p w14:paraId="15EE2DB7" w14:textId="77777777" w:rsidR="00AA324B" w:rsidRPr="005C5887" w:rsidRDefault="00AA324B" w:rsidP="00AA324B">
            <w:pPr>
              <w:snapToGrid w:val="0"/>
              <w:spacing w:before="20" w:after="20"/>
              <w:rPr>
                <w:rFonts w:eastAsia="Times New Roman" w:cs="Arial"/>
                <w:sz w:val="18"/>
                <w:szCs w:val="18"/>
                <w:lang w:eastAsia="ko-KR"/>
              </w:rPr>
            </w:pPr>
            <w:r w:rsidRPr="005C5887">
              <w:rPr>
                <w:rFonts w:eastAsia="Times New Roman" w:cs="Arial"/>
                <w:sz w:val="18"/>
                <w:szCs w:val="18"/>
                <w:lang w:eastAsia="ko-KR"/>
              </w:rPr>
              <w:t>Pravosudna tijela</w:t>
            </w:r>
          </w:p>
        </w:tc>
        <w:tc>
          <w:tcPr>
            <w:tcW w:w="781" w:type="pct"/>
            <w:tcBorders>
              <w:top w:val="single" w:sz="4" w:space="0" w:color="95B3D7"/>
              <w:left w:val="nil"/>
              <w:bottom w:val="single" w:sz="4" w:space="0" w:color="95B3D7"/>
              <w:right w:val="nil"/>
            </w:tcBorders>
            <w:noWrap/>
            <w:vAlign w:val="center"/>
          </w:tcPr>
          <w:p w14:paraId="67E3575B" w14:textId="3C8BB84D"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3,6</w:t>
            </w:r>
          </w:p>
        </w:tc>
        <w:tc>
          <w:tcPr>
            <w:tcW w:w="781" w:type="pct"/>
            <w:tcBorders>
              <w:top w:val="single" w:sz="4" w:space="0" w:color="95B3D7"/>
              <w:left w:val="nil"/>
              <w:bottom w:val="single" w:sz="4" w:space="0" w:color="95B3D7"/>
              <w:right w:val="nil"/>
            </w:tcBorders>
            <w:vAlign w:val="center"/>
          </w:tcPr>
          <w:p w14:paraId="6D5C8D56" w14:textId="0BA9DC34"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27,7</w:t>
            </w:r>
          </w:p>
        </w:tc>
        <w:tc>
          <w:tcPr>
            <w:tcW w:w="781" w:type="pct"/>
            <w:tcBorders>
              <w:top w:val="single" w:sz="4" w:space="0" w:color="95B3D7"/>
              <w:left w:val="nil"/>
              <w:bottom w:val="single" w:sz="4" w:space="0" w:color="95B3D7"/>
              <w:right w:val="nil"/>
            </w:tcBorders>
            <w:vAlign w:val="center"/>
          </w:tcPr>
          <w:p w14:paraId="38358E8A" w14:textId="2E21BFCF"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4,8</w:t>
            </w:r>
          </w:p>
        </w:tc>
        <w:tc>
          <w:tcPr>
            <w:tcW w:w="781" w:type="pct"/>
            <w:tcBorders>
              <w:top w:val="single" w:sz="4" w:space="0" w:color="95B3D7"/>
              <w:left w:val="nil"/>
              <w:bottom w:val="single" w:sz="4" w:space="0" w:color="95B3D7"/>
              <w:right w:val="nil"/>
            </w:tcBorders>
            <w:vAlign w:val="center"/>
          </w:tcPr>
          <w:p w14:paraId="12A6FD81" w14:textId="1C4A7CF8"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14,3</w:t>
            </w:r>
          </w:p>
        </w:tc>
      </w:tr>
      <w:tr w:rsidR="00AA324B" w:rsidRPr="00F0315E" w14:paraId="62B8C0EB" w14:textId="77777777" w:rsidTr="00074F46">
        <w:trPr>
          <w:trHeight w:val="340"/>
        </w:trPr>
        <w:tc>
          <w:tcPr>
            <w:tcW w:w="1876" w:type="pct"/>
            <w:tcBorders>
              <w:top w:val="single" w:sz="4" w:space="0" w:color="95B3D7"/>
              <w:left w:val="nil"/>
              <w:bottom w:val="single" w:sz="4" w:space="0" w:color="95B3D7"/>
              <w:right w:val="nil"/>
            </w:tcBorders>
            <w:shd w:val="clear" w:color="auto" w:fill="D9E2F3" w:themeFill="accent1" w:themeFillTint="33"/>
            <w:noWrap/>
            <w:vAlign w:val="center"/>
            <w:hideMark/>
          </w:tcPr>
          <w:p w14:paraId="6684F747" w14:textId="77777777" w:rsidR="00AA324B" w:rsidRPr="005C5887" w:rsidRDefault="00AA324B" w:rsidP="00AA324B">
            <w:pPr>
              <w:snapToGrid w:val="0"/>
              <w:spacing w:before="20" w:after="20"/>
              <w:rPr>
                <w:rFonts w:eastAsia="Times New Roman" w:cs="Arial"/>
                <w:sz w:val="18"/>
                <w:szCs w:val="18"/>
                <w:lang w:eastAsia="ko-KR"/>
              </w:rPr>
            </w:pPr>
            <w:r w:rsidRPr="005C5887">
              <w:rPr>
                <w:rFonts w:eastAsia="Times New Roman" w:cs="Arial"/>
                <w:sz w:val="18"/>
                <w:szCs w:val="18"/>
                <w:lang w:eastAsia="ko-KR"/>
              </w:rPr>
              <w:t>Trgovačka društva u vlasništvu RH</w:t>
            </w:r>
          </w:p>
        </w:tc>
        <w:tc>
          <w:tcPr>
            <w:tcW w:w="781" w:type="pct"/>
            <w:tcBorders>
              <w:top w:val="single" w:sz="4" w:space="0" w:color="95B3D7"/>
              <w:left w:val="nil"/>
              <w:bottom w:val="single" w:sz="4" w:space="0" w:color="95B3D7"/>
              <w:right w:val="nil"/>
            </w:tcBorders>
            <w:shd w:val="clear" w:color="auto" w:fill="D9E2F3" w:themeFill="accent1" w:themeFillTint="33"/>
            <w:noWrap/>
            <w:vAlign w:val="center"/>
          </w:tcPr>
          <w:p w14:paraId="1934449B" w14:textId="1C7407F0"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64,3</w:t>
            </w:r>
          </w:p>
        </w:tc>
        <w:tc>
          <w:tcPr>
            <w:tcW w:w="781" w:type="pct"/>
            <w:tcBorders>
              <w:top w:val="single" w:sz="4" w:space="0" w:color="95B3D7"/>
              <w:left w:val="nil"/>
              <w:bottom w:val="single" w:sz="4" w:space="0" w:color="95B3D7"/>
              <w:right w:val="nil"/>
            </w:tcBorders>
            <w:shd w:val="clear" w:color="auto" w:fill="D9E2F3" w:themeFill="accent1" w:themeFillTint="33"/>
            <w:vAlign w:val="center"/>
          </w:tcPr>
          <w:p w14:paraId="160F49DE" w14:textId="6DA81430"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48,1</w:t>
            </w:r>
          </w:p>
        </w:tc>
        <w:tc>
          <w:tcPr>
            <w:tcW w:w="781" w:type="pct"/>
            <w:tcBorders>
              <w:top w:val="single" w:sz="4" w:space="0" w:color="95B3D7"/>
              <w:left w:val="nil"/>
              <w:bottom w:val="single" w:sz="4" w:space="0" w:color="95B3D7"/>
              <w:right w:val="nil"/>
            </w:tcBorders>
            <w:shd w:val="clear" w:color="auto" w:fill="D9E2F3" w:themeFill="accent1" w:themeFillTint="33"/>
            <w:vAlign w:val="center"/>
          </w:tcPr>
          <w:p w14:paraId="754E0AC9" w14:textId="093B4BD5"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42,9</w:t>
            </w:r>
          </w:p>
        </w:tc>
        <w:tc>
          <w:tcPr>
            <w:tcW w:w="781" w:type="pct"/>
            <w:tcBorders>
              <w:top w:val="single" w:sz="4" w:space="0" w:color="95B3D7"/>
              <w:left w:val="nil"/>
              <w:bottom w:val="single" w:sz="4" w:space="0" w:color="95B3D7"/>
              <w:right w:val="nil"/>
            </w:tcBorders>
            <w:shd w:val="clear" w:color="auto" w:fill="D9E2F3" w:themeFill="accent1" w:themeFillTint="33"/>
            <w:vAlign w:val="center"/>
          </w:tcPr>
          <w:p w14:paraId="639192C7" w14:textId="169E36E5"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21,4</w:t>
            </w:r>
          </w:p>
        </w:tc>
      </w:tr>
      <w:tr w:rsidR="00AA324B" w:rsidRPr="00F0315E" w14:paraId="4A21D397" w14:textId="77777777" w:rsidTr="00074F46">
        <w:trPr>
          <w:trHeight w:val="340"/>
        </w:trPr>
        <w:tc>
          <w:tcPr>
            <w:tcW w:w="1876" w:type="pct"/>
            <w:tcBorders>
              <w:top w:val="single" w:sz="4" w:space="0" w:color="95B3D7"/>
              <w:left w:val="nil"/>
              <w:bottom w:val="single" w:sz="4" w:space="0" w:color="95B3D7"/>
              <w:right w:val="nil"/>
            </w:tcBorders>
            <w:noWrap/>
            <w:vAlign w:val="center"/>
            <w:hideMark/>
          </w:tcPr>
          <w:p w14:paraId="64CDF566" w14:textId="77777777" w:rsidR="00AA324B" w:rsidRPr="005C5887" w:rsidRDefault="00AA324B" w:rsidP="00AA324B">
            <w:pPr>
              <w:snapToGrid w:val="0"/>
              <w:spacing w:before="20" w:after="20"/>
              <w:rPr>
                <w:rFonts w:eastAsia="Times New Roman" w:cs="Arial"/>
                <w:sz w:val="18"/>
                <w:szCs w:val="18"/>
                <w:lang w:eastAsia="ko-KR"/>
              </w:rPr>
            </w:pPr>
            <w:r w:rsidRPr="005C5887">
              <w:rPr>
                <w:rFonts w:eastAsia="Times New Roman" w:cs="Arial"/>
                <w:sz w:val="18"/>
                <w:szCs w:val="18"/>
                <w:lang w:eastAsia="ko-KR"/>
              </w:rPr>
              <w:t>Trgovačka društva u vlasništvu JLP(R)S</w:t>
            </w:r>
          </w:p>
        </w:tc>
        <w:tc>
          <w:tcPr>
            <w:tcW w:w="781" w:type="pct"/>
            <w:tcBorders>
              <w:top w:val="single" w:sz="4" w:space="0" w:color="95B3D7"/>
              <w:left w:val="nil"/>
              <w:bottom w:val="single" w:sz="4" w:space="0" w:color="95B3D7"/>
              <w:right w:val="nil"/>
            </w:tcBorders>
            <w:noWrap/>
            <w:vAlign w:val="center"/>
          </w:tcPr>
          <w:p w14:paraId="15FB4AF8" w14:textId="516D5A55"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22,6</w:t>
            </w:r>
          </w:p>
        </w:tc>
        <w:tc>
          <w:tcPr>
            <w:tcW w:w="781" w:type="pct"/>
            <w:tcBorders>
              <w:top w:val="single" w:sz="4" w:space="0" w:color="95B3D7"/>
              <w:left w:val="nil"/>
              <w:bottom w:val="single" w:sz="4" w:space="0" w:color="95B3D7"/>
              <w:right w:val="nil"/>
            </w:tcBorders>
            <w:vAlign w:val="center"/>
          </w:tcPr>
          <w:p w14:paraId="4C4C37D3" w14:textId="12D14C51"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60,9</w:t>
            </w:r>
          </w:p>
        </w:tc>
        <w:tc>
          <w:tcPr>
            <w:tcW w:w="781" w:type="pct"/>
            <w:tcBorders>
              <w:top w:val="single" w:sz="4" w:space="0" w:color="95B3D7"/>
              <w:left w:val="nil"/>
              <w:bottom w:val="single" w:sz="4" w:space="0" w:color="95B3D7"/>
              <w:right w:val="nil"/>
            </w:tcBorders>
            <w:vAlign w:val="center"/>
          </w:tcPr>
          <w:p w14:paraId="30EDCB49" w14:textId="23CE498E"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35,6</w:t>
            </w:r>
          </w:p>
        </w:tc>
        <w:tc>
          <w:tcPr>
            <w:tcW w:w="781" w:type="pct"/>
            <w:tcBorders>
              <w:top w:val="single" w:sz="4" w:space="0" w:color="95B3D7"/>
              <w:left w:val="nil"/>
              <w:bottom w:val="single" w:sz="4" w:space="0" w:color="95B3D7"/>
              <w:right w:val="nil"/>
            </w:tcBorders>
            <w:vAlign w:val="center"/>
          </w:tcPr>
          <w:p w14:paraId="23067777" w14:textId="655CE242"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25</w:t>
            </w:r>
          </w:p>
        </w:tc>
      </w:tr>
      <w:tr w:rsidR="00AA324B" w:rsidRPr="00F0315E" w14:paraId="01F542B3" w14:textId="77777777" w:rsidTr="00074F46">
        <w:trPr>
          <w:trHeight w:val="340"/>
        </w:trPr>
        <w:tc>
          <w:tcPr>
            <w:tcW w:w="1876" w:type="pct"/>
            <w:tcBorders>
              <w:top w:val="single" w:sz="4" w:space="0" w:color="95B3D7"/>
              <w:left w:val="nil"/>
              <w:bottom w:val="single" w:sz="8" w:space="0" w:color="4472C4" w:themeColor="accent1"/>
              <w:right w:val="nil"/>
            </w:tcBorders>
            <w:shd w:val="clear" w:color="auto" w:fill="D9E2F3" w:themeFill="accent1" w:themeFillTint="33"/>
            <w:noWrap/>
            <w:vAlign w:val="center"/>
            <w:hideMark/>
          </w:tcPr>
          <w:p w14:paraId="0EBF2D03" w14:textId="77777777" w:rsidR="00AA324B" w:rsidRPr="005C5887" w:rsidRDefault="00AA324B" w:rsidP="00AA324B">
            <w:pPr>
              <w:snapToGrid w:val="0"/>
              <w:spacing w:before="20" w:after="20"/>
              <w:rPr>
                <w:rFonts w:eastAsia="Times New Roman" w:cs="Arial"/>
                <w:sz w:val="18"/>
                <w:szCs w:val="18"/>
                <w:lang w:eastAsia="ko-KR"/>
              </w:rPr>
            </w:pPr>
            <w:r w:rsidRPr="005C5887">
              <w:rPr>
                <w:rFonts w:eastAsia="Times New Roman" w:cs="Arial"/>
                <w:sz w:val="18"/>
                <w:szCs w:val="18"/>
                <w:lang w:eastAsia="ko-KR"/>
              </w:rPr>
              <w:t>Agencije, zavodi, fondovi i centri</w:t>
            </w:r>
          </w:p>
        </w:tc>
        <w:tc>
          <w:tcPr>
            <w:tcW w:w="781" w:type="pct"/>
            <w:tcBorders>
              <w:top w:val="single" w:sz="4" w:space="0" w:color="95B3D7"/>
              <w:left w:val="nil"/>
              <w:bottom w:val="single" w:sz="8" w:space="0" w:color="4472C4" w:themeColor="accent1"/>
              <w:right w:val="nil"/>
            </w:tcBorders>
            <w:shd w:val="clear" w:color="auto" w:fill="D9E2F3" w:themeFill="accent1" w:themeFillTint="33"/>
            <w:noWrap/>
            <w:vAlign w:val="center"/>
          </w:tcPr>
          <w:p w14:paraId="2A943018" w14:textId="0FCD92D7"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56</w:t>
            </w:r>
          </w:p>
        </w:tc>
        <w:tc>
          <w:tcPr>
            <w:tcW w:w="781" w:type="pct"/>
            <w:tcBorders>
              <w:top w:val="single" w:sz="4" w:space="0" w:color="95B3D7"/>
              <w:left w:val="nil"/>
              <w:bottom w:val="single" w:sz="8" w:space="0" w:color="4472C4" w:themeColor="accent1"/>
              <w:right w:val="nil"/>
            </w:tcBorders>
            <w:shd w:val="clear" w:color="auto" w:fill="D9E2F3" w:themeFill="accent1" w:themeFillTint="33"/>
            <w:vAlign w:val="center"/>
          </w:tcPr>
          <w:p w14:paraId="572E87CE" w14:textId="44033EB6"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45,1</w:t>
            </w:r>
          </w:p>
        </w:tc>
        <w:tc>
          <w:tcPr>
            <w:tcW w:w="781" w:type="pct"/>
            <w:tcBorders>
              <w:top w:val="single" w:sz="4" w:space="0" w:color="95B3D7"/>
              <w:left w:val="nil"/>
              <w:bottom w:val="single" w:sz="8" w:space="0" w:color="4472C4" w:themeColor="accent1"/>
              <w:right w:val="nil"/>
            </w:tcBorders>
            <w:shd w:val="clear" w:color="auto" w:fill="D9E2F3" w:themeFill="accent1" w:themeFillTint="33"/>
            <w:vAlign w:val="center"/>
          </w:tcPr>
          <w:p w14:paraId="4929D81E" w14:textId="78E48E5D" w:rsidR="00AA324B" w:rsidRPr="00E35A07" w:rsidRDefault="00AA324B" w:rsidP="00AA324B">
            <w:pPr>
              <w:snapToGrid w:val="0"/>
              <w:spacing w:before="20" w:after="20"/>
              <w:jc w:val="center"/>
              <w:rPr>
                <w:rFonts w:eastAsia="Times New Roman" w:cs="Arial"/>
                <w:sz w:val="18"/>
                <w:szCs w:val="18"/>
                <w:lang w:eastAsia="ko-KR"/>
              </w:rPr>
            </w:pPr>
            <w:r w:rsidRPr="008A4A8C">
              <w:rPr>
                <w:rFonts w:eastAsia="Times New Roman" w:cs="Arial"/>
                <w:sz w:val="18"/>
                <w:szCs w:val="18"/>
                <w:lang w:eastAsia="ko-KR"/>
              </w:rPr>
              <w:t>18,8</w:t>
            </w:r>
          </w:p>
        </w:tc>
        <w:tc>
          <w:tcPr>
            <w:tcW w:w="781" w:type="pct"/>
            <w:tcBorders>
              <w:top w:val="single" w:sz="4" w:space="0" w:color="95B3D7"/>
              <w:left w:val="nil"/>
              <w:bottom w:val="single" w:sz="8" w:space="0" w:color="4472C4" w:themeColor="accent1"/>
              <w:right w:val="nil"/>
            </w:tcBorders>
            <w:shd w:val="clear" w:color="auto" w:fill="D9E2F3" w:themeFill="accent1" w:themeFillTint="33"/>
            <w:vAlign w:val="center"/>
          </w:tcPr>
          <w:p w14:paraId="2F1CE120" w14:textId="0EC1C105" w:rsidR="00AA324B" w:rsidRPr="00E35A07" w:rsidRDefault="00AA324B" w:rsidP="00AA324B">
            <w:pPr>
              <w:snapToGrid w:val="0"/>
              <w:spacing w:before="20" w:after="20"/>
              <w:jc w:val="center"/>
              <w:rPr>
                <w:rFonts w:eastAsia="Times New Roman" w:cs="Arial"/>
                <w:sz w:val="18"/>
                <w:szCs w:val="18"/>
                <w:lang w:eastAsia="ko-KR"/>
              </w:rPr>
            </w:pPr>
            <w:r w:rsidRPr="008A4A8C">
              <w:rPr>
                <w:rFonts w:cs="Arial"/>
                <w:sz w:val="18"/>
                <w:szCs w:val="18"/>
                <w:lang w:eastAsia="ko-KR"/>
              </w:rPr>
              <w:t>24</w:t>
            </w:r>
          </w:p>
        </w:tc>
      </w:tr>
    </w:tbl>
    <w:p w14:paraId="2E5A55AC" w14:textId="77777777" w:rsidR="004158A8" w:rsidRPr="00F0315E" w:rsidRDefault="004158A8" w:rsidP="00811052">
      <w:pPr>
        <w:pStyle w:val="Naslov2"/>
        <w:ind w:left="1276" w:hanging="567"/>
      </w:pPr>
      <w:bookmarkStart w:id="68" w:name="_Toc131070568"/>
      <w:bookmarkStart w:id="69" w:name="_Toc225865581"/>
      <w:r w:rsidRPr="7D481D26">
        <w:t>Odluke o žalbama prema odabranim razlozima odbijanja zahtjeva</w:t>
      </w:r>
      <w:bookmarkEnd w:id="68"/>
      <w:bookmarkEnd w:id="69"/>
      <w:r w:rsidRPr="7D481D26">
        <w:t xml:space="preserve"> </w:t>
      </w:r>
    </w:p>
    <w:p w14:paraId="118FFD8E" w14:textId="77777777" w:rsidR="00AA324B" w:rsidRPr="00F0315E" w:rsidRDefault="00AA324B" w:rsidP="00AA324B">
      <w:pPr>
        <w:rPr>
          <w:rFonts w:cs="Arial"/>
        </w:rPr>
      </w:pPr>
      <w:bookmarkStart w:id="70" w:name="_Toc131070569"/>
      <w:r w:rsidRPr="00F0315E">
        <w:rPr>
          <w:rFonts w:cs="Arial"/>
        </w:rPr>
        <w:t>U nastavku se analiziraju odluke Povjerenika po žalbama u 202</w:t>
      </w:r>
      <w:r>
        <w:rPr>
          <w:rFonts w:cs="Arial"/>
        </w:rPr>
        <w:t>5</w:t>
      </w:r>
      <w:r w:rsidRPr="00F0315E">
        <w:rPr>
          <w:rFonts w:cs="Arial"/>
        </w:rPr>
        <w:t>. prema najčešće korištenim razlozima za odbijanje zahtjeva za pristup informacijama.</w:t>
      </w:r>
    </w:p>
    <w:p w14:paraId="2FB556B2" w14:textId="71BC37A6" w:rsidR="004158A8" w:rsidRPr="00F0315E" w:rsidRDefault="00665BDC" w:rsidP="009032D7">
      <w:pPr>
        <w:pStyle w:val="Naslov3"/>
        <w:ind w:left="1985"/>
      </w:pPr>
      <w:bookmarkStart w:id="71" w:name="_Toc225511690"/>
      <w:bookmarkStart w:id="72" w:name="_Toc225865582"/>
      <w:bookmarkEnd w:id="70"/>
      <w:r>
        <w:t>Informacija se ne smatra informacijom u smislu ZPPI-ja</w:t>
      </w:r>
      <w:bookmarkEnd w:id="71"/>
      <w:bookmarkEnd w:id="72"/>
    </w:p>
    <w:p w14:paraId="1A4D7592" w14:textId="23E0536B" w:rsidR="00563CF2" w:rsidRPr="00563CF2" w:rsidRDefault="00563CF2" w:rsidP="00563CF2">
      <w:pPr>
        <w:rPr>
          <w:rFonts w:cs="Arial"/>
        </w:rPr>
      </w:pPr>
      <w:bookmarkStart w:id="73" w:name="_Toc131070570"/>
      <w:r w:rsidRPr="00563CF2">
        <w:rPr>
          <w:rFonts w:cs="Arial"/>
        </w:rPr>
        <w:t>Povjerenik je u 2025. zaprimio 114 žalbi (8,7% od ukupno 1</w:t>
      </w:r>
      <w:r w:rsidR="00B129F7">
        <w:rPr>
          <w:rFonts w:cs="Arial"/>
        </w:rPr>
        <w:t>.</w:t>
      </w:r>
      <w:r w:rsidRPr="00563CF2">
        <w:rPr>
          <w:rFonts w:cs="Arial"/>
        </w:rPr>
        <w:t xml:space="preserve">317 zaprimljenih žalbi) zbog odbijanja zahtjeva iz razloga što se traženje korisnika ne smatra traženjem informacije u smislu ZPPI-ja, pa je s prenesenih 25 žalbi iz prethodnog razdoblja u radu ukupno imao 139 predmeta. Ovdje je potrebno istaknuti kako su 23 predmeta sukladno članku 44. stavku 1. ZUP-a zaključcima spojeno, jer je u tri skupine predmeta bila riječ o bitno istovjetnoj činjeničnoj i pravnoj osnovi, pa se stoga analizira 116 predmeta u radu od kojih je riješeno 90 (77,6%). Povjerenik je u 64 (71,1%) slučaja donio rješenje kojim je odbio žalbu kao neosnovanu, dok je u 19 (21,1%) slučajeva poništio rješenje tijela, i to tako da je u 6 slučajeva rješenje poništeno i naloženo da se omogući pristup informaciji, u 11 slučajeva je rješenje poništeno i predmet vraćen na ponovni postupak, a u dva slučaja je rješenje poništeno i riješen zahtjev. U 4 slučaja je prvostupanjsko rješenje oglašeno ništavim, a 3 žalbe su odbačene. </w:t>
      </w:r>
    </w:p>
    <w:p w14:paraId="28A42B8C" w14:textId="77777777" w:rsidR="00563CF2" w:rsidRPr="00563CF2" w:rsidRDefault="00563CF2" w:rsidP="00563CF2">
      <w:pPr>
        <w:rPr>
          <w:rFonts w:cs="Arial"/>
        </w:rPr>
      </w:pPr>
      <w:r w:rsidRPr="00563CF2">
        <w:rPr>
          <w:rFonts w:cs="Arial"/>
        </w:rPr>
        <w:t>Analizom podataka uočeno je da se u najvećem dijelu radilo o odlukama Grada Zagreba (28), Dobrovoljnog vatrogasnog društva Višnjica (18), Općine Vir (8) i Općinskog državnog odvjetništva u Zlataru. U odnosu na odluke Grada Zagreba je utvrđeno kako se one odnose na više istovrsnih zahtjeva podnesenih od strane 3 korisnika, dok su Općini Vir zahtjeve podnosili različiti korisnici. O više zahtjeva jednoga pojedinačnog korisnika odlučivalo je Općinsko državno odvjetništvo u Zlataru, a također i Dobrovoljno vatrogasno društvo Višnjica.</w:t>
      </w:r>
    </w:p>
    <w:p w14:paraId="26AA0D97" w14:textId="3D27549B" w:rsidR="00665BDC" w:rsidRPr="00D8170B" w:rsidRDefault="00563CF2" w:rsidP="00563CF2">
      <w:pPr>
        <w:rPr>
          <w:rFonts w:cs="Arial"/>
        </w:rPr>
      </w:pPr>
      <w:r w:rsidRPr="00563CF2">
        <w:rPr>
          <w:rFonts w:cs="Arial"/>
        </w:rPr>
        <w:t xml:space="preserve">Kada se analiziraju podaci o podnositeljima žalbi protiv rješenja u kojima je zahtjev odbijen jer nije bila riječ o traženju informacije u zakonskom smislu, vidljivo je da jedan korisnik prednjači po broju podnesenih žalbi (35), što predstavlja nastavak istovrsnog postupanja tog korisnika iz prethodnog izvještajnog razdoblja, pri čemu on unatoč mnogobrojnim obrazloženjima sadržanim u dosadašnjim prvostupanjskim i drugostupanjskim rješenjima o tome što se </w:t>
      </w:r>
      <w:r w:rsidRPr="00563CF2">
        <w:rPr>
          <w:rFonts w:cs="Arial"/>
        </w:rPr>
        <w:lastRenderedPageBreak/>
        <w:t xml:space="preserve">smatra informacijom u smislu članka 5. stavka 1. točke 3. ZPPI-ja, uporno podnosi zahtjeve za pristup informacijama u kojima traži odgovore na pitanja, komentare i slično, a što ne ulazi u doseg primjene zakonske definicije informacije. </w:t>
      </w:r>
      <w:r w:rsidR="00665BDC" w:rsidRPr="00D8170B">
        <w:rPr>
          <w:rFonts w:cs="Arial"/>
        </w:rPr>
        <w:t xml:space="preserve"> </w:t>
      </w:r>
    </w:p>
    <w:p w14:paraId="64D8242F" w14:textId="7B97256E" w:rsidR="00665BDC" w:rsidRPr="00820849" w:rsidRDefault="00665BDC" w:rsidP="00665BDC">
      <w:pPr>
        <w:pBdr>
          <w:top w:val="single" w:sz="4" w:space="1" w:color="auto"/>
          <w:left w:val="single" w:sz="4" w:space="4" w:color="auto"/>
          <w:bottom w:val="single" w:sz="4" w:space="1" w:color="auto"/>
          <w:right w:val="single" w:sz="4" w:space="4" w:color="auto"/>
        </w:pBdr>
        <w:rPr>
          <w:rFonts w:cs="Arial"/>
        </w:rPr>
      </w:pPr>
      <w:r w:rsidRPr="00820849">
        <w:rPr>
          <w:rFonts w:cs="Arial"/>
        </w:rPr>
        <w:t>Obradom podataka predmeta</w:t>
      </w:r>
      <w:r w:rsidR="00FB31B1" w:rsidRPr="00820849">
        <w:rPr>
          <w:rFonts w:cs="Arial"/>
        </w:rPr>
        <w:t xml:space="preserve"> u kojima su </w:t>
      </w:r>
      <w:r w:rsidR="00431CD9" w:rsidRPr="00820849">
        <w:rPr>
          <w:rFonts w:cs="Arial"/>
        </w:rPr>
        <w:t xml:space="preserve">zahtjevi korisnika </w:t>
      </w:r>
      <w:r w:rsidR="00FB31B1" w:rsidRPr="00820849">
        <w:rPr>
          <w:rFonts w:cs="Arial"/>
        </w:rPr>
        <w:t>odbijen</w:t>
      </w:r>
      <w:r w:rsidR="00431CD9" w:rsidRPr="00820849">
        <w:rPr>
          <w:rFonts w:cs="Arial"/>
        </w:rPr>
        <w:t>i</w:t>
      </w:r>
      <w:r w:rsidR="003E7338" w:rsidRPr="00820849">
        <w:t xml:space="preserve"> </w:t>
      </w:r>
      <w:r w:rsidR="003E7338" w:rsidRPr="00820849">
        <w:rPr>
          <w:rFonts w:cs="Arial"/>
        </w:rPr>
        <w:t>iz razloga što se traženje ne smatra traženjem informacije u smislu ZPPI-ja</w:t>
      </w:r>
      <w:r w:rsidR="00C934CD" w:rsidRPr="00820849">
        <w:rPr>
          <w:rFonts w:cs="Arial"/>
        </w:rPr>
        <w:t>,</w:t>
      </w:r>
      <w:r w:rsidRPr="00820849">
        <w:rPr>
          <w:rFonts w:cs="Arial"/>
        </w:rPr>
        <w:t xml:space="preserve"> vidljivo je da je Povjerenik u 2025. poništio nešto manji broj odluka tijela (21,11%) nego u proteklom izvještajnom razdoblju (2024.- 24,5%).</w:t>
      </w:r>
    </w:p>
    <w:p w14:paraId="32CFB4D4" w14:textId="21F6B3DB" w:rsidR="004158A8" w:rsidRPr="00F0315E" w:rsidRDefault="00665BDC" w:rsidP="009032D7">
      <w:pPr>
        <w:pStyle w:val="Naslov3"/>
        <w:ind w:left="1985"/>
      </w:pPr>
      <w:bookmarkStart w:id="74" w:name="_Toc225511691"/>
      <w:bookmarkStart w:id="75" w:name="_Toc225865583"/>
      <w:bookmarkEnd w:id="73"/>
      <w:r>
        <w:t>Tijelo javne vlasti ne posjeduje informaciju</w:t>
      </w:r>
      <w:bookmarkEnd w:id="74"/>
      <w:bookmarkEnd w:id="75"/>
      <w:r w:rsidR="004158A8">
        <w:t xml:space="preserve"> </w:t>
      </w:r>
    </w:p>
    <w:p w14:paraId="2BE2859B" w14:textId="6FECF361" w:rsidR="00895CC3" w:rsidRPr="00895CC3" w:rsidRDefault="00895CC3" w:rsidP="00895CC3">
      <w:pPr>
        <w:widowControl w:val="0"/>
        <w:rPr>
          <w:rFonts w:eastAsia="Times New Roman" w:cs="Times New Roman"/>
        </w:rPr>
      </w:pPr>
      <w:r w:rsidRPr="00895CC3">
        <w:rPr>
          <w:rFonts w:eastAsia="Times New Roman" w:cs="Times New Roman"/>
        </w:rPr>
        <w:t>U 2025. Povjerenik je zaprimio 93 žalbe (7,1% od ukupno 1</w:t>
      </w:r>
      <w:r w:rsidR="00B129F7">
        <w:rPr>
          <w:rFonts w:eastAsia="Times New Roman" w:cs="Times New Roman"/>
        </w:rPr>
        <w:t>.</w:t>
      </w:r>
      <w:r w:rsidRPr="00895CC3">
        <w:rPr>
          <w:rFonts w:eastAsia="Times New Roman" w:cs="Times New Roman"/>
        </w:rPr>
        <w:t xml:space="preserve">317 zaprimljenih žalbi) na rješenje o odbacivanju zahtjeva jer tijela ne posjeduju informaciju te ne znaju gdje se ona nalazi pa je, uz žalbe prenesene iz prethodnog razdoblja, ukupno u radu imao 121 takav predmet. </w:t>
      </w:r>
    </w:p>
    <w:p w14:paraId="378AE606" w14:textId="2C2C4528" w:rsidR="00E14B07" w:rsidRPr="009B276C" w:rsidRDefault="00895CC3" w:rsidP="00895CC3">
      <w:pPr>
        <w:widowControl w:val="0"/>
        <w:rPr>
          <w:rFonts w:eastAsia="Times New Roman" w:cs="Times New Roman"/>
        </w:rPr>
      </w:pPr>
      <w:r w:rsidRPr="00895CC3">
        <w:rPr>
          <w:rFonts w:eastAsia="Times New Roman" w:cs="Times New Roman"/>
        </w:rPr>
        <w:t>Ovdje se napominje kako je 1 predmet sukladno članku 44. stavku 1. ZUP-a zaključkom spojen s drugim predmetom, s obzirom na bitno istovjetnu činjeničnu i pravnu osnovu, pa se stoga analizira 120 predmeta u radu kod Povjerenika, od kojih su riješene 102 žalbe (85%), na način da je Povjerenik u 61 (59,8%) slučaju odbio žalbu i potvrdio rješenje tijela, u 25 ili 24,5% slučajeva je poništio rješenja, i to na način da je u šest slučajeva utvrdio da tijelo raspolaže informacijom te je omogućio pravo na pristup zatraženoj informaciji, u 12 slučajeva je predmet vratio na ponovni postupak, a u 7 slučajeva riješio zahtjev. U tri predmeta je postupak obustavljen, u dva predmeta je prvostupanjsko tijelo samo promijenilo odluku i riješilo žalbu prema članku 113. ZUP-a, dok su u devet slučajeva žalbe odbačene te u dva slučaja rješenja oglašena ništavim.</w:t>
      </w:r>
    </w:p>
    <w:tbl>
      <w:tblPr>
        <w:tblStyle w:val="Reetkatablice"/>
        <w:tblW w:w="9067" w:type="dxa"/>
        <w:tblLook w:val="04A0" w:firstRow="1" w:lastRow="0" w:firstColumn="1" w:lastColumn="0" w:noHBand="0" w:noVBand="1"/>
      </w:tblPr>
      <w:tblGrid>
        <w:gridCol w:w="9067"/>
      </w:tblGrid>
      <w:tr w:rsidR="00E14B07" w14:paraId="38CE057E" w14:textId="77777777" w:rsidTr="00422879">
        <w:tc>
          <w:tcPr>
            <w:tcW w:w="9067" w:type="dxa"/>
          </w:tcPr>
          <w:p w14:paraId="66A73CA2" w14:textId="77777777" w:rsidR="00E14B07" w:rsidRDefault="00E14B07" w:rsidP="00422879">
            <w:pPr>
              <w:widowControl w:val="0"/>
              <w:rPr>
                <w:rFonts w:eastAsia="Times New Roman" w:cs="Calibri"/>
                <w:sz w:val="23"/>
                <w:szCs w:val="23"/>
              </w:rPr>
            </w:pPr>
            <w:r w:rsidRPr="009B276C">
              <w:rPr>
                <w:rFonts w:eastAsia="Times New Roman" w:cs="Times New Roman"/>
              </w:rPr>
              <w:t xml:space="preserve">Analizom podataka o rješavanju žalbi iz 2025. uočeno je </w:t>
            </w:r>
            <w:r w:rsidRPr="009B276C">
              <w:rPr>
                <w:rFonts w:eastAsia="Times New Roman" w:cs="Calibri"/>
              </w:rPr>
              <w:t xml:space="preserve">da je razlog neposjedovanja traženih informacija bio drugi najčešći razlog za uskratu informacija od strane različitih tijela. Usporedbom s 2024. kada </w:t>
            </w:r>
            <w:r>
              <w:rPr>
                <w:rFonts w:eastAsia="Times New Roman" w:cs="Calibri"/>
              </w:rPr>
              <w:t>je</w:t>
            </w:r>
            <w:r w:rsidRPr="009B276C">
              <w:rPr>
                <w:rFonts w:eastAsia="Times New Roman" w:cs="Calibri"/>
              </w:rPr>
              <w:t xml:space="preserve"> u 75,3% slučajeva potvrđeno rješenja tijela, vidljivo je da je u 2025. taj postotak nešto niži što se tiče korištenja te pravne osnove za odbacivanje zahtjeva.</w:t>
            </w:r>
          </w:p>
        </w:tc>
      </w:tr>
    </w:tbl>
    <w:p w14:paraId="274C114C" w14:textId="6C8768BB" w:rsidR="004158A8" w:rsidRPr="00F0315E" w:rsidRDefault="00D55042" w:rsidP="009032D7">
      <w:pPr>
        <w:pStyle w:val="Naslov3"/>
        <w:ind w:left="1985"/>
      </w:pPr>
      <w:bookmarkStart w:id="76" w:name="_Toc131070571"/>
      <w:bookmarkStart w:id="77" w:name="_Toc225511692"/>
      <w:bookmarkStart w:id="78" w:name="_Toc225865584"/>
      <w:r>
        <w:t>Zlouporaba prava</w:t>
      </w:r>
      <w:bookmarkEnd w:id="76"/>
      <w:bookmarkEnd w:id="77"/>
      <w:bookmarkEnd w:id="78"/>
    </w:p>
    <w:p w14:paraId="6FA0B8BD" w14:textId="7041C353" w:rsidR="00F1509A" w:rsidRDefault="00F1509A" w:rsidP="00F1509A">
      <w:pPr>
        <w:widowControl w:val="0"/>
      </w:pPr>
      <w:bookmarkStart w:id="79" w:name="_Toc131070572"/>
      <w:r>
        <w:t>U 2025. zaprimljene su ukupno 82 žalbe izjavljene na rješenja koja su donijela prvostupanjska tijela pozivajući se na zlouporabu prava na pristup informacijama, odnosno 6,2% od ukupno 1</w:t>
      </w:r>
      <w:r w:rsidR="00B129F7">
        <w:t>.</w:t>
      </w:r>
      <w:r>
        <w:t>317 zaprimljenih žalbi u 2025. Broj podnesenih žalbi radi zlouporabe prava predstavlja pad od 18,8% u odnosu na prethodnu godinu, jer je tijekom 2024. zaprimljena 101 žalba.</w:t>
      </w:r>
    </w:p>
    <w:p w14:paraId="03DC1271" w14:textId="77777777" w:rsidR="00F1509A" w:rsidRDefault="00F1509A" w:rsidP="00F1509A">
      <w:pPr>
        <w:widowControl w:val="0"/>
      </w:pPr>
      <w:r>
        <w:t>Iz podataka o zaprimljenim žalbama vidljivo je da su najveći broj žalbi, njih 75 podnijele fizičke osobe, od kojih je jedan žalitelj podnio 12, a jedan žalitelj 7 žalbi, jedan žalitelj 5 žalbi, 3 žalitelja  po 4 žalbe, te da su ti žalitelji usmjereni na određena tijela.</w:t>
      </w:r>
    </w:p>
    <w:p w14:paraId="2CBC1C32" w14:textId="77777777" w:rsidR="00F1509A" w:rsidRDefault="00F1509A" w:rsidP="00F1509A">
      <w:pPr>
        <w:widowControl w:val="0"/>
      </w:pPr>
      <w:r>
        <w:t xml:space="preserve">Tijekom 2025. godine u radu je bilo ukupno 111 žalbi radi zlouporabe prava, s obzirom da je broju zaprimljenih žalbi pribrojeno 29 prenesenih žalbi iz prethodnih razdoblja te je doneseno 20 zaključaka kojima su spojene upravne stvari, što znači da je u radu bio 91 predmet, od čega je ukupno riješeno 65 predmeta odnosno 85 predmeta (s obzirom da je 20 predmeta spojeno </w:t>
      </w:r>
      <w:r>
        <w:lastRenderedPageBreak/>
        <w:t>zaključkom).</w:t>
      </w:r>
    </w:p>
    <w:p w14:paraId="479264E8" w14:textId="77777777" w:rsidR="00F1509A" w:rsidRDefault="00F1509A" w:rsidP="00F1509A">
      <w:pPr>
        <w:widowControl w:val="0"/>
      </w:pPr>
      <w:r>
        <w:t xml:space="preserve">Povjerenik je 65 žalbi riješio na način da je u 27 (41,5%) slučajeva zlouporabe prava odbijena žalba žalitelja kao neosnovana, odnosno potvrđeno je rješenje prvostupanjskog tijela. U 36 (55,4%) žalbenih postupaka Povjerenik je poništio rješenja prvostupanjskog tijela, od kojeg broja je u 32 slučaja vratio prvostupanjskom tijelu predmet na ponovni postupak, te u tri žalbena postupka omogućen je odnosno djelomično omogućen pristup zatraženim informacijama, a u jednom žalbenom postupku Povjerenik je rješenje prvostupanjskog tijela poništio i sam je riješio zahtjev žalitelja. Nadalje, u jednom slučaju prvostupanjsko tijelo je riješilo žalbu žalitelja po članku 113. ZUP-a te je  u jednom žalbenom postupku žalba žalitelja odbačena kao nepravovremena. </w:t>
      </w:r>
    </w:p>
    <w:p w14:paraId="08154150" w14:textId="563601B4" w:rsidR="00D55042" w:rsidRPr="009B276C" w:rsidRDefault="00F1509A" w:rsidP="00F1509A">
      <w:pPr>
        <w:widowControl w:val="0"/>
      </w:pPr>
      <w:r>
        <w:t>Najveći broj prvostupanjskih tijela na čija su rješenja radi zlouporabe prava korisnici ulagali žalbe jesu jedinice lokalne i područna (regionalna) samouprave, primjerice 10 žalbi je izjavljeno na rješenja Grada Lepoglave, 7 žalbi na rješenja Općine Seget, zatim 4 žalbe na rješenja Općine Pribislavec,  dvije žalbe na rješenja Grada Zlatara. Osim toga tri žalbe su izjavljene na rješenja Glazbene škole Ivana Matetića Ronjgova Rijeka. Od ostalih kategorija tijela javne vlasti na čija su rješenja izjavljene žalbe radi zlouporabe za istaknuti su ustanove iz područja obrazovanja, znanosti i sporta, trgovačka društva u većinskom vlasništvu jedinica lokalne i područne (regionalne) samouprave, udruge, ostale pravne osobe i tijela s javnim ovlastima, pravosudna tijela i  tijela državne uprave.</w:t>
      </w:r>
    </w:p>
    <w:tbl>
      <w:tblPr>
        <w:tblStyle w:val="Reetkatablice"/>
        <w:tblW w:w="9067" w:type="dxa"/>
        <w:tblLook w:val="04A0" w:firstRow="1" w:lastRow="0" w:firstColumn="1" w:lastColumn="0" w:noHBand="0" w:noVBand="1"/>
      </w:tblPr>
      <w:tblGrid>
        <w:gridCol w:w="9067"/>
      </w:tblGrid>
      <w:tr w:rsidR="00D55042" w14:paraId="27CC42F3" w14:textId="77777777" w:rsidTr="00422879">
        <w:tc>
          <w:tcPr>
            <w:tcW w:w="9067" w:type="dxa"/>
          </w:tcPr>
          <w:p w14:paraId="32775A34" w14:textId="77777777" w:rsidR="00D55042" w:rsidRDefault="00D55042" w:rsidP="00422879">
            <w:pPr>
              <w:widowControl w:val="0"/>
              <w:rPr>
                <w:rFonts w:eastAsia="Times New Roman" w:cs="Calibri"/>
              </w:rPr>
            </w:pPr>
            <w:r w:rsidRPr="009B276C">
              <w:t xml:space="preserve">Uspoređujući podatke iz 2024. i uzimajući u obzir podatke iz ranijih razdoblja, proizlazi da je  u 2025. </w:t>
            </w:r>
            <w:r>
              <w:t xml:space="preserve">zabilježena </w:t>
            </w:r>
            <w:r w:rsidRPr="009B276C">
              <w:t>tendencija blagog pada zaprimljenih žalbi radi zlouporabe i slijedom toga  manjeg broja žalbi u radu. No isto tako je vidljivo da je od ukupnog broja odbijenih zahtjeva u 2025. više od polovice odbijeno radi zlouporabe prava te da je u odnosu na 2024. zabilježen nešto veći broj poništenih rješenja prvostupanjskih tijela, što znači da se tijela često u svojim rješenjima neosnovano pozivaju na zlouporabu prava na pristup informacijama.</w:t>
            </w:r>
          </w:p>
        </w:tc>
      </w:tr>
    </w:tbl>
    <w:p w14:paraId="3AB709D2" w14:textId="1121025F" w:rsidR="004158A8" w:rsidRPr="00F0315E" w:rsidRDefault="00D55042" w:rsidP="009032D7">
      <w:pPr>
        <w:pStyle w:val="Naslov3"/>
        <w:ind w:left="1985"/>
      </w:pPr>
      <w:bookmarkStart w:id="80" w:name="_Toc225511693"/>
      <w:bookmarkStart w:id="81" w:name="_Toc225865585"/>
      <w:r>
        <w:t>Osobni podaci</w:t>
      </w:r>
      <w:bookmarkEnd w:id="79"/>
      <w:bookmarkEnd w:id="80"/>
      <w:bookmarkEnd w:id="81"/>
    </w:p>
    <w:p w14:paraId="787D6917" w14:textId="25EF475B" w:rsidR="00C91418" w:rsidRPr="00C91418" w:rsidRDefault="00C91418" w:rsidP="00C91418">
      <w:pPr>
        <w:rPr>
          <w:rFonts w:eastAsia="Times New Roman" w:cs="Times New Roman"/>
        </w:rPr>
      </w:pPr>
      <w:r w:rsidRPr="00C91418">
        <w:rPr>
          <w:rFonts w:eastAsia="Times New Roman" w:cs="Times New Roman"/>
        </w:rPr>
        <w:t>Iz podataka o zaprimljenim žalbama utvrđeno je da je Povjerenik tijekom 2025. zaprimio  78 (5,9% od ukupno 1</w:t>
      </w:r>
      <w:r w:rsidR="00B129F7">
        <w:rPr>
          <w:rFonts w:eastAsia="Times New Roman" w:cs="Times New Roman"/>
        </w:rPr>
        <w:t>.</w:t>
      </w:r>
      <w:r w:rsidRPr="00C91418">
        <w:rPr>
          <w:rFonts w:eastAsia="Times New Roman" w:cs="Times New Roman"/>
        </w:rPr>
        <w:t xml:space="preserve">317 zaprimljenih žalbi) žalbi protiv odluka u kojima je zaštita osobnih podataka bila razlog za odbijanje zahtjeva za pristup informacijama, pa je zajedno sa 35 prenesenih predmeta iz prethodne godine, u radu ukupno imao 113 takvih žalbenih predmeta, od kojih je riješeno 79. </w:t>
      </w:r>
    </w:p>
    <w:p w14:paraId="7E3583A0" w14:textId="77777777" w:rsidR="00C91418" w:rsidRPr="00C91418" w:rsidRDefault="00C91418" w:rsidP="00C91418">
      <w:pPr>
        <w:rPr>
          <w:rFonts w:eastAsia="Times New Roman" w:cs="Times New Roman"/>
        </w:rPr>
      </w:pPr>
      <w:r w:rsidRPr="00C91418">
        <w:rPr>
          <w:rFonts w:eastAsia="Times New Roman" w:cs="Times New Roman"/>
        </w:rPr>
        <w:t xml:space="preserve">Povjerenik je u 32 (40,5%) slučaja potvrdio odluku tijela, a u 40 (50,6%) je rješenje prvostupanjskog tijela poništeno kao nepravilno, od čega je u 28 slučajeva omogućen ili djelomično omogućen pristup informaciji, u 10 slučajeva predmet vraćen na ponovni postupak, a u dva slučaja je poništeno rješenje i riješen zahtjev. U pet predmeta je nakon izjavljene žalbe tijelo samo promijenilo svoju odluku, u jednom slučaju je rješenje oglašeno ništavim te je jedna žalba odbačena. </w:t>
      </w:r>
    </w:p>
    <w:p w14:paraId="18B83584" w14:textId="66079406" w:rsidR="00D55042" w:rsidRDefault="00C91418" w:rsidP="00C91418">
      <w:pPr>
        <w:rPr>
          <w:rFonts w:eastAsia="Times New Roman" w:cs="Times New Roman"/>
        </w:rPr>
      </w:pPr>
      <w:r w:rsidRPr="00C91418">
        <w:rPr>
          <w:rFonts w:eastAsia="Times New Roman" w:cs="Times New Roman"/>
        </w:rPr>
        <w:lastRenderedPageBreak/>
        <w:t>Prema podacima o zaprimljenim žalbama za 2025., vidljivo je da su ovo zakonsko ograničenje koristila različita tijela, odnosno da se niti jedno od njih ne ističe većim brojem slučajeva odbijanja zahtjeva zbog zaštite osobnih podataka.</w:t>
      </w:r>
    </w:p>
    <w:tbl>
      <w:tblPr>
        <w:tblStyle w:val="Reetkatablice"/>
        <w:tblW w:w="0" w:type="auto"/>
        <w:tblLook w:val="04A0" w:firstRow="1" w:lastRow="0" w:firstColumn="1" w:lastColumn="0" w:noHBand="0" w:noVBand="1"/>
      </w:tblPr>
      <w:tblGrid>
        <w:gridCol w:w="9062"/>
      </w:tblGrid>
      <w:tr w:rsidR="00D55042" w14:paraId="3F4147D8" w14:textId="77777777" w:rsidTr="004A4613">
        <w:tc>
          <w:tcPr>
            <w:tcW w:w="9062" w:type="dxa"/>
          </w:tcPr>
          <w:p w14:paraId="6DE9D946" w14:textId="77777777" w:rsidR="00D55042" w:rsidRPr="0092535A" w:rsidRDefault="00D55042" w:rsidP="00422879">
            <w:pPr>
              <w:rPr>
                <w:rFonts w:eastAsia="Times New Roman" w:cs="Times New Roman"/>
                <w:i/>
                <w:iCs/>
              </w:rPr>
            </w:pPr>
            <w:r w:rsidRPr="006B3137">
              <w:rPr>
                <w:rFonts w:eastAsia="Times New Roman" w:cs="Times New Roman"/>
              </w:rPr>
              <w:t>Prema podacima o riješenim žalbama Povjerenika može se zaključiti kako je i u 2025. još uvijek prisutan dosta veliki postotak nepravilnosti u odlučivanju prvostupanjskih tijela kada koriste ograničenje pristupa informacijama zbog zaštite osobnih podataka</w:t>
            </w:r>
            <w:r w:rsidRPr="009B276C">
              <w:rPr>
                <w:rFonts w:eastAsia="Times New Roman" w:cs="Times New Roman"/>
              </w:rPr>
              <w:t>, jer su u 51,29% slučajeva korisnicima neopravdano po toj osnovi uskratila informaciju</w:t>
            </w:r>
            <w:r w:rsidRPr="009B276C">
              <w:rPr>
                <w:rFonts w:eastAsia="Times New Roman" w:cs="Times New Roman"/>
                <w:i/>
                <w:iCs/>
              </w:rPr>
              <w:t xml:space="preserve">. </w:t>
            </w:r>
          </w:p>
        </w:tc>
      </w:tr>
    </w:tbl>
    <w:p w14:paraId="036557B0" w14:textId="36D08CC6" w:rsidR="00D55042" w:rsidRDefault="004A4613" w:rsidP="005B303F">
      <w:pPr>
        <w:spacing w:before="120"/>
        <w:rPr>
          <w:rFonts w:eastAsia="Times New Roman" w:cs="Times New Roman"/>
        </w:rPr>
      </w:pPr>
      <w:r w:rsidRPr="004A4613">
        <w:rPr>
          <w:rFonts w:eastAsia="Times New Roman" w:cs="Times New Roman"/>
        </w:rPr>
        <w:t>Razmatranjem odluka Povjerenika po žalbama razvidno je da su često tražene informacije o zaposlenim osobama u tijela javne vlasti, isplatama tih tijela po različitim osnovama, projektima, nabavama, javnim natječajima i sl.. U navedenim žalbenim predmetima je, kao i u ranijim izvještajnim godinama, uočeno da tijela često ne primjenjuju odredbu članka 15. stavka 5. ZPPI-ja, koja omogućuje djelomično omogućavanje pristupa informaciji, kao i da se u nekim slučajevima, unatoč tome što je člankom 16. stavkom 3. ZPPI-ja, propisana dostupnost imena i prezimena, iznosa i namjene sredstva bez provedbe testa razmjernosti i javnog interesa u slučaju raspolaganja javnim sredstvima, navedeni test u odnosu na takve podatke od strane tijela provodi.</w:t>
      </w:r>
    </w:p>
    <w:p w14:paraId="71AC1071" w14:textId="081660CE" w:rsidR="004158A8" w:rsidRPr="00F0315E" w:rsidRDefault="00D55042" w:rsidP="009032D7">
      <w:pPr>
        <w:pStyle w:val="Naslov3"/>
        <w:ind w:left="1985"/>
      </w:pPr>
      <w:bookmarkStart w:id="82" w:name="_Toc225511694"/>
      <w:bookmarkStart w:id="83" w:name="_Toc225865586"/>
      <w:r>
        <w:t>Klasificirani podaci</w:t>
      </w:r>
      <w:bookmarkEnd w:id="82"/>
      <w:bookmarkEnd w:id="83"/>
    </w:p>
    <w:p w14:paraId="4D3F0501" w14:textId="67913FCE" w:rsidR="00990F80" w:rsidRDefault="00990F80" w:rsidP="00990F80">
      <w:bookmarkStart w:id="84" w:name="_Toc131070574"/>
      <w:r>
        <w:t>U 2025. zaprimljeno je 60 žalbi na rješenja u kojima su se prvostupanjska tijela pozivala na ograničenje pristupa informaciji (4,6% od ukupno 1</w:t>
      </w:r>
      <w:r w:rsidR="00B129F7">
        <w:t>.</w:t>
      </w:r>
      <w:r>
        <w:t xml:space="preserve">317 zaprimljenih žalbi) koja je klasificirana stupnjem tajnosti, a brojci od 60 žalbi dodana je i jedna prenesena žalba iz 2024. godine, pa je u radu bila ukupno 61 žalba. Od ukupnog broja žalbi u radu u 2025. riješeno je 60 žalbi na način da je u 59 slučajeva potvrđeno rješenje prvostupanjskog tijela te su žalbe odbijene kao neosnovane, dok je u jednom slučaju u žalbenom postupku Povjerenik poništio prvostupanjsko rješenje te je omogućen pristup informacijama, s obzirom da je utvrđeno da zatražena informacija nije klasificirana stupnjem tajnosti. Naime, u žalbenom postupku je utvrđeno da informacije koje je prvostupanjsko tijelo dostavilo kao informacije koje su predmet postupka nisu klasificirane stupnjem tajnosti te da slijedom navedenoga nisu ispunjeni uvjeti za pozivanje na odredbu članka 15. stavka 2. točke 1. ZPPI-ija kao razlog za ograničenje prava na pristup informacijama. </w:t>
      </w:r>
    </w:p>
    <w:p w14:paraId="4689753F" w14:textId="7B5F9699" w:rsidR="00D55042" w:rsidRDefault="00990F80" w:rsidP="00990F80">
      <w:r>
        <w:t>U 57 konkretnih slučajeva u kojima su žalbe odbijene kao neosnovane i gdje su potvrđena rješenja Ministarstva financija, različiti korisnici tražili su identičnu informaciju i to nagodbu između Vlade Republike Hrvatske i šest banaka (Zagrebačkom bankom, Privrednom bankom, Sberbankom, Erste, Raiffeisen i OTP bankom) sklopljene pred Međunarodnim centrom za rješavanje investicijskih sporova. Zatražena informacija je klasificirana stupnjem tajnosti „POVJERLJIVO“, pa je prvostupanjsko tijelo kao vlasnik informacije nakon zatraženog i dobivenog mišljenja Ureda Vijeća za nacionalnu sigurnost i provedenog testa razmjernosti i javnog interesa procijenilo da i dalje postoje razlozi zbog kojih je zatražena informacija klasificirana stupnjem tajnosti i da razlozi za ograničenjem od pristupa prevladavaju nad razlozima za omogućavanjem pristupa traženoj informaciji, te je uskraćen pristup traženoj informaciji.</w:t>
      </w:r>
    </w:p>
    <w:tbl>
      <w:tblPr>
        <w:tblStyle w:val="Reetkatablice"/>
        <w:tblW w:w="9067" w:type="dxa"/>
        <w:tblLook w:val="04A0" w:firstRow="1" w:lastRow="0" w:firstColumn="1" w:lastColumn="0" w:noHBand="0" w:noVBand="1"/>
      </w:tblPr>
      <w:tblGrid>
        <w:gridCol w:w="9067"/>
      </w:tblGrid>
      <w:tr w:rsidR="00D55042" w14:paraId="6B011F6D" w14:textId="77777777" w:rsidTr="00422879">
        <w:tc>
          <w:tcPr>
            <w:tcW w:w="9067" w:type="dxa"/>
          </w:tcPr>
          <w:p w14:paraId="2263D578" w14:textId="77777777" w:rsidR="00D55042" w:rsidRDefault="00D55042" w:rsidP="00422879">
            <w:r w:rsidRPr="009B276C">
              <w:lastRenderedPageBreak/>
              <w:t xml:space="preserve">Uz podnesene žalbe u 2025. vezane za ograničenje pristupa informaciji koja je klasificirana stupnjem tajnosti ističe se da se u velikoj mjeri radilo o istovrsnim postupcima Ministarstva financija u kojima su odbijani identični zahtjevi različitih korisnika koji traže informaciju čije ostvarenje pristupa je u interesu svih podnositelja zahtjeva, tako da se ne može zaključiti da postoji širi interes korisnika za informacije koje su klasificirane stupnjem tajnosti. </w:t>
            </w:r>
          </w:p>
        </w:tc>
      </w:tr>
    </w:tbl>
    <w:p w14:paraId="485840AB" w14:textId="77777777" w:rsidR="00D55042" w:rsidRPr="009B276C" w:rsidRDefault="00D55042" w:rsidP="00C64BFE">
      <w:pPr>
        <w:spacing w:before="120"/>
      </w:pPr>
      <w:r w:rsidRPr="009B276C">
        <w:t>Potrebno je istaknuti da je veći broj žalbi uz ovo područje zabilježen  2017. kada je evidentirano 128 žalbi te 2018. godine sa evidentiranih 60 žalbi, no i tada se radilo o istovrsnim informacijama, kao što je i u slučajevima iz ovog izvještajnog razdoblja.</w:t>
      </w:r>
    </w:p>
    <w:p w14:paraId="0D591658" w14:textId="13638EF9" w:rsidR="004158A8" w:rsidRPr="00F0315E" w:rsidRDefault="00D55042" w:rsidP="009128B3">
      <w:pPr>
        <w:pStyle w:val="Naslov3"/>
        <w:ind w:left="1985"/>
      </w:pPr>
      <w:bookmarkStart w:id="85" w:name="_Toc225511695"/>
      <w:bookmarkStart w:id="86" w:name="_Toc225865587"/>
      <w:bookmarkEnd w:id="84"/>
      <w:r>
        <w:t>Poslovna i profesionalna tajna</w:t>
      </w:r>
      <w:bookmarkEnd w:id="85"/>
      <w:bookmarkEnd w:id="86"/>
    </w:p>
    <w:p w14:paraId="1EBA07CA" w14:textId="4A49A232" w:rsidR="00D55042" w:rsidRDefault="00D55042" w:rsidP="00D55042">
      <w:pPr>
        <w:rPr>
          <w:rFonts w:eastAsia="Times New Roman" w:cs="Times New Roman"/>
        </w:rPr>
      </w:pPr>
      <w:r w:rsidRPr="00F03A08">
        <w:rPr>
          <w:rFonts w:eastAsia="Times New Roman" w:cs="Times New Roman"/>
        </w:rPr>
        <w:t>Povjerenik je tijekom 2025. zaprimio 28 žalbi (2,1% od ukupno 1</w:t>
      </w:r>
      <w:r w:rsidR="00B129F7">
        <w:rPr>
          <w:rFonts w:eastAsia="Times New Roman" w:cs="Times New Roman"/>
        </w:rPr>
        <w:t>.</w:t>
      </w:r>
      <w:r w:rsidRPr="00F03A08">
        <w:rPr>
          <w:rFonts w:eastAsia="Times New Roman" w:cs="Times New Roman"/>
        </w:rPr>
        <w:t>317 zaprimljenih žalbi) izjavljenih protiv rješenja u kojima su tijela koristila poslovnu ili profesionalnu</w:t>
      </w:r>
      <w:r w:rsidRPr="006B3137">
        <w:rPr>
          <w:rFonts w:eastAsia="Times New Roman" w:cs="Times New Roman"/>
        </w:rPr>
        <w:t xml:space="preserve"> tajnu kao razlog za odbijanje zahtjeva, pa je zajedno sa prenesenim žalbama iz prošlog izvještajnog razdoblja imao u radu ukupno 35 takvih žalbenih predmeta.</w:t>
      </w:r>
    </w:p>
    <w:p w14:paraId="61C991DE" w14:textId="77777777" w:rsidR="00D55042" w:rsidRDefault="00D55042" w:rsidP="00D55042">
      <w:pPr>
        <w:rPr>
          <w:rFonts w:eastAsia="Times New Roman" w:cs="Times New Roman"/>
        </w:rPr>
      </w:pPr>
      <w:r w:rsidRPr="006B3137">
        <w:rPr>
          <w:rFonts w:eastAsia="Times New Roman" w:cs="Times New Roman"/>
        </w:rPr>
        <w:t>Od 35 navedenih predmeta u radu riješene su 23 žalbe (65,7%), na način da je u 16 ili 69,9% slučajeva rješenje poništeno, te je u 13 slučajeva u cijelosti ili djelomično omogućen pristup informaciji, a u 3 slučaja predmet vraćen na ponovni postupak. Od riješenih predmeta, u 5 (21,7%) slučajeva je potvrđeno prvostupanjsko rješenje i odbijena žalba, u jednom slučaju je obustavljen postupak, a u jednom je tijelo samo promijenilo odluku.</w:t>
      </w:r>
    </w:p>
    <w:p w14:paraId="2F1D84E9" w14:textId="48D69B00" w:rsidR="00557857" w:rsidRDefault="00557857" w:rsidP="00D55042">
      <w:pPr>
        <w:rPr>
          <w:rFonts w:eastAsia="Times New Roman" w:cs="Times New Roman"/>
        </w:rPr>
      </w:pPr>
      <w:r w:rsidRPr="00557857">
        <w:rPr>
          <w:rFonts w:eastAsia="Times New Roman" w:cs="Times New Roman"/>
        </w:rPr>
        <w:t>Analizom žalbenih predmeta je utvrđeno da su se različita tijela, od kojih su u većini trgovačka društva koja predstavljaju tijela javne vlasti (18 predmeta), poslovnom tajnom koristila za odbijanje zahtjeva kojima su tražene informacije o sklopljenim ugovorima, troškovima manifestacija, isplatama tijela po različitim osnovama, o zaposlenima, pružanju odvjetničkih usluga, projektnoj dokumentaciji, inspekcijskim zapisnicima te informacije iz područja javne nabave i sl.</w:t>
      </w:r>
    </w:p>
    <w:tbl>
      <w:tblPr>
        <w:tblStyle w:val="Reetkatablice"/>
        <w:tblW w:w="0" w:type="auto"/>
        <w:tblBorders>
          <w:insideH w:val="none" w:sz="0" w:space="0" w:color="auto"/>
          <w:insideV w:val="none" w:sz="0" w:space="0" w:color="auto"/>
        </w:tblBorders>
        <w:tblLook w:val="04A0" w:firstRow="1" w:lastRow="0" w:firstColumn="1" w:lastColumn="0" w:noHBand="0" w:noVBand="1"/>
      </w:tblPr>
      <w:tblGrid>
        <w:gridCol w:w="9062"/>
      </w:tblGrid>
      <w:tr w:rsidR="00D55042" w14:paraId="1DF9DA2A" w14:textId="77777777" w:rsidTr="00557857">
        <w:tc>
          <w:tcPr>
            <w:tcW w:w="9062" w:type="dxa"/>
          </w:tcPr>
          <w:p w14:paraId="0CEDE86A" w14:textId="4A83A84F" w:rsidR="00D55042" w:rsidRPr="00C64BFE" w:rsidRDefault="00081701" w:rsidP="00422879">
            <w:pPr>
              <w:rPr>
                <w:rFonts w:eastAsia="Times New Roman" w:cs="Times New Roman"/>
              </w:rPr>
            </w:pPr>
            <w:r w:rsidRPr="00820849">
              <w:rPr>
                <w:rFonts w:eastAsia="Times New Roman" w:cs="Times New Roman"/>
              </w:rPr>
              <w:t xml:space="preserve">Kada se podaci iz 2025. usporede s podacima iz 2024., kada je u radu bilo 52 takva predmeta, vidljivo je da je u ovom izvještajnom razdoblju došlo do smanjenja broja predmeta u kojima je bila riječ o ograničenju pristupa informacijama zbog poslovne ili profesionalne tajne.  </w:t>
            </w:r>
          </w:p>
        </w:tc>
      </w:tr>
    </w:tbl>
    <w:p w14:paraId="067A8552" w14:textId="76839608" w:rsidR="004158A8" w:rsidRPr="00F0315E" w:rsidRDefault="00D55042" w:rsidP="009032D7">
      <w:pPr>
        <w:pStyle w:val="Naslov3"/>
        <w:ind w:left="1985"/>
      </w:pPr>
      <w:bookmarkStart w:id="87" w:name="_Toc225865588"/>
      <w:bookmarkStart w:id="88" w:name="_Toc66103142"/>
      <w:r>
        <w:t>Vođenje postupka - članak 15. stavak 3. točka 1. ZPPI-ja</w:t>
      </w:r>
      <w:bookmarkEnd w:id="87"/>
      <w:r w:rsidR="004158A8">
        <w:t xml:space="preserve"> </w:t>
      </w:r>
    </w:p>
    <w:p w14:paraId="1888D535" w14:textId="05E02246" w:rsidR="00D55042" w:rsidRPr="00C9634B" w:rsidRDefault="00D55042" w:rsidP="00D55042">
      <w:pPr>
        <w:rPr>
          <w:rFonts w:eastAsia="Times New Roman" w:cs="Times New Roman"/>
        </w:rPr>
      </w:pPr>
      <w:bookmarkStart w:id="89" w:name="_Toc66103143"/>
      <w:bookmarkStart w:id="90" w:name="_Toc68002291"/>
      <w:bookmarkEnd w:id="88"/>
      <w:r w:rsidRPr="00C9634B">
        <w:rPr>
          <w:rFonts w:eastAsia="Times New Roman" w:cs="Times New Roman"/>
        </w:rPr>
        <w:t>U 2025. Povjerenik je zaprimio 25 žalbi protiv odluka u kojima je mogući utjecaj na vođenje nekog pravno uređenog postupka bio razlog za odbijanje zahtjeva za pristup informacijama, (1,9% od ukupno 1</w:t>
      </w:r>
      <w:r w:rsidR="00B129F7">
        <w:rPr>
          <w:rFonts w:eastAsia="Times New Roman" w:cs="Times New Roman"/>
        </w:rPr>
        <w:t>.</w:t>
      </w:r>
      <w:r w:rsidRPr="00C9634B">
        <w:rPr>
          <w:rFonts w:eastAsia="Times New Roman" w:cs="Times New Roman"/>
        </w:rPr>
        <w:t xml:space="preserve">317 zaprimljenih žalbi) pa je zajedno s predmetima prenesenim iz ranijeg razdoblja (12) u radu  bilo ukupno 37 predmeta, od kojih je riješeno 22 (59,5%), na način da je u 13 (59,1%) predmeta žalba odbijena kao neosnovana, a u osam predmeta (36,3%) rješenje je poništeno. Kod poništavanja prvostupanjskih rješenja Povjerenik je u četiri slučaja omogućio pristup informacijama, a u 4 slučaja predmet vratio na ponovno rješavanje prvostupanjskom tijelu. U jednom slučaju je prvostupanjsko tijelo samo promijenilo svoju odluku. </w:t>
      </w:r>
    </w:p>
    <w:tbl>
      <w:tblPr>
        <w:tblStyle w:val="Reetkatablice2"/>
        <w:tblW w:w="0" w:type="auto"/>
        <w:tblLook w:val="04A0" w:firstRow="1" w:lastRow="0" w:firstColumn="1" w:lastColumn="0" w:noHBand="0" w:noVBand="1"/>
      </w:tblPr>
      <w:tblGrid>
        <w:gridCol w:w="9062"/>
      </w:tblGrid>
      <w:tr w:rsidR="00D55042" w:rsidRPr="00C9634B" w14:paraId="36E9FA83" w14:textId="77777777" w:rsidTr="00422879">
        <w:tc>
          <w:tcPr>
            <w:tcW w:w="16721" w:type="dxa"/>
          </w:tcPr>
          <w:p w14:paraId="54680DE5" w14:textId="77777777" w:rsidR="00D55042" w:rsidRPr="00D43648" w:rsidRDefault="00D55042" w:rsidP="00D55042">
            <w:pPr>
              <w:rPr>
                <w:rFonts w:ascii="Roboto" w:hAnsi="Roboto" w:cs="Times New Roman"/>
                <w:sz w:val="22"/>
                <w:szCs w:val="22"/>
              </w:rPr>
            </w:pPr>
            <w:r w:rsidRPr="00D43648">
              <w:rPr>
                <w:rFonts w:ascii="Roboto" w:hAnsi="Roboto" w:cs="Arial"/>
                <w:sz w:val="22"/>
                <w:szCs w:val="22"/>
              </w:rPr>
              <w:lastRenderedPageBreak/>
              <w:t>Usporedbom podataka s 2024., u 2025. godini došlo je do povećanja potvrđenih prvostupanjskih rješenja u kojima je korišten ovaj razlog odbijanja zahtjeva te do smanjenja broja poništenih rješenja tijela.</w:t>
            </w:r>
          </w:p>
        </w:tc>
      </w:tr>
    </w:tbl>
    <w:p w14:paraId="26D95128" w14:textId="6C8DB1E3" w:rsidR="00D55042" w:rsidRPr="009032D7" w:rsidRDefault="00D55042" w:rsidP="009032D7">
      <w:pPr>
        <w:pStyle w:val="Naslov3"/>
        <w:ind w:left="1985"/>
      </w:pPr>
      <w:bookmarkStart w:id="91" w:name="_Toc194064483"/>
      <w:bookmarkStart w:id="92" w:name="_Toc224020569"/>
      <w:bookmarkStart w:id="93" w:name="_Toc224020704"/>
      <w:bookmarkStart w:id="94" w:name="_Toc224020836"/>
      <w:bookmarkStart w:id="95" w:name="_Toc224020909"/>
      <w:bookmarkStart w:id="96" w:name="_Toc224026637"/>
      <w:bookmarkStart w:id="97" w:name="_Toc224026726"/>
      <w:bookmarkStart w:id="98" w:name="_Toc224026789"/>
      <w:bookmarkStart w:id="99" w:name="_Toc224026876"/>
      <w:bookmarkStart w:id="100" w:name="_Toc224027013"/>
      <w:bookmarkStart w:id="101" w:name="_Toc224027118"/>
      <w:bookmarkStart w:id="102" w:name="_Toc225511697"/>
      <w:bookmarkStart w:id="103" w:name="_Toc225865589"/>
      <w:r>
        <w:t>U ostalim slučajevima utvrđenim zakonom</w:t>
      </w:r>
      <w:bookmarkEnd w:id="91"/>
      <w:bookmarkEnd w:id="92"/>
      <w:bookmarkEnd w:id="93"/>
      <w:bookmarkEnd w:id="94"/>
      <w:bookmarkEnd w:id="95"/>
      <w:bookmarkEnd w:id="96"/>
      <w:bookmarkEnd w:id="97"/>
      <w:bookmarkEnd w:id="98"/>
      <w:bookmarkEnd w:id="99"/>
      <w:bookmarkEnd w:id="100"/>
      <w:bookmarkEnd w:id="101"/>
      <w:bookmarkEnd w:id="102"/>
      <w:bookmarkEnd w:id="103"/>
    </w:p>
    <w:p w14:paraId="7A0B29F1" w14:textId="77777777" w:rsidR="00D55042" w:rsidRPr="00C9634B" w:rsidRDefault="00D55042" w:rsidP="00D55042">
      <w:pPr>
        <w:rPr>
          <w:rFonts w:eastAsia="Times New Roman" w:cs="Arial"/>
        </w:rPr>
      </w:pPr>
      <w:r w:rsidRPr="00C64BFE">
        <w:rPr>
          <w:rFonts w:eastAsia="Times New Roman" w:cs="Arial"/>
        </w:rPr>
        <w:t>U članku 15. stavku 2. točki 7. ZPPI-ja propisana je mogućnost ograničenja pristupa informacijama kada je to propisano drugim zakonom, a u kojem slučaju je prije donošenja odluke potrebno provesti test razmjernosti i javnog interesa.</w:t>
      </w:r>
    </w:p>
    <w:p w14:paraId="19550E85" w14:textId="77777777" w:rsidR="00D55042" w:rsidRPr="00C9634B" w:rsidRDefault="00D55042" w:rsidP="00D55042">
      <w:pPr>
        <w:widowControl w:val="0"/>
        <w:ind w:right="-42"/>
        <w:rPr>
          <w:rFonts w:eastAsia="Times New Roman" w:cs="Times New Roman"/>
        </w:rPr>
      </w:pPr>
      <w:r w:rsidRPr="00C9634B">
        <w:rPr>
          <w:rFonts w:eastAsia="Times New Roman" w:cs="Times New Roman"/>
        </w:rPr>
        <w:t xml:space="preserve">Povjerenik je u 2025. zaprimio 20 žalbi zbog odbijanja zahtjeva pozivom na ovo zakonsko ograničenje (1,5% od ukupno zaprimljenih žalbi), a s prenesenim žalbama iz ranijeg razdoblja (10) ukupno je u radu bilo 30 predmeta, od čega je riješeno 22 (73,3%), na način da je u osam (26,7%) slučajeva potvrđena odluka tijela. U 13 (59,1%) slučajeva poništeno je rješenje tijela javne vlasti te je u 10 predmeta omogućen pristup informacijama, a u 3 predmet vraćen na ponovno odlučivanje prvostupanjskom tijelu. Od riješenih predmeta u 8 slučajeva su žalbe odbijene te je u jednom slučaju prvostupanjsko rješenje oglašeno ništavim. </w:t>
      </w:r>
    </w:p>
    <w:p w14:paraId="6F1AC37A" w14:textId="77777777" w:rsidR="00D55042" w:rsidRPr="00C9634B" w:rsidRDefault="00D55042" w:rsidP="00D55042">
      <w:pPr>
        <w:widowControl w:val="0"/>
        <w:pBdr>
          <w:top w:val="single" w:sz="4" w:space="1" w:color="auto"/>
          <w:left w:val="single" w:sz="4" w:space="4" w:color="auto"/>
          <w:bottom w:val="single" w:sz="4" w:space="1" w:color="auto"/>
          <w:right w:val="single" w:sz="4" w:space="4" w:color="auto"/>
        </w:pBdr>
        <w:ind w:right="-42"/>
        <w:rPr>
          <w:rFonts w:eastAsia="Times New Roman" w:cs="Times New Roman"/>
        </w:rPr>
      </w:pPr>
      <w:r w:rsidRPr="00C64BFE">
        <w:rPr>
          <w:rFonts w:eastAsia="Times New Roman" w:cs="Times New Roman"/>
        </w:rPr>
        <w:t>Kada se navedeni podaci usporede s 2024., vidljivo je da je u 2025. godini došlo do povećanja broja predmeta u kojima su prvostupanjska tijela koristila ovo zakonsko ograničenje, a također i broja poništenih prvostupanjskih rješenja u kojima su se kod odbijanja zahtjeva prvostupanjska tijela pozivala na članak 15. stavak 2. točku 7 ZPPI-ija.</w:t>
      </w:r>
    </w:p>
    <w:p w14:paraId="6F61CB9B" w14:textId="77777777" w:rsidR="004158A8" w:rsidRPr="00F0315E" w:rsidRDefault="004158A8" w:rsidP="00811052">
      <w:pPr>
        <w:pStyle w:val="Naslov2"/>
        <w:ind w:left="1276" w:hanging="567"/>
      </w:pPr>
      <w:bookmarkStart w:id="104" w:name="_Toc225865590"/>
      <w:r w:rsidRPr="7D481D26">
        <w:t>Žalbe na postupanje sa zahtjevima za ponovnu uporabu informacija</w:t>
      </w:r>
      <w:bookmarkEnd w:id="89"/>
      <w:bookmarkEnd w:id="90"/>
      <w:bookmarkEnd w:id="104"/>
    </w:p>
    <w:p w14:paraId="26B91BDA" w14:textId="77777777" w:rsidR="00D55042" w:rsidRPr="00BF5749" w:rsidRDefault="00D55042" w:rsidP="00D55042">
      <w:pPr>
        <w:widowControl w:val="0"/>
      </w:pPr>
      <w:r w:rsidRPr="00BF5749">
        <w:t>Kada se govori o postupanju Povjerenika u žalbenim postupcima kod ponovne uporabe informacija ističe se da je u ovom području redovito mali broj podnesenih žalbi sa stalno prisutnim padom.</w:t>
      </w:r>
    </w:p>
    <w:tbl>
      <w:tblPr>
        <w:tblStyle w:val="Reetkatablice"/>
        <w:tblW w:w="0" w:type="auto"/>
        <w:tblLook w:val="04A0" w:firstRow="1" w:lastRow="0" w:firstColumn="1" w:lastColumn="0" w:noHBand="0" w:noVBand="1"/>
      </w:tblPr>
      <w:tblGrid>
        <w:gridCol w:w="9062"/>
      </w:tblGrid>
      <w:tr w:rsidR="00D55042" w14:paraId="1416857D" w14:textId="77777777" w:rsidTr="00422879">
        <w:tc>
          <w:tcPr>
            <w:tcW w:w="16721" w:type="dxa"/>
          </w:tcPr>
          <w:p w14:paraId="266E32C5" w14:textId="77777777" w:rsidR="00D55042" w:rsidRPr="00BF5749" w:rsidRDefault="00D55042" w:rsidP="00422879">
            <w:pPr>
              <w:widowControl w:val="0"/>
            </w:pPr>
            <w:r w:rsidRPr="00BF5749">
              <w:t xml:space="preserve">Povjerenik je u izvještajnom razdoblju u radu imao pet žalbi koje su se odnosile na postupanje prvostupanjskih tijela po zahtjevu za ponovnu uporabu informacija, od čega su dvije zaprimljene u izvještajnom razdoblju i tri žalbe su prenesene iz 2024., a od ukupnog broja u 2025. riješene su četiri žalbe. </w:t>
            </w:r>
          </w:p>
          <w:p w14:paraId="6C9E685C" w14:textId="77777777" w:rsidR="00D55042" w:rsidRDefault="00D55042" w:rsidP="00422879">
            <w:pPr>
              <w:widowControl w:val="0"/>
            </w:pPr>
            <w:r w:rsidRPr="00BF5749">
              <w:t>Žalbe vezane uz ponovnu uporabu informacija u žalbenim postupcima riješene su na način da je u jednom slučaju rješenje poništeno i predmet vraćen na ponovni postupak</w:t>
            </w:r>
            <w:r>
              <w:t>, u dva slučaja je odbijena žalba kao neosnovana te je u jednom slučaju obustavljen postupak.</w:t>
            </w:r>
            <w:r w:rsidRPr="00BF5749">
              <w:t xml:space="preserve"> </w:t>
            </w:r>
          </w:p>
        </w:tc>
      </w:tr>
    </w:tbl>
    <w:p w14:paraId="23387934" w14:textId="77777777" w:rsidR="00F06F14" w:rsidRDefault="00F06F14" w:rsidP="00F06F14">
      <w:pPr>
        <w:widowControl w:val="0"/>
        <w:spacing w:before="120"/>
      </w:pPr>
      <w:r w:rsidRPr="00C64BFE">
        <w:t>U konkretnom slučaju Javna ustanova Spomen-područje Jasenovac odbila je zahtjev za ponovnu uporabu informacija korisnika. Prvostupanjsko tijelo kao ustanova u kulturi smatralo je da je izuzeto od primjene odredbi Zakona o pravu na pristup informacijama koje se odnose na ponovnu uporabu, ali je Povjerenik u žalbenom postupku utvrdio da je prvostupanjsko tijelo obveznik ZPPI-ja i u dijelu odredbi koje se tiču ponovne uporabe informacija jer obavlja djelatnost kao javnu službi sukladno Zakonu o ustanovama, Zakonu o muzejima i Statutu, kao javni muzej u okviru</w:t>
      </w:r>
      <w:r>
        <w:t xml:space="preserve"> Sustava muzeja Republike Hrvatske.</w:t>
      </w:r>
    </w:p>
    <w:p w14:paraId="488E95AF" w14:textId="77777777" w:rsidR="00F06F14" w:rsidRDefault="00F06F14" w:rsidP="00F06F14">
      <w:pPr>
        <w:widowControl w:val="0"/>
      </w:pPr>
      <w:r>
        <w:lastRenderedPageBreak/>
        <w:t xml:space="preserve">Nadalje je u dva slučaja potvrđeno rješenje prvostupanjskog tijela, odnosno odbijena je žalba kao neosnovana. </w:t>
      </w:r>
    </w:p>
    <w:p w14:paraId="21113397" w14:textId="77777777" w:rsidR="00F06F14" w:rsidRDefault="00F06F14" w:rsidP="00F06F14">
      <w:pPr>
        <w:widowControl w:val="0"/>
      </w:pPr>
      <w:r>
        <w:t>Povjerenik je potvrdio rješenje Ministarstva unutarnjih poslova kojim je odbijen zahtjev korisnika za ponovnu uporabu informacija iz evidencije registriranih vozila putem REST sučelja za programiranje aplikacija (API-ja) u nekomercijalne svrhe jer se predmet žaliteljevog zahtjeva za ponovnu uporabu informacija odnosio na traženja ponovne uporabe baze podataka kojoj je pristup ograničen posebnim propisom. Potvrđeno je i rješenje Ministarstva pravosuđa, uprave i digitalne transformacije kojim je odbijen zahtjev korisnika za dostavom informacije vezano za sklapanje i prestanak braka iz državnih matica, jer je utvrđeno kako prvostupanjsko tijelo iz aplikacije koju koristi, a niti iz elektroničke baze podataka koju za prvostupanjsko tijelo održava i nadograđuje tvrtka APIS ne može jednostavnom obradom podataka i bez dodatnih troškova izvući podatke te da bi radi udovoljavanja zahtjevu trebalo vršiti dodatne radnje, kao što je između ostaloga i ručna obrada podataka, a za što ne postoji zakonska obveza prvostupanjskog tijela.</w:t>
      </w:r>
    </w:p>
    <w:p w14:paraId="70DC98BF" w14:textId="2BF4F99B" w:rsidR="00D55042" w:rsidRPr="00BF5749" w:rsidRDefault="00F06F14" w:rsidP="00F06F14">
      <w:pPr>
        <w:widowControl w:val="0"/>
      </w:pPr>
      <w:r>
        <w:t>Povjerenik je u jednom slučaju obustavio postupak po žalbi, s obzirom da je prvostupanjsko tijelo, Ministarstva unutarnjih poslova riješilo zahtjev žalitelja i donijelo rješenje.</w:t>
      </w:r>
    </w:p>
    <w:p w14:paraId="59DCC6A7" w14:textId="77777777" w:rsidR="00D55042" w:rsidRDefault="00D55042" w:rsidP="00D55042">
      <w:r w:rsidRPr="00C9634B">
        <w:t>Povjerenik je u jednom slučaju obustavio postupak po žalbi, s obzirom da je prvostupanjsko tijelo, Ministarstva unutarnjih poslova riješilo zahtjev žalitelja i donijelo rješenje.</w:t>
      </w:r>
    </w:p>
    <w:p w14:paraId="656F321D" w14:textId="75494536" w:rsidR="004158A8" w:rsidRPr="00F0315E" w:rsidRDefault="004158A8" w:rsidP="00811052">
      <w:pPr>
        <w:pStyle w:val="Naslov2"/>
        <w:ind w:left="1276" w:hanging="567"/>
      </w:pPr>
      <w:bookmarkStart w:id="105" w:name="_Toc225865591"/>
      <w:r w:rsidRPr="7D481D26">
        <w:t>Značajnije odluke</w:t>
      </w:r>
      <w:r w:rsidR="00F652B3" w:rsidRPr="7D481D26">
        <w:t xml:space="preserve"> Povjerenika za informiranje</w:t>
      </w:r>
      <w:bookmarkEnd w:id="105"/>
    </w:p>
    <w:p w14:paraId="5D4119F5" w14:textId="77777777" w:rsidR="00D55042" w:rsidRPr="006B3137" w:rsidRDefault="00D55042" w:rsidP="00D55042">
      <w:pPr>
        <w:rPr>
          <w:rFonts w:cs="Arial"/>
        </w:rPr>
      </w:pPr>
      <w:r w:rsidRPr="006B3137">
        <w:rPr>
          <w:rFonts w:cs="Arial"/>
        </w:rPr>
        <w:t xml:space="preserve">Rješenja iz žalbenih postupaka za pristup i ponovnu uporabu informacija te ostali važni akti Povjerenika objavljuju se na internetskoj stranici </w:t>
      </w:r>
      <w:hyperlink r:id="rId24" w:history="1">
        <w:r w:rsidRPr="006B3137">
          <w:rPr>
            <w:rStyle w:val="Hiperveza"/>
            <w:rFonts w:eastAsiaTheme="majorEastAsia" w:cs="Arial"/>
          </w:rPr>
          <w:t>https://tom.pristupinfo.hr</w:t>
        </w:r>
      </w:hyperlink>
      <w:r w:rsidRPr="006B3137">
        <w:rPr>
          <w:rFonts w:cs="Arial"/>
        </w:rPr>
        <w:t xml:space="preserve"> kroz aplikaciju </w:t>
      </w:r>
      <w:r w:rsidRPr="006B3137">
        <w:rPr>
          <w:rFonts w:cs="Arial"/>
          <w:i/>
          <w:iCs/>
        </w:rPr>
        <w:t>Tražilica odluka i mišljenja (TOM)</w:t>
      </w:r>
      <w:r w:rsidRPr="006B3137">
        <w:rPr>
          <w:rFonts w:cs="Arial"/>
        </w:rPr>
        <w:t>.</w:t>
      </w:r>
    </w:p>
    <w:p w14:paraId="258DA2EC" w14:textId="77777777" w:rsidR="00D55042" w:rsidRPr="006B3137" w:rsidRDefault="00D55042" w:rsidP="00D55042">
      <w:pPr>
        <w:rPr>
          <w:rFonts w:cs="Arial"/>
        </w:rPr>
      </w:pPr>
      <w:r w:rsidRPr="006B3137">
        <w:rPr>
          <w:rFonts w:cs="Arial"/>
        </w:rPr>
        <w:t xml:space="preserve">U nastavku se daje pregled informacija koje trebaju biti javno dostupne uz eventualnu zaštitu određenih podataka, prema nekim od donesenih rješenja Povjerenika u 2025.: </w:t>
      </w:r>
    </w:p>
    <w:p w14:paraId="748A1328" w14:textId="2022F3D4"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Zahtjev za odobrenje radova na javnoj površini sa svrhom izgradnje javne elektroničke komunikacijske mreže – VRGORAC Broj: EHR-2023:003670 Uhr od 6. listopada 2022. godine (tijelo javne vlasti: Grad Vrgorac), rješenje KLASA: UP/II-008-07/22-01/205,</w:t>
      </w:r>
    </w:p>
    <w:p w14:paraId="700DD8FE"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 xml:space="preserve">Rješenje o ispunjavanju sudačke dužnosti (tijelo javne vlasti: Općinski građanski sud u Zagrebu), rješenje KLASA: UP/II-008-07/25-01/837, </w:t>
      </w:r>
    </w:p>
    <w:p w14:paraId="5E4A8507"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Zamolba za unos prve procjene štete nastale od suše, KLASA: 320-03/22-01/01, URBROJ: 2109-26-03/1-22-3 od 16. rujna 2022. godine; Prvo priopćenje Općine Pribislavec od 19. rujna 2022. godine; Zaključak Državnog povjerenstva za procjenu šteta od prirodnih nepogoda, KLASA: 422-02/22-01/35, URBROJ: 513-06-02-22-3 od 7. listopada 2022. godine, (tijelo javne vlasti: Općina Pribislavec), rješenje KLASA: UP/II-008-07/25-01/921,</w:t>
      </w:r>
    </w:p>
    <w:p w14:paraId="6BDE4804"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Preslike rješenja Istarske županije (dodatak za uspješnost u radu), (tijelo javne vlasti: Istarska županija), rješenje KLASA: UP/II-008-07/25-01/785,</w:t>
      </w:r>
    </w:p>
    <w:p w14:paraId="497D9F90"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 xml:space="preserve">Pregled obračuna drugog dohotka po primateljima, (tijelo javne vlasti: Hrvatska </w:t>
      </w:r>
      <w:r w:rsidRPr="00BB1912">
        <w:rPr>
          <w:rFonts w:ascii="Roboto" w:hAnsi="Roboto"/>
          <w:color w:val="000000" w:themeColor="text1"/>
        </w:rPr>
        <w:lastRenderedPageBreak/>
        <w:t>odvjetnička komora), rješenje KLASA: UP/II-008-07/25-01/534,</w:t>
      </w:r>
    </w:p>
    <w:p w14:paraId="735F368B"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Potvrde o isplaćenim dohocima, uplaćenim doprinosima, porezu i prirezu  – nadzorni odbor (tijelo javne vlasti: trgovačko društvo Unikom d.o.o.),  rješenje KLASA: UP/II-008-07/24-01/786,</w:t>
      </w:r>
    </w:p>
    <w:p w14:paraId="26BC6D88"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Zapisnik Ministarstva znanosti i obrazovanja, Samostalni sektor prosvjetne inspekcije, Služba prosvjetne inspekcije Zagreb I, KLASA: UP/I-600-04/23-02/00096, URBROJ: 533-08-23-0001 od 24. ožujka 2023. godine (tijelo javne vlasti: Ministarstva znanosti, obrazovanja i mladih), KLASA: UP/II-008-07/25-01/439,</w:t>
      </w:r>
    </w:p>
    <w:p w14:paraId="25C2B7C6"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Prometni elaborat za područje grada Križevaca s prijedlogom tipskih rješenja za smirivanje prometa, uređenje biciklističke infrastrukture i autobusnih stajališta“ iz prosinca 2023. godine, Oznaka projekta: FPZ-ZGP-220354, kojeg je izradio Fakultet prometnih znanosti Sveučilišta u Zagrebu; Prometni elaborat „Uređenje prometa – jednosmjerna ulica, biciklistička staza, uzdignute plohe, novo uređenje prometa – dodatak državne ceste“ iz rujna 2024. godine, Oznaka projekta: P-069-24, kojeg je izradilo trgovačko društvo SIGPROM d.o.o. (tijelo javne vlasti: Grad Križevci), KLASA: UP/II-008-07/25-01/243,</w:t>
      </w:r>
    </w:p>
    <w:p w14:paraId="3A10F7B4"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Aneksi Kolektivnog ugovora za zaposlene u jedinicama lokalne samouprave i upravnim odjelima Istarske županije (tijelo javne vlasti: Istarska županija), rješenje KLASA: UP/II-008-07/25-01/342,</w:t>
      </w:r>
    </w:p>
    <w:p w14:paraId="37FB86E3"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Dopis Povjerenstva za reizbor od 14. ožujka 2025. godine, Izjava o glavnom autorstvu, Dopis Sveučilišta u Splitu, Fakulteta elektrotehnike, strojarstva i brodogradnje Klasa:   112-01/23-01/069, Ur. broj: 2181/206-3-3-24-10 od 14. ožujka 2024. godine (tijelo javne vlasti: Sveučilište u Splitu, Fakultet elektrotehnike, strojarstva i brodogradnje), rješenje KLASA: UP/II-008-07/25-01/113,</w:t>
      </w:r>
    </w:p>
    <w:p w14:paraId="47728BC7"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Ugovor o plaćanju naknade za postavljanje reklame sklopljenog između Grada Zagreba i trgovačkog društva Europlakat d.o.o.; Mišljenje Grada Zagreba, Gradskog ureda za obnovu, izgradnju, prostorno uređenje, graditeljstvo, komunalne poslove i promet, Odjela za korištenje i zakup javnih površina, reklame i uređenje javnih gradskih prostora, Odsjeka za uređenje javnih prostora KLASA: 363-02/22- 018/555, URBROJ: 251-10-33-2/002-21-2 od 12. kolovoza 2022. godine (tijelo javne vlasti: Grad Zagreb), KLASA: UP/II-008-07/24-01/604,</w:t>
      </w:r>
    </w:p>
    <w:p w14:paraId="10693EEB"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Rješenje o ukidanju Rješenja Upravnog odjela za prostorno uređenje, graditeljstvo i zaštitu okoliša Osječko-baranjske županije KLASA: UP/I-351-02/22-01/2, URBROJ: 2158-16-03/02-22-15 od 17. svibnja 2022. godine, KLASA: UP/I-351-02/23-01/15, URBROJ: 2158-16/33-24-17 od 8. travnja 2024. godine (tijelo javne vlasti: Osječko-baranjska županija), KLASA: UP/II-008-07/24-01/536,</w:t>
      </w:r>
    </w:p>
    <w:p w14:paraId="309F66E2"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Zapisnik e-sjednice Upravnog odbora Hrvatske komore edukacijskih rehabilitatora, (tijelo javne vlasti: Hrvatska komora edukacijskih rehabilitatora), rješenje KLASA: UP/II-008-07/23-01/1077,</w:t>
      </w:r>
    </w:p>
    <w:p w14:paraId="6E3AB7B4"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 xml:space="preserve">Podaci o vremenu održavanja, dnevnom redu sjednice i o nazočnim članovima na </w:t>
      </w:r>
      <w:r w:rsidRPr="00C64BFE">
        <w:rPr>
          <w:rFonts w:ascii="Roboto" w:hAnsi="Roboto"/>
          <w:color w:val="000000" w:themeColor="text1"/>
        </w:rPr>
        <w:t>sjednici, Zapisnika II. i III.  sjednice Povjerenstva za kadrove u ak. god. 2024./2025.</w:t>
      </w:r>
      <w:r w:rsidRPr="00BB1912">
        <w:rPr>
          <w:rFonts w:ascii="Roboto" w:hAnsi="Roboto"/>
          <w:color w:val="000000" w:themeColor="text1"/>
        </w:rPr>
        <w:t xml:space="preserve"> i Zapisnika III. redovne sjednice Stručnog vijeća, Sveučilišnog odjela za forenzične znanosti Sveučilišta u Splitu, Sveučilišta u Splitu, Sveučilišnog odjela za forenzične znanosti (tijelo javne vlasti: Sveučilište u Splitu, Sveučilišni odjel za forenzične </w:t>
      </w:r>
      <w:r w:rsidRPr="00BB1912">
        <w:rPr>
          <w:rFonts w:ascii="Roboto" w:hAnsi="Roboto"/>
          <w:color w:val="000000" w:themeColor="text1"/>
        </w:rPr>
        <w:lastRenderedPageBreak/>
        <w:t>znanosti), KLASA: UP/II-008-07/24-01/992,</w:t>
      </w:r>
    </w:p>
    <w:p w14:paraId="5DA658CB"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Zapisnik o prikupljenim donacijama na manifestaciji „Stara jela z Dugog Sela 2025.“ od 21. rujna 2025. godine (tijelo javne vlasti: Grad Dugo Selo), rješenje KLASA: UP/II-008-07/25-01/984,</w:t>
      </w:r>
    </w:p>
    <w:p w14:paraId="51A94CDF"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Pravilnik o organizaciji rada i sistematizaciji radnih mjesta Hrvatske odvjetničke komore, donesenog na sjednici Upravnog odbora Hrvatske odvjetničke komore održanoj dana 19. svibnja 2022. godine; kvalifikacije  osoba koje su bile zaposlene u Hrvatskoj odvjetničkoj komori na dan 31. prosinca 2024. godine; bruto plaće zaposlenika (tijelo javne vlasti: Hrvatska odvjetnička komora), rješenje KLASA: UP/II-008-07/25-01/974,</w:t>
      </w:r>
    </w:p>
    <w:p w14:paraId="66F6DAC8" w14:textId="77777777" w:rsidR="00BB1912" w:rsidRPr="00BB1912"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Zapisnik Ministarstva znanosti, obrazovanja i mladih o nadzoru prosvjetne inspekcije KLASA: UP/I-600-04/24-01/00067, URBROJ: 533-08-24-0001 od 21. lipnja 2024. godine  (tijelo javne vlasti: Ministarstva znanosti, obrazovanja i mladih), KLASA: UP/II-008-07/24-01/842 i</w:t>
      </w:r>
    </w:p>
    <w:p w14:paraId="6BE9188A" w14:textId="27340758" w:rsidR="00442580" w:rsidRPr="00442580" w:rsidRDefault="00BB1912" w:rsidP="005F0EC0">
      <w:pPr>
        <w:pStyle w:val="Odlomakpopisa"/>
        <w:widowControl w:val="0"/>
        <w:numPr>
          <w:ilvl w:val="0"/>
          <w:numId w:val="2"/>
        </w:numPr>
        <w:contextualSpacing/>
        <w:rPr>
          <w:rFonts w:ascii="Roboto" w:hAnsi="Roboto"/>
          <w:color w:val="000000" w:themeColor="text1"/>
        </w:rPr>
      </w:pPr>
      <w:r w:rsidRPr="00BB1912">
        <w:rPr>
          <w:rFonts w:ascii="Roboto" w:hAnsi="Roboto"/>
          <w:color w:val="000000" w:themeColor="text1"/>
        </w:rPr>
        <w:t>Godišnji raspored poslova za 2024. Općinskog suda u Crikvenici “, Broj: 5 Su-819/2023-1 od 30. studenog 2023. godine i „Izmjene godišnjeg rasporeda poslova za 2024.“, Broj: 5 Su-819/2023-10 od 8. srpnja 2024. godine (tijelo javne vlasti: Općinski sud u Crikvenici), rješenje KLASA: UP/II-008-07/24-01/718</w:t>
      </w:r>
      <w:r w:rsidR="00442580" w:rsidRPr="00442580">
        <w:rPr>
          <w:rFonts w:ascii="Roboto" w:hAnsi="Roboto"/>
          <w:color w:val="000000" w:themeColor="text1"/>
        </w:rPr>
        <w:t>.</w:t>
      </w:r>
    </w:p>
    <w:p w14:paraId="44095094" w14:textId="297483E3" w:rsidR="004158A8" w:rsidRPr="00F0315E" w:rsidRDefault="004158A8" w:rsidP="00811052">
      <w:pPr>
        <w:pStyle w:val="Naslov2"/>
        <w:ind w:left="1276" w:hanging="567"/>
      </w:pPr>
      <w:bookmarkStart w:id="106" w:name="_Toc225865592"/>
      <w:r w:rsidRPr="7D481D26">
        <w:t>Provedba izvršenja rješenja u 202</w:t>
      </w:r>
      <w:r w:rsidR="00442580" w:rsidRPr="7D481D26">
        <w:t>5</w:t>
      </w:r>
      <w:r w:rsidRPr="7D481D26">
        <w:t>. godini</w:t>
      </w:r>
      <w:bookmarkEnd w:id="106"/>
    </w:p>
    <w:p w14:paraId="385C0C31" w14:textId="77777777" w:rsidR="00F0131C" w:rsidRPr="00F0131C" w:rsidRDefault="00F0131C" w:rsidP="00F0131C">
      <w:pPr>
        <w:shd w:val="clear" w:color="auto" w:fill="FFFFFF"/>
        <w:rPr>
          <w:rFonts w:cs="Arial"/>
          <w:iCs/>
        </w:rPr>
      </w:pPr>
      <w:r w:rsidRPr="00F0131C">
        <w:rPr>
          <w:rFonts w:cs="Arial"/>
          <w:iCs/>
        </w:rPr>
        <w:t xml:space="preserve">Člankom 25.a ZPPI-ja propisano je da su pravomoćna rješenja Povjerenika kojima se omogućava pristup informacijama i rješenja kojima se tijelu javne vlasti nalaže rješavanje zahtjeva za pristup informacijama obvezujuća i izvršna te da izvršenje navedenih rješenja provodi Povjerenik. Također je propisano da izvršenje rješenja provodi Povjerenik donošenjem rješenja o izvršenju koje se osigurava izricanjem novčane kazne odgovornoj osobi tijela javne vlasti, odnosno obustavom od plaće odgovornoj osobi. </w:t>
      </w:r>
    </w:p>
    <w:p w14:paraId="3E4C82ED" w14:textId="77777777" w:rsidR="00F0131C" w:rsidRPr="00F0131C" w:rsidRDefault="00F0131C" w:rsidP="00F0131C">
      <w:pPr>
        <w:shd w:val="clear" w:color="auto" w:fill="FFFFFF"/>
        <w:rPr>
          <w:rFonts w:cs="Arial"/>
          <w:iCs/>
        </w:rPr>
      </w:pPr>
      <w:r w:rsidRPr="00F0131C">
        <w:rPr>
          <w:rFonts w:cs="Arial"/>
          <w:iCs/>
        </w:rPr>
        <w:t xml:space="preserve">Rješenje o izvršenju rješenja Povjerenik može donijeti po službenoj dužnosti kad to nalaže javni interes ili temeljem prijedloga stranke. </w:t>
      </w:r>
    </w:p>
    <w:p w14:paraId="184790BF" w14:textId="77777777" w:rsidR="00F0131C" w:rsidRPr="00F0131C" w:rsidRDefault="00F0131C" w:rsidP="00F0131C">
      <w:pPr>
        <w:shd w:val="clear" w:color="auto" w:fill="FFFFFF"/>
        <w:rPr>
          <w:rFonts w:cs="Arial"/>
          <w:iCs/>
        </w:rPr>
      </w:pPr>
      <w:r w:rsidRPr="00F0131C">
        <w:rPr>
          <w:rFonts w:cs="Arial"/>
          <w:iCs/>
        </w:rPr>
        <w:t>Povjerenik je u 2025. godini sukladno odredbi ZPPI-ja donosio rješenja o izvršenju kao instituta koji ima za krajnji cilj rješavanje zahtjeva za pristup informacijama korisnika ili omogućavanje pristupa informacijama temeljem pravomoćnih rješenja kroz donošenje obvezujućih rješenja Povjerenika odnosno izravnih novčanih sankcioniranja čelnika tijela javne vlasti koja ne postupe po rješenju o izvršenju rješenja Povjerenika.</w:t>
      </w:r>
    </w:p>
    <w:p w14:paraId="0C88B047" w14:textId="77777777" w:rsidR="00F0131C" w:rsidRPr="00F0131C" w:rsidRDefault="00F0131C" w:rsidP="00F0131C">
      <w:pPr>
        <w:shd w:val="clear" w:color="auto" w:fill="FFFFFF"/>
        <w:rPr>
          <w:rFonts w:cs="Arial"/>
          <w:iCs/>
        </w:rPr>
      </w:pPr>
      <w:r w:rsidRPr="00F0131C">
        <w:rPr>
          <w:rFonts w:cs="Arial"/>
          <w:iCs/>
        </w:rPr>
        <w:t>Tijekom 2025. godine Povjerenik je donio 3 rješenja o izvršenju rješenja na prijedlog stranaka u slučajevima u kojima tijela javne vlasti nisu postupila po rješenju Povjerenika te je u jednom slučaju naloženo da se zahtjev korisnika riješi u roku od 8 dana od dana primitka rješenja, a u ostala dva slučaja je naloženo da se postupi sukladno određenoj točki izreke rješenja u roku od 8 dana od dana pravomoćnosti rješenja. U navedenim rješenjima Povjerenik je upozoravao čelnike tijela da će, ako ne izvrši obvezu iz rješenja, na izvršenje obveze biti prinuđen izricanjem novčane kazne u iznosu 650,00 EUR, koja će biti naplaćena prisilno putem tijela nadležnog za izvršenje novčanih kazni.</w:t>
      </w:r>
    </w:p>
    <w:p w14:paraId="72DF52CE" w14:textId="77777777" w:rsidR="00F0131C" w:rsidRPr="00F0131C" w:rsidRDefault="00F0131C" w:rsidP="00F0131C">
      <w:pPr>
        <w:shd w:val="clear" w:color="auto" w:fill="FFFFFF"/>
        <w:rPr>
          <w:rFonts w:cs="Arial"/>
          <w:iCs/>
        </w:rPr>
      </w:pPr>
      <w:r w:rsidRPr="00F0131C">
        <w:rPr>
          <w:rFonts w:cs="Arial"/>
          <w:iCs/>
        </w:rPr>
        <w:lastRenderedPageBreak/>
        <w:t>Tako je Povjerenik u 2025. godini donio po jedno rješenje o izvršenju rješenja u odnosu na predsjednika Hrvatske gospodarske komore, predsjednika Vatrogasne zajednice Zagrebačke županije te predsjednika Hrvatskog nogometnog saveza.</w:t>
      </w:r>
    </w:p>
    <w:p w14:paraId="028DEF71" w14:textId="7C789FD2" w:rsidR="00442580" w:rsidRDefault="00F0131C" w:rsidP="00F0131C">
      <w:pPr>
        <w:shd w:val="clear" w:color="auto" w:fill="FFFFFF"/>
        <w:rPr>
          <w:rFonts w:cs="Arial"/>
          <w:iCs/>
        </w:rPr>
      </w:pPr>
      <w:r w:rsidRPr="00F0131C">
        <w:rPr>
          <w:rFonts w:cs="Arial"/>
          <w:iCs/>
        </w:rPr>
        <w:t>Navedena tijela javne vlasti su u roku koji je određen u rješenju o izvršenju postupila po rješenju Povjerenika te su donijela odluku o zahtjevu korisnika odnosno omogućila pristup informacijama, iz kojeg razloga nije bilo osnove za daljnjim postupanjem Povjerenika.</w:t>
      </w:r>
    </w:p>
    <w:tbl>
      <w:tblPr>
        <w:tblStyle w:val="Reetkatablice"/>
        <w:tblW w:w="9067" w:type="dxa"/>
        <w:tblLook w:val="04A0" w:firstRow="1" w:lastRow="0" w:firstColumn="1" w:lastColumn="0" w:noHBand="0" w:noVBand="1"/>
      </w:tblPr>
      <w:tblGrid>
        <w:gridCol w:w="9067"/>
      </w:tblGrid>
      <w:tr w:rsidR="00442580" w14:paraId="105422AC" w14:textId="77777777" w:rsidTr="00422879">
        <w:tc>
          <w:tcPr>
            <w:tcW w:w="9067" w:type="dxa"/>
          </w:tcPr>
          <w:p w14:paraId="76F42C4B" w14:textId="77777777" w:rsidR="00442580" w:rsidRDefault="00442580" w:rsidP="00422879">
            <w:pPr>
              <w:shd w:val="clear" w:color="auto" w:fill="FFFFFF"/>
              <w:rPr>
                <w:rFonts w:cs="Arial"/>
                <w:iCs/>
              </w:rPr>
            </w:pPr>
            <w:r w:rsidRPr="00B5671F">
              <w:rPr>
                <w:rFonts w:cs="Arial"/>
                <w:iCs/>
              </w:rPr>
              <w:t>U usporedbi s prošlim izvještajnim razdobljem kada je tijekom 2024. Povjerenik donio 5 rješenja o izvršenju vidljivo je smanjenje slučajeva donošenja rješenja o izvršenju. Navedeno ukazuje da tijela javne vlasti u velikoj mjeri postupaju po rješenjima Povjerenika i da su samo u 3 slučaja na prijedlog stranaka donesena rješenja o izvršenju.</w:t>
            </w:r>
          </w:p>
        </w:tc>
      </w:tr>
    </w:tbl>
    <w:p w14:paraId="59ADA6D7" w14:textId="7CA8129D" w:rsidR="004554EB" w:rsidRPr="00F0315E" w:rsidRDefault="004554EB" w:rsidP="7D481D26">
      <w:pPr>
        <w:pStyle w:val="Naslov1"/>
      </w:pPr>
      <w:bookmarkStart w:id="107" w:name="_Toc225865593"/>
      <w:r w:rsidRPr="7D481D26">
        <w:t>Sudski nadzor</w:t>
      </w:r>
      <w:bookmarkEnd w:id="107"/>
    </w:p>
    <w:p w14:paraId="1CC91CF7" w14:textId="0443BFEC" w:rsidR="001A7904" w:rsidRPr="00F0315E" w:rsidRDefault="008F32F4" w:rsidP="00811052">
      <w:pPr>
        <w:pStyle w:val="Naslov2"/>
        <w:ind w:left="1276" w:hanging="567"/>
      </w:pPr>
      <w:bookmarkStart w:id="108" w:name="_Toc225865594"/>
      <w:r w:rsidRPr="7D481D26">
        <w:t xml:space="preserve">Postupci pred </w:t>
      </w:r>
      <w:r w:rsidR="001A7904" w:rsidRPr="7D481D26">
        <w:t>Visoki</w:t>
      </w:r>
      <w:r w:rsidRPr="7D481D26">
        <w:t>m</w:t>
      </w:r>
      <w:r w:rsidR="001A7904" w:rsidRPr="7D481D26">
        <w:t xml:space="preserve"> upravni</w:t>
      </w:r>
      <w:r w:rsidRPr="7D481D26">
        <w:t>m</w:t>
      </w:r>
      <w:r w:rsidR="001A7904" w:rsidRPr="7D481D26">
        <w:t xml:space="preserve"> sud</w:t>
      </w:r>
      <w:r w:rsidRPr="7D481D26">
        <w:t>om</w:t>
      </w:r>
      <w:r w:rsidR="001A7904" w:rsidRPr="7D481D26">
        <w:t xml:space="preserve"> R</w:t>
      </w:r>
      <w:r w:rsidR="00044ECC" w:rsidRPr="7D481D26">
        <w:t xml:space="preserve">epublike </w:t>
      </w:r>
      <w:r w:rsidR="001A7904" w:rsidRPr="7D481D26">
        <w:t>H</w:t>
      </w:r>
      <w:r w:rsidR="00044ECC" w:rsidRPr="7D481D26">
        <w:t>rvatske</w:t>
      </w:r>
      <w:bookmarkEnd w:id="108"/>
    </w:p>
    <w:p w14:paraId="47A026C8" w14:textId="77777777" w:rsidR="00442580" w:rsidRPr="003E014A" w:rsidRDefault="00442580" w:rsidP="00442580">
      <w:pPr>
        <w:widowControl w:val="0"/>
        <w:shd w:val="clear" w:color="auto" w:fill="FFFFFF" w:themeFill="background1"/>
        <w:rPr>
          <w:rFonts w:cs="Segoe UI"/>
          <w:szCs w:val="23"/>
        </w:rPr>
      </w:pPr>
      <w:bookmarkStart w:id="109" w:name="_Hlk193699130"/>
      <w:r w:rsidRPr="003E014A">
        <w:rPr>
          <w:rFonts w:cs="Segoe UI"/>
          <w:szCs w:val="23"/>
        </w:rPr>
        <w:t>Pravna zaštita protiv rješenja Povjerenika te u slučaju neodlučivanja Povjerenika u propisanim rokovima (tzv. šutnja uprave) osigurana je korisnicima prava na pristup i ponovnu uporabu informacija pred Visokim upravnim sudom RH.</w:t>
      </w:r>
    </w:p>
    <w:p w14:paraId="65FCA849" w14:textId="77777777" w:rsidR="00442580" w:rsidRPr="003E014A" w:rsidRDefault="00442580" w:rsidP="00442580">
      <w:pPr>
        <w:widowControl w:val="0"/>
        <w:shd w:val="clear" w:color="auto" w:fill="FFFFFF" w:themeFill="background1"/>
        <w:rPr>
          <w:rFonts w:cs="Segoe UI"/>
          <w:szCs w:val="23"/>
        </w:rPr>
      </w:pPr>
      <w:r w:rsidRPr="003E014A">
        <w:rPr>
          <w:rFonts w:cs="Segoe UI"/>
          <w:szCs w:val="23"/>
        </w:rPr>
        <w:t xml:space="preserve">Upravni spor prema članku 26. ZPPI-ja može tužbom pokrenuti korisnik prava na informaciju, kao i tijelo javne vlasti koje je odlučivalo u prvom stupnju. Podnesena tužba ima odgodni učinak ako je rješenjem Povjerenika korisniku omogućen pristup informaciji. </w:t>
      </w:r>
    </w:p>
    <w:bookmarkEnd w:id="109"/>
    <w:p w14:paraId="727D7BF7" w14:textId="0DD71C9E" w:rsidR="00442580" w:rsidRPr="003E014A" w:rsidRDefault="00442580" w:rsidP="00442580">
      <w:pPr>
        <w:widowControl w:val="0"/>
        <w:shd w:val="clear" w:color="auto" w:fill="FFFFFF" w:themeFill="background1"/>
        <w:rPr>
          <w:rFonts w:cs="Segoe UI"/>
          <w:szCs w:val="23"/>
        </w:rPr>
      </w:pPr>
      <w:r w:rsidRPr="003E014A">
        <w:rPr>
          <w:rFonts w:cs="Segoe UI"/>
          <w:szCs w:val="23"/>
        </w:rPr>
        <w:t>Statističke podatke koji se odnose na upravne sporove iz 202</w:t>
      </w:r>
      <w:r>
        <w:rPr>
          <w:rFonts w:cs="Segoe UI"/>
          <w:szCs w:val="23"/>
        </w:rPr>
        <w:t>5</w:t>
      </w:r>
      <w:r w:rsidRPr="003E014A">
        <w:rPr>
          <w:rFonts w:cs="Segoe UI"/>
          <w:szCs w:val="23"/>
        </w:rPr>
        <w:t xml:space="preserve">. sadržava Tablica </w:t>
      </w:r>
      <w:r>
        <w:rPr>
          <w:rFonts w:cs="Segoe UI"/>
          <w:szCs w:val="23"/>
        </w:rPr>
        <w:t>5.1.,</w:t>
      </w:r>
      <w:r w:rsidRPr="003E014A">
        <w:rPr>
          <w:rFonts w:cs="Segoe UI"/>
          <w:szCs w:val="23"/>
        </w:rPr>
        <w:t xml:space="preserve"> pri čemu je potrebno razlikovati započete upravne sporove (podnesene tužbe) i riješene upravnosudske predmete (sudske odluke po tužbama).</w:t>
      </w:r>
    </w:p>
    <w:p w14:paraId="64ECDE00" w14:textId="19E61F7A" w:rsidR="004322BD" w:rsidRPr="00F0315E" w:rsidRDefault="00442580" w:rsidP="009032D7">
      <w:pPr>
        <w:pStyle w:val="Naslov3"/>
        <w:ind w:left="1985"/>
      </w:pPr>
      <w:bookmarkStart w:id="110" w:name="_Toc225865595"/>
      <w:r>
        <w:t>Podnošenje tužbi</w:t>
      </w:r>
      <w:bookmarkEnd w:id="110"/>
    </w:p>
    <w:p w14:paraId="39096A99" w14:textId="77777777" w:rsidR="00442580" w:rsidRPr="003E014A" w:rsidRDefault="00442580" w:rsidP="00442580">
      <w:pPr>
        <w:widowControl w:val="0"/>
        <w:shd w:val="clear" w:color="auto" w:fill="FFFFFF" w:themeFill="background1"/>
        <w:rPr>
          <w:rFonts w:cs="Segoe UI"/>
          <w:szCs w:val="23"/>
        </w:rPr>
      </w:pPr>
      <w:r w:rsidRPr="003E014A">
        <w:rPr>
          <w:rFonts w:cs="Segoe UI"/>
          <w:szCs w:val="23"/>
        </w:rPr>
        <w:t>Tijekom 202</w:t>
      </w:r>
      <w:r>
        <w:rPr>
          <w:rFonts w:cs="Segoe UI"/>
          <w:szCs w:val="23"/>
        </w:rPr>
        <w:t>5</w:t>
      </w:r>
      <w:r w:rsidRPr="003E014A">
        <w:rPr>
          <w:rFonts w:cs="Segoe UI"/>
          <w:szCs w:val="23"/>
        </w:rPr>
        <w:t>. pred Visokim upravnim sudom RH pokrenut</w:t>
      </w:r>
      <w:r>
        <w:rPr>
          <w:rFonts w:cs="Segoe UI"/>
          <w:szCs w:val="23"/>
        </w:rPr>
        <w:t>o je</w:t>
      </w:r>
      <w:r w:rsidRPr="003E014A">
        <w:rPr>
          <w:rFonts w:cs="Segoe UI"/>
          <w:szCs w:val="23"/>
        </w:rPr>
        <w:t xml:space="preserve"> </w:t>
      </w:r>
      <w:r w:rsidRPr="00C1601B">
        <w:rPr>
          <w:rFonts w:cs="Segoe UI"/>
          <w:szCs w:val="23"/>
        </w:rPr>
        <w:t>112</w:t>
      </w:r>
      <w:r>
        <w:rPr>
          <w:rFonts w:cs="Segoe UI"/>
          <w:szCs w:val="23"/>
        </w:rPr>
        <w:t xml:space="preserve"> </w:t>
      </w:r>
      <w:r w:rsidRPr="003E014A">
        <w:rPr>
          <w:rFonts w:cs="Segoe UI"/>
          <w:szCs w:val="23"/>
        </w:rPr>
        <w:t>upravni</w:t>
      </w:r>
      <w:r>
        <w:rPr>
          <w:rFonts w:cs="Segoe UI"/>
          <w:szCs w:val="23"/>
        </w:rPr>
        <w:t>h</w:t>
      </w:r>
      <w:r w:rsidRPr="003E014A">
        <w:rPr>
          <w:rFonts w:cs="Segoe UI"/>
          <w:szCs w:val="23"/>
        </w:rPr>
        <w:t xml:space="preserve"> spor</w:t>
      </w:r>
      <w:r>
        <w:rPr>
          <w:rFonts w:cs="Segoe UI"/>
          <w:szCs w:val="23"/>
        </w:rPr>
        <w:t>ova, što ukazuje na povećanje broja upravnih sporova u odnosu na 2024. kad je pokrenuto 60 upravnih sporova, odnosno pokrenuto je 86,7% više upravnih sporova u odnosu na prethodno razdoblje.</w:t>
      </w:r>
    </w:p>
    <w:p w14:paraId="394B3485" w14:textId="77777777" w:rsidR="00442580" w:rsidRDefault="00442580" w:rsidP="00442580">
      <w:pPr>
        <w:widowControl w:val="0"/>
        <w:shd w:val="clear" w:color="auto" w:fill="FFFFFF" w:themeFill="background1"/>
        <w:rPr>
          <w:rFonts w:cs="Segoe UI"/>
          <w:szCs w:val="23"/>
        </w:rPr>
      </w:pPr>
      <w:r w:rsidRPr="003E014A">
        <w:rPr>
          <w:rFonts w:cs="Segoe UI"/>
          <w:szCs w:val="23"/>
        </w:rPr>
        <w:t xml:space="preserve">Upravni sporovi su pokrenuti u </w:t>
      </w:r>
      <w:r>
        <w:rPr>
          <w:rFonts w:cs="Segoe UI"/>
          <w:szCs w:val="23"/>
        </w:rPr>
        <w:t>69</w:t>
      </w:r>
      <w:r w:rsidRPr="003E014A">
        <w:rPr>
          <w:rFonts w:cs="Segoe UI"/>
          <w:szCs w:val="23"/>
        </w:rPr>
        <w:t xml:space="preserve"> slučajeva (</w:t>
      </w:r>
      <w:r>
        <w:rPr>
          <w:rFonts w:cs="Segoe UI"/>
          <w:szCs w:val="23"/>
        </w:rPr>
        <w:t>61,6</w:t>
      </w:r>
      <w:r w:rsidRPr="003E014A">
        <w:rPr>
          <w:rFonts w:cs="Segoe UI"/>
          <w:szCs w:val="23"/>
        </w:rPr>
        <w:t xml:space="preserve">%) protiv rješenja Povjerenika, dok je u </w:t>
      </w:r>
      <w:r>
        <w:rPr>
          <w:rFonts w:cs="Segoe UI"/>
          <w:szCs w:val="23"/>
        </w:rPr>
        <w:t xml:space="preserve">42 slučaja (37,5%) </w:t>
      </w:r>
      <w:r w:rsidRPr="003E014A">
        <w:rPr>
          <w:rFonts w:cs="Segoe UI"/>
          <w:szCs w:val="23"/>
        </w:rPr>
        <w:t>upravni spor pokrenut zbog nerješavanja žalbe u zakonskim rokovima (tzv. šutnja uprave)</w:t>
      </w:r>
      <w:r>
        <w:rPr>
          <w:rFonts w:cs="Segoe UI"/>
          <w:szCs w:val="23"/>
        </w:rPr>
        <w:t xml:space="preserve">, a u jednom predmetu (0.9%) tužba je pokrenuta protiv obavijesti Povjerenika o neprovođenju postupka prisilnog izvršenja rješenja Povjerenika. </w:t>
      </w:r>
    </w:p>
    <w:p w14:paraId="152AA0FE" w14:textId="77777777" w:rsidR="00442580" w:rsidRDefault="00442580" w:rsidP="00442580">
      <w:pPr>
        <w:widowControl w:val="0"/>
        <w:shd w:val="clear" w:color="auto" w:fill="FFFFFF" w:themeFill="background1"/>
        <w:rPr>
          <w:rFonts w:cs="Segoe UI"/>
          <w:szCs w:val="23"/>
        </w:rPr>
      </w:pPr>
      <w:r>
        <w:rPr>
          <w:rFonts w:cs="Segoe UI"/>
          <w:szCs w:val="23"/>
        </w:rPr>
        <w:t xml:space="preserve">Kad se navedeni podaci usporede s prethodnim razdobljem, vidljiv je porast broja tužbi radi šutnje Povjerenika (čak 42 tužbe), što predstavlja povećanje od 200% u odnosu na 2024. kad je podneseno 14 tužbi radi šutnje Povjerenika, a razlog je u tome što tijela javne vlasti ne dostavljaju Povjereniku spise predmeta, ne dostavljaju informacije koje su predmet postupka ili ne dostavljaju, sukladno članku 121. ZUP-a, žaliteljima rješenja Povjerenika te žalitelji </w:t>
      </w:r>
      <w:r>
        <w:rPr>
          <w:rFonts w:cs="Segoe UI"/>
          <w:szCs w:val="23"/>
        </w:rPr>
        <w:lastRenderedPageBreak/>
        <w:t>nemaju saznanja da je žalba riješena.</w:t>
      </w:r>
    </w:p>
    <w:p w14:paraId="1F6EFF7A" w14:textId="41EC2BEC" w:rsidR="00442580" w:rsidRDefault="00442580" w:rsidP="00442580">
      <w:pPr>
        <w:widowControl w:val="0"/>
        <w:shd w:val="clear" w:color="auto" w:fill="FFFFFF" w:themeFill="background1"/>
        <w:rPr>
          <w:rFonts w:cs="Segoe UI"/>
          <w:szCs w:val="23"/>
        </w:rPr>
      </w:pPr>
      <w:r>
        <w:rPr>
          <w:rFonts w:cs="Segoe UI"/>
          <w:szCs w:val="23"/>
        </w:rPr>
        <w:t xml:space="preserve">Veći dio navedenih tužbi je podnesen od manjeg broja korisnika, pri čemu je naglasak bio na traženju troškova upravnog spora, a o čemu će biti više riječ u </w:t>
      </w:r>
      <w:r w:rsidR="005F0EC0">
        <w:rPr>
          <w:rFonts w:cs="Segoe UI"/>
          <w:szCs w:val="23"/>
        </w:rPr>
        <w:t>dijelu</w:t>
      </w:r>
      <w:r>
        <w:rPr>
          <w:rFonts w:cs="Segoe UI"/>
          <w:szCs w:val="23"/>
        </w:rPr>
        <w:t xml:space="preserve"> koj</w:t>
      </w:r>
      <w:r w:rsidR="005F0EC0">
        <w:rPr>
          <w:rFonts w:cs="Segoe UI"/>
          <w:szCs w:val="23"/>
        </w:rPr>
        <w:t>i</w:t>
      </w:r>
      <w:r>
        <w:rPr>
          <w:rFonts w:cs="Segoe UI"/>
          <w:szCs w:val="23"/>
        </w:rPr>
        <w:t xml:space="preserve"> se odnosi na trošak upravnog spora. </w:t>
      </w:r>
    </w:p>
    <w:p w14:paraId="79CADC7D" w14:textId="1FD5BD4E" w:rsidR="00442580" w:rsidRDefault="00442580" w:rsidP="00442580">
      <w:pPr>
        <w:keepNext/>
        <w:widowControl w:val="0"/>
        <w:spacing w:before="240"/>
        <w:rPr>
          <w:rFonts w:cs="Segoe UI"/>
          <w:szCs w:val="23"/>
        </w:rPr>
      </w:pPr>
      <w:r w:rsidRPr="003E014A">
        <w:rPr>
          <w:rFonts w:cs="Segoe UI"/>
          <w:szCs w:val="23"/>
        </w:rPr>
        <w:t>Tijekom 202</w:t>
      </w:r>
      <w:r>
        <w:rPr>
          <w:rFonts w:cs="Segoe UI"/>
          <w:szCs w:val="23"/>
        </w:rPr>
        <w:t>5</w:t>
      </w:r>
      <w:r w:rsidRPr="003E014A">
        <w:rPr>
          <w:rFonts w:cs="Segoe UI"/>
          <w:szCs w:val="23"/>
        </w:rPr>
        <w:t xml:space="preserve">. je izrađeno </w:t>
      </w:r>
      <w:r>
        <w:rPr>
          <w:rFonts w:cs="Segoe UI"/>
          <w:szCs w:val="23"/>
        </w:rPr>
        <w:t>110</w:t>
      </w:r>
      <w:r w:rsidRPr="003E014A">
        <w:rPr>
          <w:rFonts w:cs="Segoe UI"/>
          <w:szCs w:val="23"/>
        </w:rPr>
        <w:t xml:space="preserve"> odgovora na tužbu</w:t>
      </w:r>
      <w:r w:rsidR="00FD0576">
        <w:rPr>
          <w:rFonts w:cs="Segoe UI"/>
          <w:szCs w:val="23"/>
        </w:rPr>
        <w:t>.</w:t>
      </w:r>
    </w:p>
    <w:p w14:paraId="44F81EDB" w14:textId="644768DD" w:rsidR="004322BD" w:rsidRDefault="00442580" w:rsidP="00442580">
      <w:pPr>
        <w:keepNext/>
        <w:widowControl w:val="0"/>
        <w:spacing w:before="240"/>
        <w:rPr>
          <w:rFonts w:cs="Arial"/>
          <w:sz w:val="18"/>
          <w:szCs w:val="18"/>
        </w:rPr>
      </w:pPr>
      <w:r w:rsidRPr="00442580">
        <w:rPr>
          <w:rFonts w:cs="Arial"/>
          <w:sz w:val="18"/>
          <w:szCs w:val="18"/>
        </w:rPr>
        <w:t>T</w:t>
      </w:r>
      <w:r w:rsidR="00B119AF" w:rsidRPr="00F0315E">
        <w:rPr>
          <w:rFonts w:cs="Arial"/>
          <w:sz w:val="18"/>
          <w:szCs w:val="18"/>
        </w:rPr>
        <w:t xml:space="preserve">ablica </w:t>
      </w:r>
      <w:r w:rsidR="00920F3B" w:rsidRPr="00F0315E">
        <w:rPr>
          <w:rFonts w:cs="Arial"/>
          <w:sz w:val="18"/>
          <w:szCs w:val="18"/>
        </w:rPr>
        <w:t>5</w:t>
      </w:r>
      <w:r w:rsidR="00B119AF" w:rsidRPr="00F0315E">
        <w:rPr>
          <w:rFonts w:cs="Arial"/>
          <w:sz w:val="18"/>
          <w:szCs w:val="18"/>
        </w:rPr>
        <w:t>.1. Upravni sporovi u 202</w:t>
      </w:r>
      <w:r w:rsidR="00FD0576">
        <w:rPr>
          <w:rFonts w:cs="Arial"/>
          <w:sz w:val="18"/>
          <w:szCs w:val="18"/>
        </w:rPr>
        <w:t>5</w:t>
      </w:r>
      <w:r w:rsidR="00B119AF" w:rsidRPr="00F0315E">
        <w:rPr>
          <w:rFonts w:cs="Arial"/>
          <w:sz w:val="18"/>
          <w:szCs w:val="18"/>
        </w:rPr>
        <w:t>.</w:t>
      </w:r>
    </w:p>
    <w:tbl>
      <w:tblPr>
        <w:tblStyle w:val="ListTable2-Accent11"/>
        <w:tblW w:w="9180" w:type="dxa"/>
        <w:jc w:val="center"/>
        <w:tblLayout w:type="fixed"/>
        <w:tblLook w:val="04A0" w:firstRow="1" w:lastRow="0" w:firstColumn="1" w:lastColumn="0" w:noHBand="0" w:noVBand="1"/>
      </w:tblPr>
      <w:tblGrid>
        <w:gridCol w:w="5495"/>
        <w:gridCol w:w="1842"/>
        <w:gridCol w:w="1843"/>
      </w:tblGrid>
      <w:tr w:rsidR="00442580" w:rsidRPr="003E014A" w14:paraId="55B7AA18" w14:textId="77777777" w:rsidTr="0042287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495" w:type="dxa"/>
            <w:noWrap/>
            <w:vAlign w:val="center"/>
            <w:hideMark/>
          </w:tcPr>
          <w:p w14:paraId="2A073AD7" w14:textId="77777777" w:rsidR="00442580" w:rsidRPr="00442580" w:rsidRDefault="00442580" w:rsidP="00BD20B6">
            <w:pPr>
              <w:widowControl w:val="0"/>
              <w:spacing w:before="20" w:after="20"/>
              <w:rPr>
                <w:rFonts w:ascii="Roboto" w:hAnsi="Roboto" w:cs="Arial"/>
                <w:b w:val="0"/>
                <w:bCs w:val="0"/>
                <w:sz w:val="18"/>
                <w:szCs w:val="18"/>
                <w:lang w:eastAsia="zh-CN"/>
              </w:rPr>
            </w:pPr>
            <w:r w:rsidRPr="00442580">
              <w:rPr>
                <w:rFonts w:ascii="Roboto" w:hAnsi="Roboto" w:cs="Arial"/>
                <w:sz w:val="18"/>
                <w:szCs w:val="18"/>
                <w:lang w:eastAsia="zh-CN"/>
              </w:rPr>
              <w:t>Upravni sporovi i tužbe u 2025.</w:t>
            </w:r>
          </w:p>
        </w:tc>
        <w:tc>
          <w:tcPr>
            <w:tcW w:w="1842" w:type="dxa"/>
            <w:noWrap/>
            <w:vAlign w:val="center"/>
            <w:hideMark/>
          </w:tcPr>
          <w:p w14:paraId="72691A33" w14:textId="77777777" w:rsidR="00442580" w:rsidRPr="00442580" w:rsidRDefault="00442580" w:rsidP="00BD20B6">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b w:val="0"/>
                <w:bCs w:val="0"/>
                <w:sz w:val="18"/>
                <w:szCs w:val="18"/>
                <w:lang w:eastAsia="zh-CN"/>
              </w:rPr>
            </w:pPr>
            <w:r w:rsidRPr="00442580">
              <w:rPr>
                <w:rFonts w:ascii="Roboto" w:hAnsi="Roboto" w:cs="Arial"/>
                <w:sz w:val="18"/>
                <w:szCs w:val="18"/>
                <w:lang w:eastAsia="zh-CN"/>
              </w:rPr>
              <w:t>Broj</w:t>
            </w:r>
          </w:p>
        </w:tc>
        <w:tc>
          <w:tcPr>
            <w:tcW w:w="1843" w:type="dxa"/>
            <w:noWrap/>
            <w:vAlign w:val="center"/>
            <w:hideMark/>
          </w:tcPr>
          <w:p w14:paraId="451F1D66" w14:textId="77777777" w:rsidR="00442580" w:rsidRPr="00442580" w:rsidRDefault="00442580" w:rsidP="00BD20B6">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b w:val="0"/>
                <w:bCs w:val="0"/>
                <w:sz w:val="18"/>
                <w:szCs w:val="18"/>
                <w:lang w:eastAsia="zh-CN"/>
              </w:rPr>
            </w:pPr>
            <w:r w:rsidRPr="00442580">
              <w:rPr>
                <w:rFonts w:ascii="Roboto" w:hAnsi="Roboto" w:cs="Arial"/>
                <w:sz w:val="18"/>
                <w:szCs w:val="18"/>
                <w:lang w:eastAsia="zh-CN"/>
              </w:rPr>
              <w:t>%</w:t>
            </w:r>
          </w:p>
        </w:tc>
      </w:tr>
      <w:tr w:rsidR="00442580" w:rsidRPr="003E014A" w14:paraId="497CADCD"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495" w:type="dxa"/>
            <w:noWrap/>
            <w:vAlign w:val="center"/>
            <w:hideMark/>
          </w:tcPr>
          <w:p w14:paraId="020544F9" w14:textId="77777777" w:rsidR="00442580" w:rsidRPr="00442580" w:rsidRDefault="00442580" w:rsidP="00BD20B6">
            <w:pPr>
              <w:widowControl w:val="0"/>
              <w:spacing w:before="20" w:after="20"/>
              <w:rPr>
                <w:rFonts w:ascii="Roboto" w:hAnsi="Roboto" w:cs="Arial"/>
                <w:bCs w:val="0"/>
                <w:sz w:val="18"/>
                <w:szCs w:val="18"/>
                <w:lang w:eastAsia="zh-CN"/>
              </w:rPr>
            </w:pPr>
            <w:r w:rsidRPr="00442580">
              <w:rPr>
                <w:rFonts w:ascii="Roboto" w:hAnsi="Roboto" w:cs="Arial"/>
                <w:sz w:val="18"/>
                <w:szCs w:val="18"/>
                <w:lang w:eastAsia="zh-CN"/>
              </w:rPr>
              <w:t xml:space="preserve">Zaprimljene tužbe </w:t>
            </w:r>
            <w:r w:rsidRPr="00442580">
              <w:rPr>
                <w:rFonts w:ascii="Roboto" w:hAnsi="Roboto" w:cs="Arial"/>
                <w:bCs w:val="0"/>
                <w:sz w:val="18"/>
                <w:szCs w:val="18"/>
                <w:lang w:eastAsia="zh-CN"/>
              </w:rPr>
              <w:t xml:space="preserve">u 2025. </w:t>
            </w:r>
            <w:r w:rsidRPr="00442580">
              <w:rPr>
                <w:rFonts w:ascii="Roboto" w:hAnsi="Roboto" w:cs="Arial"/>
                <w:sz w:val="18"/>
                <w:szCs w:val="18"/>
                <w:lang w:eastAsia="zh-CN"/>
              </w:rPr>
              <w:t>prema osnovi</w:t>
            </w:r>
          </w:p>
        </w:tc>
        <w:tc>
          <w:tcPr>
            <w:tcW w:w="1842" w:type="dxa"/>
            <w:noWrap/>
            <w:vAlign w:val="center"/>
          </w:tcPr>
          <w:p w14:paraId="1F33A74D" w14:textId="77777777" w:rsidR="00442580" w:rsidRPr="00442580" w:rsidRDefault="00442580" w:rsidP="00BD20B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sidRPr="00442580">
              <w:rPr>
                <w:rFonts w:ascii="Roboto" w:hAnsi="Roboto" w:cs="Arial"/>
                <w:sz w:val="18"/>
                <w:szCs w:val="18"/>
                <w:lang w:eastAsia="zh-CN"/>
              </w:rPr>
              <w:t>112</w:t>
            </w:r>
          </w:p>
        </w:tc>
        <w:tc>
          <w:tcPr>
            <w:tcW w:w="1843" w:type="dxa"/>
            <w:noWrap/>
            <w:vAlign w:val="center"/>
          </w:tcPr>
          <w:p w14:paraId="1BA5FA36" w14:textId="77777777" w:rsidR="00442580" w:rsidRPr="00442580" w:rsidRDefault="00442580" w:rsidP="00BD20B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sidRPr="00442580">
              <w:rPr>
                <w:rFonts w:ascii="Roboto" w:hAnsi="Roboto" w:cs="Arial"/>
                <w:sz w:val="18"/>
                <w:szCs w:val="18"/>
                <w:lang w:eastAsia="zh-CN"/>
              </w:rPr>
              <w:t>100%</w:t>
            </w:r>
          </w:p>
        </w:tc>
      </w:tr>
      <w:tr w:rsidR="00442580" w:rsidRPr="003E014A" w14:paraId="7760D293" w14:textId="77777777" w:rsidTr="00422879">
        <w:trPr>
          <w:trHeight w:val="340"/>
          <w:jc w:val="center"/>
        </w:trPr>
        <w:tc>
          <w:tcPr>
            <w:cnfStyle w:val="001000000000" w:firstRow="0" w:lastRow="0" w:firstColumn="1" w:lastColumn="0" w:oddVBand="0" w:evenVBand="0" w:oddHBand="0" w:evenHBand="0" w:firstRowFirstColumn="0" w:firstRowLastColumn="0" w:lastRowFirstColumn="0" w:lastRowLastColumn="0"/>
            <w:tcW w:w="5495" w:type="dxa"/>
            <w:noWrap/>
            <w:vAlign w:val="center"/>
            <w:hideMark/>
          </w:tcPr>
          <w:p w14:paraId="4F24768D" w14:textId="6F0C5A80" w:rsidR="00442580" w:rsidRPr="00442580" w:rsidRDefault="00442580" w:rsidP="00BD20B6">
            <w:pPr>
              <w:widowControl w:val="0"/>
              <w:spacing w:before="20" w:after="20"/>
              <w:ind w:left="454"/>
              <w:rPr>
                <w:rFonts w:ascii="Roboto" w:hAnsi="Roboto" w:cs="Arial"/>
                <w:b w:val="0"/>
                <w:bCs w:val="0"/>
                <w:iCs/>
                <w:sz w:val="18"/>
                <w:szCs w:val="18"/>
                <w:lang w:eastAsia="zh-CN"/>
              </w:rPr>
            </w:pPr>
            <w:r w:rsidRPr="00442580">
              <w:rPr>
                <w:rFonts w:ascii="Roboto" w:hAnsi="Roboto" w:cs="Arial"/>
                <w:b w:val="0"/>
                <w:iCs/>
                <w:sz w:val="18"/>
                <w:szCs w:val="18"/>
                <w:lang w:eastAsia="zh-CN"/>
              </w:rPr>
              <w:t xml:space="preserve">Tužbe protiv rješenja Povjerenika </w:t>
            </w:r>
          </w:p>
        </w:tc>
        <w:tc>
          <w:tcPr>
            <w:tcW w:w="1842" w:type="dxa"/>
            <w:noWrap/>
            <w:vAlign w:val="center"/>
          </w:tcPr>
          <w:p w14:paraId="44E4DA56" w14:textId="77777777" w:rsidR="00442580" w:rsidRPr="00442580" w:rsidRDefault="00442580" w:rsidP="00BD20B6">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sidRPr="00442580">
              <w:rPr>
                <w:rFonts w:ascii="Roboto" w:hAnsi="Roboto" w:cs="Arial"/>
                <w:sz w:val="18"/>
                <w:szCs w:val="18"/>
                <w:lang w:eastAsia="zh-CN"/>
              </w:rPr>
              <w:t>69</w:t>
            </w:r>
          </w:p>
        </w:tc>
        <w:tc>
          <w:tcPr>
            <w:tcW w:w="1843" w:type="dxa"/>
            <w:noWrap/>
            <w:vAlign w:val="center"/>
          </w:tcPr>
          <w:p w14:paraId="1A98EA4A" w14:textId="77777777" w:rsidR="00442580" w:rsidRPr="00442580" w:rsidRDefault="00442580" w:rsidP="00BD20B6">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sidRPr="00442580">
              <w:rPr>
                <w:rFonts w:ascii="Roboto" w:hAnsi="Roboto" w:cs="Arial"/>
                <w:sz w:val="18"/>
                <w:szCs w:val="18"/>
                <w:lang w:eastAsia="zh-CN"/>
              </w:rPr>
              <w:t>61,6%</w:t>
            </w:r>
          </w:p>
        </w:tc>
      </w:tr>
      <w:tr w:rsidR="00442580" w:rsidRPr="003E014A" w14:paraId="76806752"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495" w:type="dxa"/>
            <w:noWrap/>
            <w:vAlign w:val="center"/>
            <w:hideMark/>
          </w:tcPr>
          <w:p w14:paraId="587B4C5C" w14:textId="47F8CD00" w:rsidR="00442580" w:rsidRPr="00442580" w:rsidRDefault="00442580" w:rsidP="00BD20B6">
            <w:pPr>
              <w:widowControl w:val="0"/>
              <w:spacing w:before="20" w:after="20"/>
              <w:ind w:left="454"/>
              <w:rPr>
                <w:rFonts w:ascii="Roboto" w:hAnsi="Roboto" w:cs="Arial"/>
                <w:b w:val="0"/>
                <w:bCs w:val="0"/>
                <w:iCs/>
                <w:sz w:val="18"/>
                <w:szCs w:val="18"/>
                <w:lang w:eastAsia="zh-CN"/>
              </w:rPr>
            </w:pPr>
            <w:r w:rsidRPr="00442580">
              <w:rPr>
                <w:rFonts w:ascii="Roboto" w:hAnsi="Roboto" w:cs="Arial"/>
                <w:b w:val="0"/>
                <w:iCs/>
                <w:sz w:val="18"/>
                <w:szCs w:val="18"/>
                <w:lang w:eastAsia="zh-CN"/>
              </w:rPr>
              <w:t>Tužbe zbog šutnje uprave</w:t>
            </w:r>
          </w:p>
        </w:tc>
        <w:tc>
          <w:tcPr>
            <w:tcW w:w="1842" w:type="dxa"/>
            <w:noWrap/>
            <w:vAlign w:val="center"/>
            <w:hideMark/>
          </w:tcPr>
          <w:p w14:paraId="0D2D421D" w14:textId="77777777" w:rsidR="00442580" w:rsidRPr="00442580" w:rsidRDefault="00442580" w:rsidP="00BD20B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sidRPr="00442580">
              <w:rPr>
                <w:rFonts w:ascii="Roboto" w:hAnsi="Roboto" w:cs="Arial"/>
                <w:sz w:val="18"/>
                <w:szCs w:val="18"/>
                <w:lang w:eastAsia="zh-CN"/>
              </w:rPr>
              <w:t>42</w:t>
            </w:r>
          </w:p>
        </w:tc>
        <w:tc>
          <w:tcPr>
            <w:tcW w:w="1843" w:type="dxa"/>
            <w:noWrap/>
            <w:vAlign w:val="center"/>
          </w:tcPr>
          <w:p w14:paraId="1C4DFA1A" w14:textId="200D30DB" w:rsidR="00442580" w:rsidRPr="00442580" w:rsidRDefault="00442580" w:rsidP="0036082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sidRPr="00442580">
              <w:rPr>
                <w:rFonts w:ascii="Roboto" w:hAnsi="Roboto" w:cs="Arial"/>
                <w:sz w:val="18"/>
                <w:szCs w:val="18"/>
                <w:lang w:eastAsia="zh-CN"/>
              </w:rPr>
              <w:t>37,5%</w:t>
            </w:r>
          </w:p>
        </w:tc>
      </w:tr>
      <w:tr w:rsidR="00442580" w:rsidRPr="003E014A" w14:paraId="3F882BA9" w14:textId="77777777" w:rsidTr="00422879">
        <w:trPr>
          <w:trHeight w:val="340"/>
          <w:jc w:val="center"/>
        </w:trPr>
        <w:tc>
          <w:tcPr>
            <w:cnfStyle w:val="001000000000" w:firstRow="0" w:lastRow="0" w:firstColumn="1" w:lastColumn="0" w:oddVBand="0" w:evenVBand="0" w:oddHBand="0" w:evenHBand="0" w:firstRowFirstColumn="0" w:firstRowLastColumn="0" w:lastRowFirstColumn="0" w:lastRowLastColumn="0"/>
            <w:tcW w:w="5495" w:type="dxa"/>
            <w:noWrap/>
            <w:vAlign w:val="center"/>
          </w:tcPr>
          <w:p w14:paraId="3708B79D" w14:textId="65EFB246" w:rsidR="00442580" w:rsidRPr="00442580" w:rsidRDefault="00442580" w:rsidP="00BD20B6">
            <w:pPr>
              <w:widowControl w:val="0"/>
              <w:spacing w:before="20" w:after="20"/>
              <w:ind w:left="454"/>
              <w:rPr>
                <w:rFonts w:ascii="Roboto" w:hAnsi="Roboto" w:cs="Arial"/>
                <w:b w:val="0"/>
                <w:bCs w:val="0"/>
                <w:iCs/>
                <w:sz w:val="18"/>
                <w:szCs w:val="18"/>
                <w:lang w:eastAsia="zh-CN"/>
              </w:rPr>
            </w:pPr>
            <w:r w:rsidRPr="00442580">
              <w:rPr>
                <w:rFonts w:ascii="Roboto" w:hAnsi="Roboto" w:cs="Arial"/>
                <w:b w:val="0"/>
                <w:bCs w:val="0"/>
                <w:iCs/>
                <w:sz w:val="18"/>
                <w:szCs w:val="18"/>
                <w:lang w:eastAsia="zh-CN"/>
              </w:rPr>
              <w:t>Tužba protiv obavijesti Povjerenika</w:t>
            </w:r>
          </w:p>
        </w:tc>
        <w:tc>
          <w:tcPr>
            <w:tcW w:w="1842" w:type="dxa"/>
            <w:noWrap/>
            <w:vAlign w:val="center"/>
          </w:tcPr>
          <w:p w14:paraId="6478E16B" w14:textId="77777777" w:rsidR="00442580" w:rsidRPr="00442580" w:rsidRDefault="00442580" w:rsidP="00BD20B6">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sidRPr="00442580">
              <w:rPr>
                <w:rFonts w:ascii="Roboto" w:hAnsi="Roboto" w:cs="Arial"/>
                <w:sz w:val="18"/>
                <w:szCs w:val="18"/>
                <w:lang w:eastAsia="zh-CN"/>
              </w:rPr>
              <w:t>1</w:t>
            </w:r>
          </w:p>
        </w:tc>
        <w:tc>
          <w:tcPr>
            <w:tcW w:w="1843" w:type="dxa"/>
            <w:noWrap/>
            <w:vAlign w:val="center"/>
          </w:tcPr>
          <w:p w14:paraId="0C6CA87B" w14:textId="77777777" w:rsidR="00442580" w:rsidRPr="00442580" w:rsidRDefault="00442580" w:rsidP="00BD20B6">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sidRPr="00442580">
              <w:rPr>
                <w:rFonts w:ascii="Roboto" w:hAnsi="Roboto" w:cs="Arial"/>
                <w:sz w:val="18"/>
                <w:szCs w:val="18"/>
                <w:lang w:eastAsia="zh-CN"/>
              </w:rPr>
              <w:t>0,9%</w:t>
            </w:r>
          </w:p>
        </w:tc>
      </w:tr>
      <w:tr w:rsidR="00442580" w:rsidRPr="003E014A" w14:paraId="7DA60C8C"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495" w:type="dxa"/>
            <w:noWrap/>
            <w:vAlign w:val="center"/>
            <w:hideMark/>
          </w:tcPr>
          <w:p w14:paraId="65FFB5FA" w14:textId="77777777" w:rsidR="00442580" w:rsidRPr="00442580" w:rsidRDefault="00442580" w:rsidP="00BD20B6">
            <w:pPr>
              <w:widowControl w:val="0"/>
              <w:spacing w:before="20" w:after="20"/>
              <w:rPr>
                <w:rFonts w:ascii="Roboto" w:hAnsi="Roboto" w:cs="Arial"/>
                <w:b w:val="0"/>
                <w:bCs w:val="0"/>
                <w:sz w:val="18"/>
                <w:szCs w:val="18"/>
                <w:lang w:eastAsia="zh-CN"/>
              </w:rPr>
            </w:pPr>
            <w:r w:rsidRPr="00442580">
              <w:rPr>
                <w:rFonts w:ascii="Roboto" w:hAnsi="Roboto" w:cs="Arial"/>
                <w:sz w:val="18"/>
                <w:szCs w:val="18"/>
                <w:lang w:eastAsia="zh-CN"/>
              </w:rPr>
              <w:t xml:space="preserve">Odgovori na tužbu Povjerenika </w:t>
            </w:r>
          </w:p>
        </w:tc>
        <w:tc>
          <w:tcPr>
            <w:tcW w:w="1842" w:type="dxa"/>
            <w:noWrap/>
            <w:vAlign w:val="center"/>
            <w:hideMark/>
          </w:tcPr>
          <w:p w14:paraId="1DF531E2" w14:textId="77777777" w:rsidR="00442580" w:rsidRPr="00442580" w:rsidRDefault="00442580" w:rsidP="00BD20B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sidRPr="00442580">
              <w:rPr>
                <w:rFonts w:ascii="Roboto" w:hAnsi="Roboto" w:cs="Arial"/>
                <w:sz w:val="18"/>
                <w:szCs w:val="18"/>
                <w:lang w:eastAsia="zh-CN"/>
              </w:rPr>
              <w:t>110</w:t>
            </w:r>
          </w:p>
        </w:tc>
        <w:tc>
          <w:tcPr>
            <w:tcW w:w="1843" w:type="dxa"/>
            <w:noWrap/>
            <w:vAlign w:val="center"/>
          </w:tcPr>
          <w:p w14:paraId="62875A74" w14:textId="77777777" w:rsidR="00442580" w:rsidRPr="00442580" w:rsidRDefault="00442580" w:rsidP="00BD20B6">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sidRPr="00442580">
              <w:rPr>
                <w:rFonts w:ascii="Roboto" w:hAnsi="Roboto" w:cs="Arial"/>
                <w:sz w:val="18"/>
                <w:szCs w:val="18"/>
                <w:lang w:eastAsia="zh-CN"/>
              </w:rPr>
              <w:t>-</w:t>
            </w:r>
          </w:p>
        </w:tc>
      </w:tr>
    </w:tbl>
    <w:p w14:paraId="2F3AF235" w14:textId="13F95B61" w:rsidR="00BB23CE" w:rsidRPr="009D04FD" w:rsidRDefault="004322BD" w:rsidP="00B25C5B">
      <w:pPr>
        <w:widowControl w:val="0"/>
        <w:shd w:val="clear" w:color="auto" w:fill="FFFFFF" w:themeFill="background1"/>
        <w:spacing w:before="120" w:after="240"/>
        <w:jc w:val="left"/>
        <w:rPr>
          <w:rFonts w:cs="Arial"/>
          <w:i/>
          <w:sz w:val="20"/>
          <w:szCs w:val="20"/>
        </w:rPr>
      </w:pPr>
      <w:r w:rsidRPr="009D04FD">
        <w:rPr>
          <w:rFonts w:cs="Arial"/>
          <w:i/>
          <w:sz w:val="20"/>
          <w:szCs w:val="20"/>
        </w:rPr>
        <w:t>Napomena: upravni sporovi se odnose na pravo na pristup i ponovnu uporabu informacija</w:t>
      </w:r>
    </w:p>
    <w:p w14:paraId="69F2DFDD" w14:textId="77777777" w:rsidR="004322BD" w:rsidRPr="00F0315E" w:rsidRDefault="004322BD" w:rsidP="009032D7">
      <w:pPr>
        <w:pStyle w:val="Naslov3"/>
        <w:ind w:left="1985"/>
      </w:pPr>
      <w:bookmarkStart w:id="111" w:name="_Toc66103147"/>
      <w:bookmarkStart w:id="112" w:name="_Toc66178300"/>
      <w:bookmarkStart w:id="113" w:name="_Toc225865596"/>
      <w:r>
        <w:t>Podnositelji tužbi</w:t>
      </w:r>
      <w:bookmarkEnd w:id="111"/>
      <w:bookmarkEnd w:id="112"/>
      <w:bookmarkEnd w:id="113"/>
      <w:r>
        <w:t xml:space="preserve"> </w:t>
      </w:r>
    </w:p>
    <w:p w14:paraId="596C2D57" w14:textId="41DC5C93" w:rsidR="00442580" w:rsidRPr="003E014A" w:rsidRDefault="00442580" w:rsidP="00442580">
      <w:pPr>
        <w:widowControl w:val="0"/>
        <w:shd w:val="clear" w:color="auto" w:fill="FFFFFF" w:themeFill="background1"/>
        <w:rPr>
          <w:szCs w:val="23"/>
        </w:rPr>
      </w:pPr>
      <w:bookmarkStart w:id="114" w:name="_Toc66103148"/>
      <w:bookmarkStart w:id="115" w:name="_Toc66178301"/>
      <w:r>
        <w:rPr>
          <w:szCs w:val="23"/>
        </w:rPr>
        <w:t>Što se tiče broja tužbi, 88 tužbi (78,6%),</w:t>
      </w:r>
      <w:r w:rsidRPr="003E014A">
        <w:rPr>
          <w:szCs w:val="23"/>
        </w:rPr>
        <w:t xml:space="preserve"> </w:t>
      </w:r>
      <w:r w:rsidRPr="003E014A">
        <w:rPr>
          <w:b/>
          <w:bCs/>
          <w:szCs w:val="23"/>
        </w:rPr>
        <w:t>podnijeli su korisnici</w:t>
      </w:r>
      <w:r w:rsidRPr="003E014A">
        <w:rPr>
          <w:szCs w:val="23"/>
        </w:rPr>
        <w:t xml:space="preserve">, dok su </w:t>
      </w:r>
      <w:r>
        <w:rPr>
          <w:szCs w:val="23"/>
        </w:rPr>
        <w:t>24</w:t>
      </w:r>
      <w:r w:rsidRPr="003E014A">
        <w:rPr>
          <w:szCs w:val="23"/>
        </w:rPr>
        <w:t xml:space="preserve"> tužb</w:t>
      </w:r>
      <w:r>
        <w:rPr>
          <w:szCs w:val="23"/>
        </w:rPr>
        <w:t>e</w:t>
      </w:r>
      <w:r w:rsidRPr="003E014A">
        <w:rPr>
          <w:szCs w:val="23"/>
        </w:rPr>
        <w:t xml:space="preserve"> </w:t>
      </w:r>
      <w:r w:rsidRPr="000A4DE2">
        <w:rPr>
          <w:szCs w:val="23"/>
        </w:rPr>
        <w:t>(21,4%)</w:t>
      </w:r>
      <w:r w:rsidRPr="003E014A">
        <w:rPr>
          <w:b/>
          <w:bCs/>
          <w:szCs w:val="23"/>
        </w:rPr>
        <w:t xml:space="preserve"> podnijela tijela javne vlasti</w:t>
      </w:r>
      <w:r w:rsidRPr="003E014A">
        <w:rPr>
          <w:szCs w:val="23"/>
        </w:rPr>
        <w:t xml:space="preserve"> nezadovoljna odlukama Povjerenika. Podaci o podnositeljima tužbi prikazani su u </w:t>
      </w:r>
      <w:r w:rsidRPr="00EF6DC8">
        <w:rPr>
          <w:szCs w:val="23"/>
        </w:rPr>
        <w:t xml:space="preserve">Tablici </w:t>
      </w:r>
      <w:r w:rsidR="00185E81" w:rsidRPr="00EF6DC8">
        <w:rPr>
          <w:szCs w:val="23"/>
        </w:rPr>
        <w:t>5</w:t>
      </w:r>
      <w:r w:rsidRPr="00EF6DC8">
        <w:rPr>
          <w:szCs w:val="23"/>
        </w:rPr>
        <w:t>.</w:t>
      </w:r>
      <w:r w:rsidR="00185E81" w:rsidRPr="00EF6DC8">
        <w:rPr>
          <w:szCs w:val="23"/>
        </w:rPr>
        <w:t>2</w:t>
      </w:r>
      <w:r w:rsidRPr="00EF6DC8">
        <w:rPr>
          <w:szCs w:val="23"/>
        </w:rPr>
        <w:t>.</w:t>
      </w:r>
    </w:p>
    <w:p w14:paraId="26144789" w14:textId="77777777" w:rsidR="00442580" w:rsidRPr="003E014A" w:rsidRDefault="00442580" w:rsidP="00442580">
      <w:pPr>
        <w:widowControl w:val="0"/>
        <w:shd w:val="clear" w:color="auto" w:fill="FFFFFF" w:themeFill="background1"/>
        <w:rPr>
          <w:szCs w:val="23"/>
        </w:rPr>
      </w:pPr>
      <w:r w:rsidRPr="003E014A">
        <w:rPr>
          <w:szCs w:val="23"/>
        </w:rPr>
        <w:t xml:space="preserve">U cjelini, od ukupno </w:t>
      </w:r>
      <w:r>
        <w:rPr>
          <w:szCs w:val="23"/>
        </w:rPr>
        <w:t>88</w:t>
      </w:r>
      <w:r w:rsidRPr="003E014A">
        <w:rPr>
          <w:szCs w:val="23"/>
        </w:rPr>
        <w:t xml:space="preserve"> upravn</w:t>
      </w:r>
      <w:r>
        <w:rPr>
          <w:szCs w:val="23"/>
        </w:rPr>
        <w:t>ih</w:t>
      </w:r>
      <w:r w:rsidRPr="003E014A">
        <w:rPr>
          <w:szCs w:val="23"/>
        </w:rPr>
        <w:t xml:space="preserve"> spor</w:t>
      </w:r>
      <w:r>
        <w:rPr>
          <w:szCs w:val="23"/>
        </w:rPr>
        <w:t>ov</w:t>
      </w:r>
      <w:r w:rsidRPr="003E014A">
        <w:rPr>
          <w:szCs w:val="23"/>
        </w:rPr>
        <w:t xml:space="preserve">a koje su pokrenuli korisnici, </w:t>
      </w:r>
      <w:r>
        <w:rPr>
          <w:szCs w:val="23"/>
        </w:rPr>
        <w:t>77 sporova pokrenule su fizičke osobe, a 11 pravne osobe, od čega 4 udruge te 7 trgovačka društva.</w:t>
      </w:r>
    </w:p>
    <w:p w14:paraId="73091FF1" w14:textId="77777777" w:rsidR="00442580" w:rsidRDefault="00442580" w:rsidP="00442580">
      <w:pPr>
        <w:widowControl w:val="0"/>
        <w:shd w:val="clear" w:color="auto" w:fill="FFFFFF" w:themeFill="background1"/>
        <w:rPr>
          <w:szCs w:val="23"/>
        </w:rPr>
      </w:pPr>
      <w:r>
        <w:rPr>
          <w:szCs w:val="23"/>
        </w:rPr>
        <w:t>Što se tiče 24</w:t>
      </w:r>
      <w:r w:rsidRPr="003E014A">
        <w:rPr>
          <w:szCs w:val="23"/>
        </w:rPr>
        <w:t xml:space="preserve"> upravn</w:t>
      </w:r>
      <w:r>
        <w:rPr>
          <w:szCs w:val="23"/>
        </w:rPr>
        <w:t>a</w:t>
      </w:r>
      <w:r w:rsidRPr="003E014A">
        <w:rPr>
          <w:szCs w:val="23"/>
        </w:rPr>
        <w:t xml:space="preserve"> spora pokrenut</w:t>
      </w:r>
      <w:r>
        <w:rPr>
          <w:szCs w:val="23"/>
        </w:rPr>
        <w:t>a</w:t>
      </w:r>
      <w:r w:rsidRPr="003E014A">
        <w:rPr>
          <w:szCs w:val="23"/>
        </w:rPr>
        <w:t xml:space="preserve"> </w:t>
      </w:r>
      <w:r>
        <w:rPr>
          <w:szCs w:val="23"/>
        </w:rPr>
        <w:t xml:space="preserve">po </w:t>
      </w:r>
      <w:r w:rsidRPr="003E014A">
        <w:rPr>
          <w:szCs w:val="23"/>
        </w:rPr>
        <w:t xml:space="preserve">tužbama tijela javne vlasti, </w:t>
      </w:r>
      <w:r>
        <w:rPr>
          <w:szCs w:val="23"/>
        </w:rPr>
        <w:t>najveći broj upravnih sporova pokrenule su jedinice lokalne i područne (regionalne) samouprave (7).</w:t>
      </w:r>
    </w:p>
    <w:p w14:paraId="401B6433" w14:textId="77777777" w:rsidR="00442580" w:rsidRPr="003E014A" w:rsidRDefault="00442580" w:rsidP="00442580">
      <w:pPr>
        <w:widowControl w:val="0"/>
        <w:shd w:val="clear" w:color="auto" w:fill="FFFFFF" w:themeFill="background1"/>
        <w:rPr>
          <w:szCs w:val="23"/>
        </w:rPr>
      </w:pPr>
      <w:r>
        <w:rPr>
          <w:szCs w:val="23"/>
        </w:rPr>
        <w:t>U nastavku se iznose podaci o tužiteljima po kategorijama tijela javne vlasti:</w:t>
      </w:r>
    </w:p>
    <w:p w14:paraId="01AD8B4B" w14:textId="77777777" w:rsidR="00442580" w:rsidRPr="00442580" w:rsidRDefault="00442580" w:rsidP="005F0EC0">
      <w:pPr>
        <w:numPr>
          <w:ilvl w:val="0"/>
          <w:numId w:val="2"/>
        </w:numPr>
        <w:spacing w:after="0"/>
        <w:ind w:left="993" w:hanging="357"/>
        <w:contextualSpacing/>
        <w:rPr>
          <w:rFonts w:cs="Arial"/>
        </w:rPr>
      </w:pPr>
      <w:r>
        <w:rPr>
          <w:rFonts w:cs="Segoe UI"/>
          <w:szCs w:val="23"/>
        </w:rPr>
        <w:t>3</w:t>
      </w:r>
      <w:r w:rsidRPr="003E014A">
        <w:rPr>
          <w:rFonts w:cs="Segoe UI"/>
          <w:szCs w:val="23"/>
        </w:rPr>
        <w:t xml:space="preserve"> </w:t>
      </w:r>
      <w:r w:rsidRPr="00442580">
        <w:rPr>
          <w:rFonts w:cs="Arial"/>
        </w:rPr>
        <w:t>spora tijela državne uprave (Državni zavod za intelektualno vlasništvo 2, Ministarstvo financija - Porezna uprava 1)</w:t>
      </w:r>
    </w:p>
    <w:p w14:paraId="79C57616" w14:textId="77777777" w:rsidR="00442580" w:rsidRPr="00442580" w:rsidRDefault="00442580" w:rsidP="005F0EC0">
      <w:pPr>
        <w:numPr>
          <w:ilvl w:val="0"/>
          <w:numId w:val="2"/>
        </w:numPr>
        <w:spacing w:after="0"/>
        <w:ind w:left="993" w:hanging="357"/>
        <w:contextualSpacing/>
        <w:rPr>
          <w:rFonts w:cs="Arial"/>
        </w:rPr>
      </w:pPr>
      <w:r w:rsidRPr="00442580">
        <w:rPr>
          <w:rFonts w:cs="Arial"/>
        </w:rPr>
        <w:t>1 spor državnih tijela (Hrvatska narodna banka 1)</w:t>
      </w:r>
    </w:p>
    <w:p w14:paraId="275032E4" w14:textId="77777777" w:rsidR="00442580" w:rsidRPr="00442580" w:rsidRDefault="00442580" w:rsidP="005F0EC0">
      <w:pPr>
        <w:numPr>
          <w:ilvl w:val="0"/>
          <w:numId w:val="2"/>
        </w:numPr>
        <w:spacing w:after="0"/>
        <w:ind w:left="993" w:hanging="357"/>
        <w:contextualSpacing/>
        <w:rPr>
          <w:rFonts w:cs="Arial"/>
        </w:rPr>
      </w:pPr>
      <w:r w:rsidRPr="00442580">
        <w:rPr>
          <w:rFonts w:cs="Arial"/>
        </w:rPr>
        <w:t>7 sporova JLP(R)S (Općina Pribislavec 3, Grad Zagreb 2, Općina Nijemci 1, Grad Opatija 1)</w:t>
      </w:r>
    </w:p>
    <w:p w14:paraId="4ABD19D6" w14:textId="77777777" w:rsidR="00442580" w:rsidRPr="00442580" w:rsidRDefault="00442580" w:rsidP="005F0EC0">
      <w:pPr>
        <w:numPr>
          <w:ilvl w:val="0"/>
          <w:numId w:val="2"/>
        </w:numPr>
        <w:spacing w:after="0"/>
        <w:ind w:left="993" w:hanging="357"/>
        <w:contextualSpacing/>
        <w:rPr>
          <w:rFonts w:cs="Arial"/>
        </w:rPr>
      </w:pPr>
      <w:r w:rsidRPr="00442580">
        <w:rPr>
          <w:rFonts w:cs="Arial"/>
        </w:rPr>
        <w:t>2 spora agencija, zavoda i fondova (Hrvatska banka za obnovu i razvitak 1, Hrvatska agencija za osiguranje depozita 1)</w:t>
      </w:r>
    </w:p>
    <w:p w14:paraId="53950BBF" w14:textId="77777777" w:rsidR="00442580" w:rsidRPr="00442580" w:rsidRDefault="00442580" w:rsidP="005F0EC0">
      <w:pPr>
        <w:numPr>
          <w:ilvl w:val="0"/>
          <w:numId w:val="2"/>
        </w:numPr>
        <w:spacing w:after="0"/>
        <w:ind w:left="993" w:hanging="357"/>
        <w:contextualSpacing/>
        <w:rPr>
          <w:rFonts w:cs="Arial"/>
        </w:rPr>
      </w:pPr>
      <w:r w:rsidRPr="00442580">
        <w:rPr>
          <w:rFonts w:cs="Arial"/>
        </w:rPr>
        <w:t>4 spora trgovačkih društava u vlasništvu RH (Hrvatska pošta d.d. 4)</w:t>
      </w:r>
    </w:p>
    <w:p w14:paraId="17F07289" w14:textId="77777777" w:rsidR="00442580" w:rsidRPr="00442580" w:rsidRDefault="00442580" w:rsidP="005F0EC0">
      <w:pPr>
        <w:numPr>
          <w:ilvl w:val="0"/>
          <w:numId w:val="2"/>
        </w:numPr>
        <w:spacing w:after="0"/>
        <w:ind w:left="993" w:hanging="357"/>
        <w:contextualSpacing/>
        <w:rPr>
          <w:rFonts w:cs="Arial"/>
        </w:rPr>
      </w:pPr>
      <w:r w:rsidRPr="00442580">
        <w:rPr>
          <w:rFonts w:cs="Arial"/>
        </w:rPr>
        <w:t>1 spor trgovačkih društava u vlasništvu JLP(R)S (Stano-uprava d.o.o. 1)</w:t>
      </w:r>
    </w:p>
    <w:p w14:paraId="7E66A491" w14:textId="77777777" w:rsidR="00442580" w:rsidRPr="00442580" w:rsidRDefault="00442580" w:rsidP="005F0EC0">
      <w:pPr>
        <w:numPr>
          <w:ilvl w:val="0"/>
          <w:numId w:val="2"/>
        </w:numPr>
        <w:spacing w:after="0"/>
        <w:ind w:left="993" w:hanging="357"/>
        <w:contextualSpacing/>
        <w:rPr>
          <w:rFonts w:cs="Arial"/>
        </w:rPr>
      </w:pPr>
      <w:r w:rsidRPr="00442580">
        <w:rPr>
          <w:rFonts w:cs="Arial"/>
        </w:rPr>
        <w:t>3 spora ostalih pravnih osoba s javnim ovlastima (Hrvatska odvjetnička komora 1, Hrvatska gospodarska komora 1, Hrvatska veterinarska komora 1)</w:t>
      </w:r>
    </w:p>
    <w:p w14:paraId="42C454B9" w14:textId="77777777" w:rsidR="00442580" w:rsidRPr="00442580" w:rsidRDefault="00442580" w:rsidP="005F0EC0">
      <w:pPr>
        <w:numPr>
          <w:ilvl w:val="0"/>
          <w:numId w:val="2"/>
        </w:numPr>
        <w:spacing w:after="0"/>
        <w:ind w:left="993" w:hanging="357"/>
        <w:contextualSpacing/>
        <w:rPr>
          <w:rFonts w:cs="Arial"/>
        </w:rPr>
      </w:pPr>
      <w:r w:rsidRPr="00442580">
        <w:rPr>
          <w:rFonts w:cs="Arial"/>
        </w:rPr>
        <w:t>2 spora udruga s javnim ovlastima (Hrvatski atletski savez 1, Hrvatski olimpijski odbor 1)</w:t>
      </w:r>
    </w:p>
    <w:p w14:paraId="5963A15F" w14:textId="5D5436FD" w:rsidR="00442580" w:rsidRDefault="00442580" w:rsidP="005F0EC0">
      <w:pPr>
        <w:numPr>
          <w:ilvl w:val="0"/>
          <w:numId w:val="2"/>
        </w:numPr>
        <w:spacing w:after="0"/>
        <w:ind w:left="993" w:hanging="357"/>
        <w:contextualSpacing/>
        <w:rPr>
          <w:rFonts w:cs="Arial"/>
        </w:rPr>
      </w:pPr>
      <w:r w:rsidRPr="00442580">
        <w:rPr>
          <w:rFonts w:cs="Arial"/>
        </w:rPr>
        <w:t>1 spor ustanova - odgoj i obrazovanje (Fakultet elektrotehnike, strojarstva i brodogradnje u Splitu 1)</w:t>
      </w:r>
      <w:r w:rsidR="00B777D8">
        <w:rPr>
          <w:rFonts w:cs="Arial"/>
        </w:rPr>
        <w:t>.</w:t>
      </w:r>
    </w:p>
    <w:p w14:paraId="767A7DDB" w14:textId="59535BDA" w:rsidR="004E0383" w:rsidRDefault="004E0383" w:rsidP="002559BF">
      <w:pPr>
        <w:keepNext/>
        <w:widowControl w:val="0"/>
        <w:spacing w:before="240"/>
        <w:rPr>
          <w:rFonts w:cs="Arial"/>
          <w:sz w:val="18"/>
          <w:szCs w:val="18"/>
        </w:rPr>
      </w:pPr>
      <w:r w:rsidRPr="00F0315E">
        <w:rPr>
          <w:rFonts w:cs="Arial"/>
          <w:sz w:val="18"/>
          <w:szCs w:val="18"/>
        </w:rPr>
        <w:lastRenderedPageBreak/>
        <w:t xml:space="preserve">Tablica </w:t>
      </w:r>
      <w:r w:rsidR="00920F3B" w:rsidRPr="00F0315E">
        <w:rPr>
          <w:rFonts w:cs="Arial"/>
          <w:sz w:val="18"/>
          <w:szCs w:val="18"/>
        </w:rPr>
        <w:t>5</w:t>
      </w:r>
      <w:r w:rsidRPr="00F0315E">
        <w:rPr>
          <w:rFonts w:cs="Arial"/>
          <w:sz w:val="18"/>
          <w:szCs w:val="18"/>
        </w:rPr>
        <w:t>.2. Upravni sporovi u 202</w:t>
      </w:r>
      <w:r w:rsidR="004645CB">
        <w:rPr>
          <w:rFonts w:cs="Arial"/>
          <w:sz w:val="18"/>
          <w:szCs w:val="18"/>
        </w:rPr>
        <w:t>5</w:t>
      </w:r>
      <w:r w:rsidRPr="00F0315E">
        <w:rPr>
          <w:rFonts w:cs="Arial"/>
          <w:sz w:val="18"/>
          <w:szCs w:val="18"/>
        </w:rPr>
        <w:t xml:space="preserve">. prema tužiteljima </w:t>
      </w:r>
    </w:p>
    <w:tbl>
      <w:tblPr>
        <w:tblStyle w:val="LightShading-Accent11"/>
        <w:tblW w:w="9073" w:type="dxa"/>
        <w:jc w:val="center"/>
        <w:tblLayout w:type="fixed"/>
        <w:tblLook w:val="04A0" w:firstRow="1" w:lastRow="0" w:firstColumn="1" w:lastColumn="0" w:noHBand="0" w:noVBand="1"/>
      </w:tblPr>
      <w:tblGrid>
        <w:gridCol w:w="4962"/>
        <w:gridCol w:w="2055"/>
        <w:gridCol w:w="2056"/>
      </w:tblGrid>
      <w:tr w:rsidR="004645CB" w:rsidRPr="004645CB" w14:paraId="061917C4" w14:textId="77777777" w:rsidTr="0042287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49D15164" w14:textId="77777777" w:rsidR="004645CB" w:rsidRPr="004645CB" w:rsidRDefault="004645CB" w:rsidP="00C77788">
            <w:pPr>
              <w:widowControl w:val="0"/>
              <w:spacing w:before="20" w:after="20"/>
              <w:rPr>
                <w:rFonts w:cs="Arial"/>
                <w:b w:val="0"/>
                <w:bCs w:val="0"/>
                <w:color w:val="auto"/>
                <w:sz w:val="18"/>
                <w:szCs w:val="18"/>
                <w:lang w:eastAsia="zh-CN"/>
              </w:rPr>
            </w:pPr>
          </w:p>
        </w:tc>
        <w:tc>
          <w:tcPr>
            <w:tcW w:w="4111" w:type="dxa"/>
            <w:gridSpan w:val="2"/>
            <w:noWrap/>
            <w:vAlign w:val="center"/>
          </w:tcPr>
          <w:p w14:paraId="7E2C572B" w14:textId="77777777" w:rsidR="004645CB" w:rsidRPr="004645CB" w:rsidRDefault="004645CB" w:rsidP="00C77788">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lang w:eastAsia="zh-CN"/>
              </w:rPr>
            </w:pPr>
            <w:r w:rsidRPr="004645CB">
              <w:rPr>
                <w:rFonts w:cs="Arial"/>
                <w:color w:val="auto"/>
                <w:sz w:val="18"/>
                <w:szCs w:val="18"/>
                <w:lang w:eastAsia="zh-CN"/>
              </w:rPr>
              <w:t>Podnesene tužbe</w:t>
            </w:r>
          </w:p>
        </w:tc>
      </w:tr>
      <w:tr w:rsidR="004645CB" w:rsidRPr="004645CB" w14:paraId="45D7D009"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0BB17985" w14:textId="77777777" w:rsidR="004645CB" w:rsidRPr="004645CB" w:rsidRDefault="004645CB" w:rsidP="00C77788">
            <w:pPr>
              <w:widowControl w:val="0"/>
              <w:spacing w:before="20" w:after="20"/>
              <w:rPr>
                <w:rFonts w:cs="Arial"/>
                <w:b w:val="0"/>
                <w:bCs w:val="0"/>
                <w:color w:val="auto"/>
                <w:sz w:val="18"/>
                <w:szCs w:val="18"/>
                <w:lang w:eastAsia="zh-CN"/>
              </w:rPr>
            </w:pPr>
            <w:r w:rsidRPr="004645CB">
              <w:rPr>
                <w:rFonts w:cs="Arial"/>
                <w:color w:val="auto"/>
                <w:sz w:val="18"/>
                <w:szCs w:val="18"/>
                <w:lang w:eastAsia="zh-CN"/>
              </w:rPr>
              <w:t>Prema tužiteljima</w:t>
            </w:r>
          </w:p>
        </w:tc>
        <w:tc>
          <w:tcPr>
            <w:tcW w:w="2055" w:type="dxa"/>
            <w:noWrap/>
            <w:vAlign w:val="center"/>
          </w:tcPr>
          <w:p w14:paraId="328FA973"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112</w:t>
            </w:r>
          </w:p>
        </w:tc>
        <w:tc>
          <w:tcPr>
            <w:tcW w:w="2056" w:type="dxa"/>
            <w:noWrap/>
            <w:vAlign w:val="center"/>
          </w:tcPr>
          <w:p w14:paraId="4C647B37"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100%</w:t>
            </w:r>
          </w:p>
        </w:tc>
      </w:tr>
      <w:tr w:rsidR="004645CB" w:rsidRPr="004645CB" w14:paraId="1903AF89" w14:textId="77777777" w:rsidTr="00422879">
        <w:trPr>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0354C80F" w14:textId="77777777" w:rsidR="004645CB" w:rsidRPr="004645CB" w:rsidRDefault="004645CB" w:rsidP="00C77788">
            <w:pPr>
              <w:widowControl w:val="0"/>
              <w:spacing w:before="20" w:after="20"/>
              <w:rPr>
                <w:rFonts w:cs="Arial"/>
                <w:b w:val="0"/>
                <w:bCs w:val="0"/>
                <w:color w:val="auto"/>
                <w:sz w:val="18"/>
                <w:szCs w:val="18"/>
                <w:lang w:eastAsia="zh-CN"/>
              </w:rPr>
            </w:pPr>
            <w:r w:rsidRPr="004645CB">
              <w:rPr>
                <w:rFonts w:cs="Arial"/>
                <w:color w:val="auto"/>
                <w:sz w:val="18"/>
                <w:szCs w:val="18"/>
                <w:lang w:eastAsia="zh-CN"/>
              </w:rPr>
              <w:tab/>
            </w:r>
            <w:r w:rsidRPr="004645CB">
              <w:rPr>
                <w:rFonts w:cs="Arial"/>
                <w:b w:val="0"/>
                <w:color w:val="auto"/>
                <w:sz w:val="18"/>
                <w:szCs w:val="18"/>
                <w:lang w:eastAsia="zh-CN"/>
              </w:rPr>
              <w:t>korisnici</w:t>
            </w:r>
          </w:p>
        </w:tc>
        <w:tc>
          <w:tcPr>
            <w:tcW w:w="2055" w:type="dxa"/>
            <w:noWrap/>
            <w:vAlign w:val="center"/>
          </w:tcPr>
          <w:p w14:paraId="668B924E"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88</w:t>
            </w:r>
          </w:p>
        </w:tc>
        <w:tc>
          <w:tcPr>
            <w:tcW w:w="2056" w:type="dxa"/>
            <w:noWrap/>
            <w:vAlign w:val="center"/>
          </w:tcPr>
          <w:p w14:paraId="1378B6A6"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78,6%</w:t>
            </w:r>
          </w:p>
        </w:tc>
      </w:tr>
      <w:tr w:rsidR="004645CB" w:rsidRPr="004645CB" w14:paraId="1F06ADE9"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3D71DB35" w14:textId="77777777" w:rsidR="004645CB" w:rsidRPr="004645CB" w:rsidRDefault="004645CB" w:rsidP="00C77788">
            <w:pPr>
              <w:widowControl w:val="0"/>
              <w:spacing w:before="20" w:after="20"/>
              <w:rPr>
                <w:rFonts w:cs="Arial"/>
                <w:b w:val="0"/>
                <w:bCs w:val="0"/>
                <w:color w:val="auto"/>
                <w:sz w:val="18"/>
                <w:szCs w:val="18"/>
                <w:lang w:eastAsia="zh-CN"/>
              </w:rPr>
            </w:pPr>
            <w:r w:rsidRPr="004645CB">
              <w:rPr>
                <w:rFonts w:cs="Arial"/>
                <w:b w:val="0"/>
                <w:color w:val="auto"/>
                <w:sz w:val="18"/>
                <w:szCs w:val="18"/>
                <w:lang w:eastAsia="zh-CN"/>
              </w:rPr>
              <w:tab/>
              <w:t>tijela javne vlasti</w:t>
            </w:r>
          </w:p>
        </w:tc>
        <w:tc>
          <w:tcPr>
            <w:tcW w:w="2055" w:type="dxa"/>
            <w:noWrap/>
            <w:vAlign w:val="center"/>
          </w:tcPr>
          <w:p w14:paraId="53F3622F"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24</w:t>
            </w:r>
          </w:p>
        </w:tc>
        <w:tc>
          <w:tcPr>
            <w:tcW w:w="2056" w:type="dxa"/>
            <w:noWrap/>
            <w:vAlign w:val="center"/>
          </w:tcPr>
          <w:p w14:paraId="3B0A8E6D"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21,4%</w:t>
            </w:r>
          </w:p>
        </w:tc>
      </w:tr>
      <w:tr w:rsidR="004645CB" w:rsidRPr="004645CB" w14:paraId="73036545" w14:textId="77777777" w:rsidTr="00422879">
        <w:trPr>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5E4A93F7" w14:textId="77777777" w:rsidR="004645CB" w:rsidRPr="004645CB" w:rsidRDefault="004645CB" w:rsidP="00C77788">
            <w:pPr>
              <w:widowControl w:val="0"/>
              <w:spacing w:before="20" w:after="20"/>
              <w:rPr>
                <w:rFonts w:cs="Arial"/>
                <w:b w:val="0"/>
                <w:bCs w:val="0"/>
                <w:color w:val="auto"/>
                <w:sz w:val="18"/>
                <w:szCs w:val="18"/>
                <w:lang w:eastAsia="zh-CN"/>
              </w:rPr>
            </w:pPr>
            <w:r w:rsidRPr="004645CB">
              <w:rPr>
                <w:rFonts w:cs="Arial"/>
                <w:color w:val="auto"/>
                <w:sz w:val="18"/>
                <w:szCs w:val="18"/>
                <w:lang w:eastAsia="zh-CN"/>
              </w:rPr>
              <w:t>Tužitelji korisnici</w:t>
            </w:r>
          </w:p>
        </w:tc>
        <w:tc>
          <w:tcPr>
            <w:tcW w:w="2055" w:type="dxa"/>
            <w:noWrap/>
            <w:vAlign w:val="center"/>
          </w:tcPr>
          <w:p w14:paraId="6E1B6024"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88</w:t>
            </w:r>
          </w:p>
        </w:tc>
        <w:tc>
          <w:tcPr>
            <w:tcW w:w="2056" w:type="dxa"/>
            <w:noWrap/>
            <w:vAlign w:val="center"/>
          </w:tcPr>
          <w:p w14:paraId="2B44371F"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100%</w:t>
            </w:r>
          </w:p>
        </w:tc>
      </w:tr>
      <w:tr w:rsidR="004645CB" w:rsidRPr="004645CB" w14:paraId="79E19357"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6450ED11" w14:textId="77777777" w:rsidR="004645CB" w:rsidRPr="004645CB" w:rsidRDefault="004645CB" w:rsidP="00C77788">
            <w:pPr>
              <w:widowControl w:val="0"/>
              <w:spacing w:before="20" w:after="20"/>
              <w:rPr>
                <w:rFonts w:cs="Arial"/>
                <w:b w:val="0"/>
                <w:bCs w:val="0"/>
                <w:color w:val="auto"/>
                <w:sz w:val="18"/>
                <w:szCs w:val="18"/>
                <w:lang w:eastAsia="zh-CN"/>
              </w:rPr>
            </w:pPr>
            <w:r w:rsidRPr="004645CB">
              <w:rPr>
                <w:rFonts w:cs="Arial"/>
                <w:b w:val="0"/>
                <w:color w:val="auto"/>
                <w:sz w:val="18"/>
                <w:szCs w:val="18"/>
                <w:lang w:eastAsia="zh-CN"/>
              </w:rPr>
              <w:tab/>
              <w:t>fizičke osobe</w:t>
            </w:r>
          </w:p>
        </w:tc>
        <w:tc>
          <w:tcPr>
            <w:tcW w:w="2055" w:type="dxa"/>
            <w:noWrap/>
            <w:vAlign w:val="center"/>
          </w:tcPr>
          <w:p w14:paraId="0FA39FB0"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77</w:t>
            </w:r>
          </w:p>
        </w:tc>
        <w:tc>
          <w:tcPr>
            <w:tcW w:w="2056" w:type="dxa"/>
            <w:noWrap/>
            <w:vAlign w:val="center"/>
          </w:tcPr>
          <w:p w14:paraId="1331D5BE"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87,5%</w:t>
            </w:r>
          </w:p>
        </w:tc>
      </w:tr>
      <w:tr w:rsidR="004645CB" w:rsidRPr="004645CB" w14:paraId="5668F2FA" w14:textId="77777777" w:rsidTr="00422879">
        <w:trPr>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5DDE6F15" w14:textId="77777777" w:rsidR="004645CB" w:rsidRPr="004645CB" w:rsidRDefault="004645CB" w:rsidP="00C77788">
            <w:pPr>
              <w:widowControl w:val="0"/>
              <w:spacing w:before="20" w:after="20"/>
              <w:rPr>
                <w:rFonts w:cs="Arial"/>
                <w:b w:val="0"/>
                <w:bCs w:val="0"/>
                <w:color w:val="auto"/>
                <w:sz w:val="18"/>
                <w:szCs w:val="18"/>
                <w:lang w:eastAsia="zh-CN"/>
              </w:rPr>
            </w:pPr>
            <w:r w:rsidRPr="004645CB">
              <w:rPr>
                <w:rFonts w:cs="Arial"/>
                <w:b w:val="0"/>
                <w:color w:val="auto"/>
                <w:sz w:val="18"/>
                <w:szCs w:val="18"/>
                <w:lang w:eastAsia="zh-CN"/>
              </w:rPr>
              <w:tab/>
              <w:t>udruge</w:t>
            </w:r>
          </w:p>
        </w:tc>
        <w:tc>
          <w:tcPr>
            <w:tcW w:w="2055" w:type="dxa"/>
            <w:noWrap/>
            <w:vAlign w:val="center"/>
          </w:tcPr>
          <w:p w14:paraId="395869D9"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4</w:t>
            </w:r>
          </w:p>
        </w:tc>
        <w:tc>
          <w:tcPr>
            <w:tcW w:w="2056" w:type="dxa"/>
            <w:noWrap/>
            <w:vAlign w:val="center"/>
          </w:tcPr>
          <w:p w14:paraId="0FE16EEB"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4,5%</w:t>
            </w:r>
          </w:p>
        </w:tc>
      </w:tr>
      <w:tr w:rsidR="004645CB" w:rsidRPr="004645CB" w14:paraId="0216C629"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133E5736" w14:textId="24B0E6D6" w:rsidR="004645CB" w:rsidRPr="004645CB" w:rsidRDefault="004645CB" w:rsidP="00C77788">
            <w:pPr>
              <w:widowControl w:val="0"/>
              <w:spacing w:before="20" w:after="20"/>
              <w:rPr>
                <w:rFonts w:cs="Arial"/>
                <w:b w:val="0"/>
                <w:bCs w:val="0"/>
                <w:sz w:val="18"/>
                <w:szCs w:val="18"/>
                <w:lang w:eastAsia="zh-CN"/>
              </w:rPr>
            </w:pPr>
            <w:r>
              <w:rPr>
                <w:rFonts w:cs="Arial"/>
                <w:b w:val="0"/>
                <w:color w:val="auto"/>
                <w:sz w:val="18"/>
                <w:szCs w:val="18"/>
                <w:lang w:eastAsia="zh-CN"/>
              </w:rPr>
              <w:tab/>
            </w:r>
            <w:r w:rsidRPr="004645CB">
              <w:rPr>
                <w:rFonts w:cs="Arial"/>
                <w:b w:val="0"/>
                <w:color w:val="auto"/>
                <w:sz w:val="18"/>
                <w:szCs w:val="18"/>
                <w:lang w:eastAsia="zh-CN"/>
              </w:rPr>
              <w:t>pravne osobe</w:t>
            </w:r>
          </w:p>
        </w:tc>
        <w:tc>
          <w:tcPr>
            <w:tcW w:w="2055" w:type="dxa"/>
            <w:noWrap/>
            <w:vAlign w:val="center"/>
          </w:tcPr>
          <w:p w14:paraId="59A465CB"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sidRPr="004645CB">
              <w:rPr>
                <w:color w:val="auto"/>
                <w:sz w:val="18"/>
                <w:szCs w:val="18"/>
              </w:rPr>
              <w:t>7</w:t>
            </w:r>
          </w:p>
        </w:tc>
        <w:tc>
          <w:tcPr>
            <w:tcW w:w="2056" w:type="dxa"/>
            <w:noWrap/>
            <w:vAlign w:val="center"/>
          </w:tcPr>
          <w:p w14:paraId="12E1F8E9"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sidRPr="004645CB">
              <w:rPr>
                <w:color w:val="auto"/>
                <w:sz w:val="18"/>
                <w:szCs w:val="18"/>
              </w:rPr>
              <w:t>8%</w:t>
            </w:r>
          </w:p>
        </w:tc>
      </w:tr>
      <w:tr w:rsidR="004645CB" w:rsidRPr="004645CB" w14:paraId="416BF845" w14:textId="77777777" w:rsidTr="00422879">
        <w:trPr>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3EBCB942" w14:textId="77777777" w:rsidR="004645CB" w:rsidRPr="004645CB" w:rsidRDefault="004645CB" w:rsidP="00C77788">
            <w:pPr>
              <w:widowControl w:val="0"/>
              <w:spacing w:before="20" w:after="20"/>
              <w:rPr>
                <w:rFonts w:cs="Arial"/>
                <w:b w:val="0"/>
                <w:bCs w:val="0"/>
                <w:color w:val="auto"/>
                <w:sz w:val="18"/>
                <w:szCs w:val="18"/>
                <w:lang w:eastAsia="zh-CN"/>
              </w:rPr>
            </w:pPr>
            <w:r w:rsidRPr="004645CB">
              <w:rPr>
                <w:rFonts w:cs="Arial"/>
                <w:color w:val="auto"/>
                <w:sz w:val="18"/>
                <w:szCs w:val="18"/>
                <w:lang w:eastAsia="zh-CN"/>
              </w:rPr>
              <w:t xml:space="preserve">Tužitelji tijela javne vlasti </w:t>
            </w:r>
          </w:p>
        </w:tc>
        <w:tc>
          <w:tcPr>
            <w:tcW w:w="2055" w:type="dxa"/>
            <w:noWrap/>
            <w:vAlign w:val="center"/>
          </w:tcPr>
          <w:p w14:paraId="691BF2D1"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24</w:t>
            </w:r>
          </w:p>
        </w:tc>
        <w:tc>
          <w:tcPr>
            <w:tcW w:w="2056" w:type="dxa"/>
            <w:noWrap/>
            <w:vAlign w:val="center"/>
          </w:tcPr>
          <w:p w14:paraId="703F2499"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100%</w:t>
            </w:r>
          </w:p>
        </w:tc>
      </w:tr>
      <w:tr w:rsidR="004645CB" w:rsidRPr="004645CB" w14:paraId="2A0ECB02"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66203E1D" w14:textId="77777777" w:rsidR="004645CB" w:rsidRPr="004645CB" w:rsidRDefault="004645CB" w:rsidP="00C77788">
            <w:pPr>
              <w:widowControl w:val="0"/>
              <w:spacing w:before="20" w:after="20"/>
              <w:ind w:left="709"/>
              <w:rPr>
                <w:rFonts w:cs="Arial"/>
                <w:b w:val="0"/>
                <w:color w:val="auto"/>
                <w:sz w:val="18"/>
                <w:szCs w:val="18"/>
                <w:lang w:eastAsia="zh-CN"/>
              </w:rPr>
            </w:pPr>
            <w:r w:rsidRPr="004645CB">
              <w:rPr>
                <w:rFonts w:cs="Arial"/>
                <w:b w:val="0"/>
                <w:color w:val="auto"/>
                <w:sz w:val="18"/>
                <w:szCs w:val="18"/>
                <w:lang w:eastAsia="zh-CN"/>
              </w:rPr>
              <w:t>tijela državne uprave</w:t>
            </w:r>
          </w:p>
        </w:tc>
        <w:tc>
          <w:tcPr>
            <w:tcW w:w="2055" w:type="dxa"/>
            <w:noWrap/>
            <w:vAlign w:val="center"/>
          </w:tcPr>
          <w:p w14:paraId="7DFBD093"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3</w:t>
            </w:r>
          </w:p>
        </w:tc>
        <w:tc>
          <w:tcPr>
            <w:tcW w:w="2056" w:type="dxa"/>
            <w:noWrap/>
            <w:vAlign w:val="center"/>
          </w:tcPr>
          <w:p w14:paraId="407D82C6"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12,5%</w:t>
            </w:r>
          </w:p>
        </w:tc>
      </w:tr>
      <w:tr w:rsidR="004645CB" w:rsidRPr="004645CB" w14:paraId="1AE552E2" w14:textId="77777777" w:rsidTr="00422879">
        <w:trPr>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148EE6D8" w14:textId="77777777" w:rsidR="004645CB" w:rsidRPr="004645CB" w:rsidRDefault="004645CB" w:rsidP="00C77788">
            <w:pPr>
              <w:widowControl w:val="0"/>
              <w:spacing w:before="20" w:after="20"/>
              <w:ind w:left="709"/>
              <w:rPr>
                <w:rFonts w:cs="Arial"/>
                <w:b w:val="0"/>
                <w:bCs w:val="0"/>
                <w:color w:val="auto"/>
                <w:sz w:val="18"/>
                <w:szCs w:val="18"/>
                <w:lang w:eastAsia="zh-CN"/>
              </w:rPr>
            </w:pPr>
            <w:r w:rsidRPr="004645CB">
              <w:rPr>
                <w:rFonts w:cs="Arial"/>
                <w:b w:val="0"/>
                <w:bCs w:val="0"/>
                <w:color w:val="auto"/>
                <w:sz w:val="18"/>
                <w:szCs w:val="18"/>
                <w:lang w:eastAsia="zh-CN"/>
              </w:rPr>
              <w:t>državna tijela</w:t>
            </w:r>
          </w:p>
        </w:tc>
        <w:tc>
          <w:tcPr>
            <w:tcW w:w="2055" w:type="dxa"/>
            <w:noWrap/>
            <w:vAlign w:val="center"/>
          </w:tcPr>
          <w:p w14:paraId="493A9B26"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645CB">
              <w:rPr>
                <w:color w:val="auto"/>
                <w:sz w:val="18"/>
                <w:szCs w:val="18"/>
              </w:rPr>
              <w:t>1</w:t>
            </w:r>
          </w:p>
        </w:tc>
        <w:tc>
          <w:tcPr>
            <w:tcW w:w="2056" w:type="dxa"/>
            <w:noWrap/>
            <w:vAlign w:val="center"/>
          </w:tcPr>
          <w:p w14:paraId="685EE0DC"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645CB">
              <w:rPr>
                <w:color w:val="auto"/>
                <w:sz w:val="18"/>
                <w:szCs w:val="18"/>
              </w:rPr>
              <w:t>4,1%</w:t>
            </w:r>
          </w:p>
        </w:tc>
      </w:tr>
      <w:tr w:rsidR="004645CB" w:rsidRPr="004645CB" w14:paraId="200B3CFF"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6AA95E59" w14:textId="512CDFE8" w:rsidR="004645CB" w:rsidRPr="004645CB" w:rsidRDefault="004645CB" w:rsidP="00C77788">
            <w:pPr>
              <w:widowControl w:val="0"/>
              <w:spacing w:before="20" w:after="20"/>
              <w:ind w:left="709"/>
              <w:rPr>
                <w:rFonts w:cs="Arial"/>
                <w:b w:val="0"/>
                <w:bCs w:val="0"/>
                <w:sz w:val="18"/>
                <w:szCs w:val="18"/>
                <w:lang w:eastAsia="zh-CN"/>
              </w:rPr>
            </w:pPr>
            <w:r w:rsidRPr="004645CB">
              <w:rPr>
                <w:rFonts w:cs="Arial"/>
                <w:b w:val="0"/>
                <w:bCs w:val="0"/>
                <w:color w:val="auto"/>
                <w:sz w:val="18"/>
                <w:szCs w:val="18"/>
                <w:lang w:eastAsia="zh-CN"/>
              </w:rPr>
              <w:t>J</w:t>
            </w:r>
            <w:r>
              <w:rPr>
                <w:rFonts w:cs="Arial"/>
                <w:b w:val="0"/>
                <w:bCs w:val="0"/>
                <w:color w:val="auto"/>
                <w:sz w:val="18"/>
                <w:szCs w:val="18"/>
                <w:lang w:eastAsia="zh-CN"/>
              </w:rPr>
              <w:t>LP(R)S</w:t>
            </w:r>
          </w:p>
        </w:tc>
        <w:tc>
          <w:tcPr>
            <w:tcW w:w="2055" w:type="dxa"/>
            <w:noWrap/>
            <w:vAlign w:val="center"/>
          </w:tcPr>
          <w:p w14:paraId="7E9569A6"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sidRPr="004645CB">
              <w:rPr>
                <w:color w:val="auto"/>
                <w:sz w:val="18"/>
                <w:szCs w:val="18"/>
              </w:rPr>
              <w:t>7</w:t>
            </w:r>
          </w:p>
        </w:tc>
        <w:tc>
          <w:tcPr>
            <w:tcW w:w="2056" w:type="dxa"/>
            <w:noWrap/>
            <w:vAlign w:val="center"/>
          </w:tcPr>
          <w:p w14:paraId="45030608"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sidRPr="004645CB">
              <w:rPr>
                <w:color w:val="auto"/>
                <w:sz w:val="18"/>
                <w:szCs w:val="18"/>
              </w:rPr>
              <w:t>29,2%</w:t>
            </w:r>
          </w:p>
        </w:tc>
      </w:tr>
      <w:tr w:rsidR="004645CB" w:rsidRPr="004645CB" w14:paraId="345B5AB4" w14:textId="77777777" w:rsidTr="00422879">
        <w:trPr>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6A2FBF2D" w14:textId="77777777" w:rsidR="004645CB" w:rsidRPr="004645CB" w:rsidRDefault="004645CB" w:rsidP="00C77788">
            <w:pPr>
              <w:widowControl w:val="0"/>
              <w:spacing w:before="20" w:after="20"/>
              <w:ind w:left="709"/>
              <w:rPr>
                <w:rFonts w:cs="Arial"/>
                <w:b w:val="0"/>
                <w:color w:val="auto"/>
                <w:sz w:val="18"/>
                <w:szCs w:val="18"/>
                <w:lang w:eastAsia="zh-CN"/>
              </w:rPr>
            </w:pPr>
            <w:r w:rsidRPr="004645CB">
              <w:rPr>
                <w:rFonts w:cs="Arial"/>
                <w:b w:val="0"/>
                <w:color w:val="auto"/>
                <w:sz w:val="18"/>
                <w:szCs w:val="18"/>
                <w:lang w:eastAsia="zh-CN"/>
              </w:rPr>
              <w:t>agencije i druge pravne osobe s javnim ovlastima</w:t>
            </w:r>
          </w:p>
        </w:tc>
        <w:tc>
          <w:tcPr>
            <w:tcW w:w="2055" w:type="dxa"/>
            <w:noWrap/>
            <w:vAlign w:val="center"/>
          </w:tcPr>
          <w:p w14:paraId="44C6188F"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2</w:t>
            </w:r>
          </w:p>
        </w:tc>
        <w:tc>
          <w:tcPr>
            <w:tcW w:w="2056" w:type="dxa"/>
            <w:noWrap/>
            <w:vAlign w:val="center"/>
          </w:tcPr>
          <w:p w14:paraId="7EA8FF69" w14:textId="49F7D013"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8,4%</w:t>
            </w:r>
          </w:p>
        </w:tc>
      </w:tr>
      <w:tr w:rsidR="004645CB" w:rsidRPr="004645CB" w14:paraId="7A421CAE"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2FB37319" w14:textId="77777777" w:rsidR="004645CB" w:rsidRPr="004645CB" w:rsidRDefault="004645CB" w:rsidP="00C77788">
            <w:pPr>
              <w:widowControl w:val="0"/>
              <w:spacing w:before="20" w:after="20"/>
              <w:ind w:left="709"/>
              <w:rPr>
                <w:rFonts w:cs="Arial"/>
                <w:bCs w:val="0"/>
                <w:color w:val="auto"/>
                <w:sz w:val="18"/>
                <w:szCs w:val="18"/>
                <w:lang w:eastAsia="zh-CN"/>
              </w:rPr>
            </w:pPr>
            <w:r w:rsidRPr="004645CB">
              <w:rPr>
                <w:rFonts w:cs="Arial"/>
                <w:b w:val="0"/>
                <w:color w:val="auto"/>
                <w:sz w:val="18"/>
                <w:szCs w:val="18"/>
                <w:lang w:eastAsia="zh-CN"/>
              </w:rPr>
              <w:t>trgovačko društvo – osnivač RH</w:t>
            </w:r>
          </w:p>
        </w:tc>
        <w:tc>
          <w:tcPr>
            <w:tcW w:w="2055" w:type="dxa"/>
            <w:noWrap/>
            <w:vAlign w:val="center"/>
          </w:tcPr>
          <w:p w14:paraId="12535968"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4</w:t>
            </w:r>
          </w:p>
        </w:tc>
        <w:tc>
          <w:tcPr>
            <w:tcW w:w="2056" w:type="dxa"/>
            <w:noWrap/>
            <w:vAlign w:val="center"/>
          </w:tcPr>
          <w:p w14:paraId="22999DA9" w14:textId="1F5F9CF2"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 xml:space="preserve"> 6,7%</w:t>
            </w:r>
          </w:p>
        </w:tc>
      </w:tr>
      <w:tr w:rsidR="004645CB" w:rsidRPr="004645CB" w14:paraId="33BC42BF" w14:textId="77777777" w:rsidTr="00422879">
        <w:trPr>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55533991" w14:textId="77777777" w:rsidR="004645CB" w:rsidRPr="004645CB" w:rsidRDefault="004645CB" w:rsidP="00C77788">
            <w:pPr>
              <w:widowControl w:val="0"/>
              <w:spacing w:before="20" w:after="20"/>
              <w:ind w:left="709"/>
              <w:rPr>
                <w:rFonts w:cs="Arial"/>
                <w:b w:val="0"/>
                <w:bCs w:val="0"/>
                <w:sz w:val="18"/>
                <w:szCs w:val="18"/>
                <w:lang w:eastAsia="zh-CN"/>
              </w:rPr>
            </w:pPr>
            <w:r w:rsidRPr="004645CB">
              <w:rPr>
                <w:rFonts w:cs="Arial"/>
                <w:b w:val="0"/>
                <w:bCs w:val="0"/>
                <w:color w:val="auto"/>
                <w:sz w:val="18"/>
                <w:szCs w:val="18"/>
                <w:lang w:eastAsia="zh-CN"/>
              </w:rPr>
              <w:t>trgovačko društvo – osnivač jlp(r)s</w:t>
            </w:r>
          </w:p>
        </w:tc>
        <w:tc>
          <w:tcPr>
            <w:tcW w:w="2055" w:type="dxa"/>
            <w:noWrap/>
            <w:vAlign w:val="center"/>
          </w:tcPr>
          <w:p w14:paraId="74D46157"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645CB">
              <w:rPr>
                <w:color w:val="auto"/>
                <w:sz w:val="18"/>
                <w:szCs w:val="18"/>
              </w:rPr>
              <w:t>1</w:t>
            </w:r>
          </w:p>
        </w:tc>
        <w:tc>
          <w:tcPr>
            <w:tcW w:w="2056" w:type="dxa"/>
            <w:noWrap/>
            <w:vAlign w:val="center"/>
          </w:tcPr>
          <w:p w14:paraId="12A73581" w14:textId="2920AA63"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645CB">
              <w:rPr>
                <w:color w:val="auto"/>
                <w:sz w:val="18"/>
                <w:szCs w:val="18"/>
              </w:rPr>
              <w:t>4,1%</w:t>
            </w:r>
          </w:p>
        </w:tc>
      </w:tr>
      <w:tr w:rsidR="004645CB" w:rsidRPr="004645CB" w14:paraId="55A42741"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58596BA8" w14:textId="77777777" w:rsidR="004645CB" w:rsidRPr="004645CB" w:rsidRDefault="004645CB" w:rsidP="00C77788">
            <w:pPr>
              <w:widowControl w:val="0"/>
              <w:spacing w:before="20" w:after="20"/>
              <w:ind w:left="709"/>
              <w:rPr>
                <w:rFonts w:cs="Arial"/>
                <w:b w:val="0"/>
                <w:color w:val="auto"/>
                <w:sz w:val="18"/>
                <w:szCs w:val="18"/>
                <w:lang w:eastAsia="zh-CN"/>
              </w:rPr>
            </w:pPr>
            <w:r w:rsidRPr="004645CB">
              <w:rPr>
                <w:rFonts w:cs="Arial"/>
                <w:b w:val="0"/>
                <w:color w:val="auto"/>
                <w:sz w:val="18"/>
                <w:szCs w:val="18"/>
                <w:lang w:eastAsia="zh-CN"/>
              </w:rPr>
              <w:t>ostale pravne osobe s javnim ovlastima</w:t>
            </w:r>
          </w:p>
        </w:tc>
        <w:tc>
          <w:tcPr>
            <w:tcW w:w="2055" w:type="dxa"/>
            <w:noWrap/>
            <w:vAlign w:val="center"/>
          </w:tcPr>
          <w:p w14:paraId="7983F6CD"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3</w:t>
            </w:r>
          </w:p>
        </w:tc>
        <w:tc>
          <w:tcPr>
            <w:tcW w:w="2056" w:type="dxa"/>
            <w:noWrap/>
            <w:vAlign w:val="center"/>
          </w:tcPr>
          <w:p w14:paraId="56A01074" w14:textId="7C5CE55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645CB">
              <w:rPr>
                <w:color w:val="auto"/>
                <w:sz w:val="18"/>
                <w:szCs w:val="18"/>
              </w:rPr>
              <w:t>12,5%</w:t>
            </w:r>
          </w:p>
        </w:tc>
      </w:tr>
      <w:tr w:rsidR="004645CB" w:rsidRPr="004645CB" w14:paraId="7DA64DED" w14:textId="77777777" w:rsidTr="00422879">
        <w:trPr>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1582BEC9" w14:textId="77777777" w:rsidR="004645CB" w:rsidRPr="004645CB" w:rsidRDefault="004645CB" w:rsidP="00C77788">
            <w:pPr>
              <w:widowControl w:val="0"/>
              <w:spacing w:before="20" w:after="20"/>
              <w:ind w:left="709"/>
              <w:rPr>
                <w:rFonts w:cs="Arial"/>
                <w:b w:val="0"/>
                <w:bCs w:val="0"/>
                <w:color w:val="auto"/>
                <w:sz w:val="18"/>
                <w:szCs w:val="18"/>
                <w:lang w:eastAsia="zh-CN"/>
              </w:rPr>
            </w:pPr>
            <w:r w:rsidRPr="004645CB">
              <w:rPr>
                <w:rFonts w:cs="Arial"/>
                <w:b w:val="0"/>
                <w:bCs w:val="0"/>
                <w:color w:val="auto"/>
                <w:sz w:val="18"/>
                <w:szCs w:val="18"/>
                <w:lang w:eastAsia="zh-CN"/>
              </w:rPr>
              <w:t>udruge s javnim ovlastima</w:t>
            </w:r>
          </w:p>
        </w:tc>
        <w:tc>
          <w:tcPr>
            <w:tcW w:w="2055" w:type="dxa"/>
            <w:noWrap/>
            <w:vAlign w:val="center"/>
          </w:tcPr>
          <w:p w14:paraId="53DDD426" w14:textId="77777777"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645CB">
              <w:rPr>
                <w:color w:val="auto"/>
                <w:sz w:val="18"/>
                <w:szCs w:val="18"/>
              </w:rPr>
              <w:t>2</w:t>
            </w:r>
          </w:p>
        </w:tc>
        <w:tc>
          <w:tcPr>
            <w:tcW w:w="2056" w:type="dxa"/>
            <w:noWrap/>
            <w:vAlign w:val="center"/>
          </w:tcPr>
          <w:p w14:paraId="00209950" w14:textId="657FF85E" w:rsidR="004645CB" w:rsidRPr="004645CB" w:rsidRDefault="004645CB" w:rsidP="00C7778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sz w:val="18"/>
                <w:szCs w:val="18"/>
              </w:rPr>
            </w:pPr>
            <w:r w:rsidRPr="004645CB">
              <w:rPr>
                <w:color w:val="auto"/>
                <w:sz w:val="18"/>
                <w:szCs w:val="18"/>
              </w:rPr>
              <w:t>8,4%</w:t>
            </w:r>
          </w:p>
        </w:tc>
      </w:tr>
      <w:tr w:rsidR="004645CB" w:rsidRPr="004645CB" w14:paraId="1C7E1E92" w14:textId="77777777" w:rsidTr="0042287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70088252" w14:textId="77777777" w:rsidR="004645CB" w:rsidRPr="004645CB" w:rsidRDefault="004645CB" w:rsidP="00C77788">
            <w:pPr>
              <w:widowControl w:val="0"/>
              <w:spacing w:before="20" w:after="20"/>
              <w:ind w:left="709"/>
              <w:rPr>
                <w:rFonts w:cs="Arial"/>
                <w:b w:val="0"/>
                <w:bCs w:val="0"/>
                <w:sz w:val="18"/>
                <w:szCs w:val="18"/>
                <w:lang w:eastAsia="zh-CN"/>
              </w:rPr>
            </w:pPr>
            <w:r w:rsidRPr="004645CB">
              <w:rPr>
                <w:rFonts w:cs="Arial"/>
                <w:b w:val="0"/>
                <w:bCs w:val="0"/>
                <w:color w:val="auto"/>
                <w:sz w:val="18"/>
                <w:szCs w:val="18"/>
                <w:lang w:eastAsia="zh-CN"/>
              </w:rPr>
              <w:t>ustanove – odgoj i obrazovanje</w:t>
            </w:r>
          </w:p>
        </w:tc>
        <w:tc>
          <w:tcPr>
            <w:tcW w:w="2055" w:type="dxa"/>
            <w:noWrap/>
            <w:vAlign w:val="center"/>
          </w:tcPr>
          <w:p w14:paraId="117C6A5E" w14:textId="77777777"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sidRPr="004645CB">
              <w:rPr>
                <w:color w:val="auto"/>
                <w:sz w:val="18"/>
                <w:szCs w:val="18"/>
              </w:rPr>
              <w:t>1</w:t>
            </w:r>
          </w:p>
        </w:tc>
        <w:tc>
          <w:tcPr>
            <w:tcW w:w="2056" w:type="dxa"/>
            <w:noWrap/>
            <w:vAlign w:val="center"/>
          </w:tcPr>
          <w:p w14:paraId="6D09653F" w14:textId="0F789101" w:rsidR="004645CB" w:rsidRPr="004645CB" w:rsidRDefault="004645C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sz w:val="18"/>
                <w:szCs w:val="18"/>
              </w:rPr>
            </w:pPr>
            <w:r w:rsidRPr="004645CB">
              <w:rPr>
                <w:color w:val="auto"/>
                <w:sz w:val="18"/>
                <w:szCs w:val="18"/>
              </w:rPr>
              <w:t>4,1%</w:t>
            </w:r>
          </w:p>
        </w:tc>
      </w:tr>
    </w:tbl>
    <w:p w14:paraId="4DF5F7BD" w14:textId="257FAC42" w:rsidR="004322BD" w:rsidRPr="00F0315E" w:rsidRDefault="004322BD" w:rsidP="009032D7">
      <w:pPr>
        <w:pStyle w:val="Naslov3"/>
        <w:ind w:left="1985"/>
      </w:pPr>
      <w:bookmarkStart w:id="116" w:name="_Toc225865597"/>
      <w:r>
        <w:t>Sudske odluke po tužbama</w:t>
      </w:r>
      <w:bookmarkEnd w:id="114"/>
      <w:bookmarkEnd w:id="115"/>
      <w:bookmarkEnd w:id="116"/>
      <w:r>
        <w:t xml:space="preserve"> </w:t>
      </w:r>
    </w:p>
    <w:p w14:paraId="711DB1C4" w14:textId="77777777" w:rsidR="004645CB" w:rsidRPr="004645CB" w:rsidRDefault="004645CB" w:rsidP="004645CB">
      <w:pPr>
        <w:rPr>
          <w:rFonts w:cs="Arial"/>
        </w:rPr>
      </w:pPr>
      <w:bookmarkStart w:id="117" w:name="_Toc66103149"/>
      <w:bookmarkStart w:id="118" w:name="_Toc66178302"/>
      <w:r w:rsidRPr="004645CB">
        <w:rPr>
          <w:rFonts w:cs="Arial"/>
        </w:rPr>
        <w:t>Tijekom 2025. Povjerenik je zaprimio ukupno 96 odluka Visokog upravnog suda RH (presude i rješenja) u predmetima prava na pristup informacijama od čega se 79 odluka odnosi na upravne sporove pokrenute protiv rješenja Povjerenika, a 10 odluka na upravne sporove pokrenute radi šutnje Povjerenika, pa će navedeni broj (89) biti korišten za daljnju analizu.</w:t>
      </w:r>
    </w:p>
    <w:p w14:paraId="1B39A969" w14:textId="77777777" w:rsidR="004645CB" w:rsidRPr="004645CB" w:rsidRDefault="004645CB" w:rsidP="004645CB">
      <w:pPr>
        <w:rPr>
          <w:rFonts w:cs="Arial"/>
        </w:rPr>
      </w:pPr>
      <w:r w:rsidRPr="004645CB">
        <w:rPr>
          <w:rFonts w:cs="Arial"/>
        </w:rPr>
        <w:t>Što se tiče preostalih 7 predmeta, u dva predmeta sud je donio rješenje o nastavku upravnog spora, dok je u tri predmeta odbijen zahtjev tužitelja za donošenjem dopunskog rješenja o trošku.</w:t>
      </w:r>
    </w:p>
    <w:p w14:paraId="70EB2632" w14:textId="0E24E8B4" w:rsidR="004645CB" w:rsidRDefault="004645CB" w:rsidP="004645CB">
      <w:pPr>
        <w:rPr>
          <w:rFonts w:cs="Arial"/>
        </w:rPr>
      </w:pPr>
      <w:r w:rsidRPr="004645CB">
        <w:rPr>
          <w:rFonts w:cs="Arial"/>
        </w:rPr>
        <w:t>U jednom predmetu sud je donio dopunsko rješenje o trošku postupka, dok je u jednom predmetu odbačen zahtjev zainteresirane strane za izvršenje rješenja Povjerenika.</w:t>
      </w:r>
    </w:p>
    <w:p w14:paraId="3159012C" w14:textId="0095AC2F" w:rsidR="004645CB" w:rsidRPr="004A564E" w:rsidRDefault="004645CB" w:rsidP="004A564E">
      <w:pPr>
        <w:rPr>
          <w:rFonts w:cs="Arial"/>
          <w:b/>
          <w:bCs/>
        </w:rPr>
      </w:pPr>
      <w:r w:rsidRPr="004A564E">
        <w:rPr>
          <w:rFonts w:cs="Arial"/>
          <w:b/>
          <w:bCs/>
        </w:rPr>
        <w:t>Sporovi protiv rješenja Povjerenika</w:t>
      </w:r>
    </w:p>
    <w:p w14:paraId="3E8ED139" w14:textId="77777777" w:rsidR="004645CB" w:rsidRPr="004645CB" w:rsidRDefault="004645CB" w:rsidP="004645CB">
      <w:pPr>
        <w:rPr>
          <w:rFonts w:cs="Arial"/>
        </w:rPr>
      </w:pPr>
      <w:r w:rsidRPr="004645CB">
        <w:rPr>
          <w:rFonts w:cs="Arial"/>
        </w:rPr>
        <w:t>Od 79 odluka u sporovima koji su pokrenuti protiv rješenja Povjerenika, u 9 predmeta je poništeno rješenje Povjerenika, iz čega proizlazi da je nastavljen trend velikog broja potvrđenih rješenja Povjerenika (88,6%).</w:t>
      </w:r>
    </w:p>
    <w:p w14:paraId="07FD4231" w14:textId="77777777" w:rsidR="004645CB" w:rsidRPr="004645CB" w:rsidRDefault="004645CB" w:rsidP="004645CB">
      <w:pPr>
        <w:rPr>
          <w:rFonts w:cs="Arial"/>
        </w:rPr>
      </w:pPr>
      <w:r w:rsidRPr="004645CB">
        <w:rPr>
          <w:rFonts w:cs="Arial"/>
        </w:rPr>
        <w:t>Posebno se ističe da se dio potvrđenih rješenja Povjerenika odnosi na predmete u kojima je bio određen prekid upravnog spora do donošenja odluke Suda Europske unije o tome primjenjuju li se odredbe OD Direktive, osim na ponovnu uporabu informacija, i na postupke ostvarivanja prava na pristup informacijama.</w:t>
      </w:r>
    </w:p>
    <w:p w14:paraId="15E1D283" w14:textId="19E0F40C" w:rsidR="004645CB" w:rsidRDefault="004645CB" w:rsidP="004645CB">
      <w:pPr>
        <w:rPr>
          <w:rFonts w:cs="Arial"/>
        </w:rPr>
      </w:pPr>
      <w:r w:rsidRPr="004645CB">
        <w:rPr>
          <w:rFonts w:cs="Arial"/>
        </w:rPr>
        <w:lastRenderedPageBreak/>
        <w:t>S obzirom da je Sud Europske unije u presudi broj C-336/21 od 21. studenog 2024. zaključio da se OD Direktiva ne primjenjuje na postupke ostvarivanja prava na pristup informacijama, Visoki upravni sud RH je odbio prigovore tužitelja koji su se ticali primjene OD Direktive te je potvrdio rješenja Povjerenika.</w:t>
      </w:r>
    </w:p>
    <w:p w14:paraId="1125F98A" w14:textId="77777777" w:rsidR="004645CB" w:rsidRPr="00090FDF" w:rsidRDefault="004645CB" w:rsidP="004645CB">
      <w:pPr>
        <w:rPr>
          <w:rFonts w:cs="Arial"/>
          <w:b/>
          <w:bCs/>
        </w:rPr>
      </w:pPr>
      <w:r w:rsidRPr="004A564E">
        <w:rPr>
          <w:rFonts w:cs="Arial"/>
          <w:b/>
          <w:bCs/>
        </w:rPr>
        <w:t>Poništena rješenja Povjerenika</w:t>
      </w:r>
    </w:p>
    <w:p w14:paraId="78E2D7A8" w14:textId="77777777" w:rsidR="004645CB" w:rsidRPr="004645CB" w:rsidRDefault="004645CB" w:rsidP="004645CB">
      <w:pPr>
        <w:rPr>
          <w:rFonts w:cs="Arial"/>
        </w:rPr>
      </w:pPr>
      <w:r w:rsidRPr="004645CB">
        <w:rPr>
          <w:rFonts w:cs="Arial"/>
        </w:rPr>
        <w:t xml:space="preserve">U odnosu na poništena rješenja, u četiri predmeta poništena su rješenja Povjerenika i prvostupanjskog tijela iz formalnih razloga, odnosno jer je prvostupanjsko rješenje potpisao čelnik tijela, a ne službenik za informiranje kao mjerodavna osoba u smislu članka 13. ZPPI-ja, na koji način je Visoki upravni sud RH stabilizirao svoju praksu vezano uz ovlast za donošenje prvostupanjskog rješenja, koju i Povjerenik primjenjuje u svojoj praksi u granicama zahtjeva koje korisnici ističu u svojim žalbama. </w:t>
      </w:r>
    </w:p>
    <w:p w14:paraId="31782E89" w14:textId="77777777" w:rsidR="004645CB" w:rsidRPr="004645CB" w:rsidRDefault="004645CB" w:rsidP="004645CB">
      <w:pPr>
        <w:rPr>
          <w:rFonts w:cs="Arial"/>
        </w:rPr>
      </w:pPr>
      <w:r w:rsidRPr="004645CB">
        <w:rPr>
          <w:rFonts w:cs="Arial"/>
        </w:rPr>
        <w:t xml:space="preserve">U jednom predmetu koji se ticao statusa Hrvatskog ureda za osiguranje, Visoki upravni sud RH je zauzeo shvaćanje da Hrvatski ured za osiguranje ne predstavlja tijelo javne vlasti u smislu članka 5. stavka 1. točke 2. ZPPI-ja te je poništeno rješenje Povjerenika kojim je Hrvatskom uredu za osiguranje naloženo rješavanje zahtjeva i odbačena žalba korisnika kao nedopuštena. U presudi je naglašeno da Hrvatski ured za osiguranje predstavlja neprofitni oblik udruživanja društava za osiguranje, te da poslovi koje obavlja Hrvatski ured za osiguranje ne predstavljaju poslove koji se obavljaju na temelju javnih ovlasti, iz kojeg razloga nisu prihvaćeni argumenti Povjerenika da Hrvatski ured za osiguranje predstavlja pravnu osobu s javnim ovlastima, a koja odluka je donesena na temelju shvaćanja tadašnjeg Ministarstva pravosuđa i uprave i Ministarstva financija o tome da Hrvatski ured za osiguranje ima javne ovlasti. </w:t>
      </w:r>
    </w:p>
    <w:p w14:paraId="6A9E03D3" w14:textId="77777777" w:rsidR="004645CB" w:rsidRPr="004645CB" w:rsidRDefault="004645CB" w:rsidP="004645CB">
      <w:pPr>
        <w:rPr>
          <w:rFonts w:cs="Arial"/>
        </w:rPr>
      </w:pPr>
      <w:r w:rsidRPr="004645CB">
        <w:rPr>
          <w:rFonts w:cs="Arial"/>
        </w:rPr>
        <w:t>U četiri predmeta poništena rješenja su rezultat postojanja različite prakse Visokog upravnog suda RH, što se obrazlaže kako slijedi.</w:t>
      </w:r>
    </w:p>
    <w:p w14:paraId="4B05AF7C" w14:textId="77777777" w:rsidR="004645CB" w:rsidRPr="004645CB" w:rsidRDefault="004645CB" w:rsidP="004645CB">
      <w:pPr>
        <w:rPr>
          <w:rFonts w:cs="Arial"/>
        </w:rPr>
      </w:pPr>
      <w:r w:rsidRPr="004645CB">
        <w:rPr>
          <w:rFonts w:cs="Arial"/>
        </w:rPr>
        <w:t>U jednom predmetu Visoki upravni sud RH je poništio rješenje Povjerenika kojim je odbijena žalba korisnika te je potvrđeno stajalište prvostupanjskog tijela da korisnik zloupotrebljava pravo na pristup informacijama. U navedenom predmetu Visoki upravni sud RH je istaknuo da iz odluke Povjerenika nije vidljiv broj zahtjeva koji je korisnik podnio, iako je u odnosu na istog korisnika i isto tijelo javne vlasti Visoki upravni sud RH ranije potvrđivao stajalište Povjerenika o zlouporabi prava.</w:t>
      </w:r>
    </w:p>
    <w:p w14:paraId="342A0F39" w14:textId="77777777" w:rsidR="004645CB" w:rsidRPr="004645CB" w:rsidRDefault="004645CB" w:rsidP="004645CB">
      <w:pPr>
        <w:rPr>
          <w:rFonts w:cs="Arial"/>
        </w:rPr>
      </w:pPr>
      <w:r w:rsidRPr="004645CB">
        <w:rPr>
          <w:rFonts w:cs="Arial"/>
        </w:rPr>
        <w:t xml:space="preserve">U drugom predmetu Visoki upravni sud RH je poništio rješenje Povjerenika i prvostupanjskog tijela te vratio predmet na ponovni postupak prvostupanjskom tijelu, navodeći da u rješenju Povjerenika nisu navedeni jasni razlozi za primjenu odredbe članka 15. stavka 3. točke 1. ZPPI-ja, odnosno da nije jasno kako bi objava tražene informacije mogla ugroziti vođenje natječajnog postupka ako korisnik nije stranka u postupku. Pri tome se Visoki upravni sud RH pozvao na odluku koja je donesena po zahtjevu drugog korisnika koji je bio sudionik istog natječaja, a u kojem slučaju je prihvaćeno shvaćanje Povjerenika da bi objava informacija mogla ugroziti vođenje postupka, ako informacije traži korisnik koji je sudionik natječaja.  </w:t>
      </w:r>
    </w:p>
    <w:p w14:paraId="4C96DC1E" w14:textId="77777777" w:rsidR="004645CB" w:rsidRPr="004645CB" w:rsidRDefault="004645CB" w:rsidP="004645CB">
      <w:pPr>
        <w:rPr>
          <w:rFonts w:cs="Arial"/>
        </w:rPr>
      </w:pPr>
      <w:r w:rsidRPr="004645CB">
        <w:rPr>
          <w:rFonts w:cs="Arial"/>
        </w:rPr>
        <w:t xml:space="preserve">U trećem predmetu Visoki upravni sud RH je poništio rješenje Povjerenika te predmet vratio na ponovni postupak Povjereniku. Navedeni predmet ticao se isplata koje banka vrši odvjetnicima, a o čemu postoji ustaljena praksa Visokog upravnog suda RH, pa je Povjerenik postupao sukladno navedenoj praksi. Visoki upravni sud RH je zauzeo shvaćanje da Povjerenik </w:t>
      </w:r>
      <w:r w:rsidRPr="004645CB">
        <w:rPr>
          <w:rFonts w:cs="Arial"/>
        </w:rPr>
        <w:lastRenderedPageBreak/>
        <w:t xml:space="preserve">nije proveo test razmjernosti i javnog interesa, iako je u bitno istovrsnom predmetu Visoki upravni sud RH potvrdio rješenje Povjerenika s istim obrazloženjem. Povjerenik je postupio sukladno shvaćanju Visokog upravnog suda RH, te nakon provedenog testa razmjernosti i javnog interesa donio rješenje kojim je kao i kod prethodno poništenog rješenja omogućio pristup zatraženoj informaciji, a protiv koje odluke nije pokrenut upravni spor. </w:t>
      </w:r>
    </w:p>
    <w:p w14:paraId="6B7879D2" w14:textId="51F7FE45" w:rsidR="004645CB" w:rsidRDefault="004645CB" w:rsidP="001B4107">
      <w:pPr>
        <w:rPr>
          <w:rFonts w:cs="Arial"/>
        </w:rPr>
      </w:pPr>
      <w:r w:rsidRPr="004645CB">
        <w:rPr>
          <w:rFonts w:cs="Arial"/>
        </w:rPr>
        <w:t>U četvrtom predmetu Visoki upravni sud RH je također poništio rješenje Povjerenika s istim obrazloženjem da nije proveden test razmjernosti i javnog interesa, a predmet se ticao Hrvatske banke za obnovu i razvitak o kojoj postoji ustaljena praksa Visokog upravnog suda RH. Povjerenik je postupio sukladno shvaćanju Visokog upravnog suda RH te nakon provedenog testa razmjernosti i javnog interesa donio rješenje kojim je kao i kod prethodno poništenog rješenja omogućio pristup zatraženoj informaciji, a koje je kasnije potvrdio Visoki upravni sud RH.</w:t>
      </w:r>
    </w:p>
    <w:p w14:paraId="2A1B23DF" w14:textId="234F29F6" w:rsidR="004645CB" w:rsidRPr="004A564E" w:rsidRDefault="004645CB" w:rsidP="004A564E">
      <w:pPr>
        <w:rPr>
          <w:rFonts w:cs="Arial"/>
          <w:b/>
          <w:bCs/>
        </w:rPr>
      </w:pPr>
      <w:r w:rsidRPr="004A564E">
        <w:rPr>
          <w:rFonts w:cs="Arial"/>
          <w:b/>
          <w:bCs/>
        </w:rPr>
        <w:t xml:space="preserve">Sporovi radi nerješavanja žalbi u zakonskom roku (šutnje Povjerenika) </w:t>
      </w:r>
    </w:p>
    <w:p w14:paraId="6E3BF960" w14:textId="77777777" w:rsidR="004645CB" w:rsidRPr="004645CB" w:rsidRDefault="004645CB" w:rsidP="004645CB">
      <w:pPr>
        <w:rPr>
          <w:rFonts w:cs="Arial"/>
        </w:rPr>
      </w:pPr>
      <w:r w:rsidRPr="004645CB">
        <w:rPr>
          <w:rFonts w:cs="Arial"/>
        </w:rPr>
        <w:t>U 2025. Povjerenik je zaprimio 10 sudskih odluka u predmetima šutnje Povjerenika, od čega je u 4 slučaja odbijen tužbeni zahtjev (40%), u 3 slučaja je postupak obustavljen jer je Povjerenik riješio žalbu (30%), u 2 slučaja je tužba odbačena (20%), dok je samo u jednom slučaju (10%) tužba prihvaćena te je naloženo Povjereniku da donese odluku o žalbi korisnika.</w:t>
      </w:r>
    </w:p>
    <w:p w14:paraId="0DDAD023" w14:textId="77777777" w:rsidR="004645CB" w:rsidRPr="004645CB" w:rsidRDefault="004645CB" w:rsidP="004645CB">
      <w:pPr>
        <w:rPr>
          <w:rFonts w:cs="Arial"/>
        </w:rPr>
      </w:pPr>
      <w:r w:rsidRPr="004645CB">
        <w:rPr>
          <w:rFonts w:cs="Arial"/>
        </w:rPr>
        <w:t>Što se tiče jednog predmeta u kojem je Povjereniku naloženo rješavanje žalbe te naknada troškova upravnog spora tužitelju u iznosu od 1.250 EUR, posebno se ističe da sukladno ustaljenoj upravnosudskoj praksi rok za rješavanje žalbe počinje teći od dana kad je Povjereniku dostavljen spis predmeta, odnosno kad su ispunjene pretpostavke za odlučivanje (presuda Visokog upravnog suda RH,  poslovni broj: UsII-154/25 od 1. listopada 2025. i presuda poslovni broj: UsII-212/25 od 5. studenog 2025.).</w:t>
      </w:r>
    </w:p>
    <w:p w14:paraId="6053A118" w14:textId="1870B99D" w:rsidR="004645CB" w:rsidRDefault="004645CB" w:rsidP="24CC0276">
      <w:pPr>
        <w:widowControl w:val="0"/>
        <w:spacing w:before="240"/>
        <w:rPr>
          <w:rFonts w:cs="Arial"/>
        </w:rPr>
      </w:pPr>
      <w:r w:rsidRPr="24CC0276">
        <w:rPr>
          <w:rFonts w:cs="Arial"/>
        </w:rPr>
        <w:t>Suprotno navedenoj praksi, u presudi poslovni broj: UsII-192/25 od 29. listopada 2025. Visoki upravni sud RH nije prihvatio navode Povjerenika iz odgovora na tužbu da mu unatoč požurnicama prvostupanjsko tijelo nije dostavilo spis predmeta, odnosno da ne raspolaže potrebnim podacima za donošenje odluke bez uvida u spis predmeta, te je naložio Povjereniku da donese odluku o žalbi korisnika i naknadi trošak upravnog spora tužitelju. Posebno se ističe da je u navedenom predmetu žalba bila izjavljena Povjereniku kao drugostupanjskom tijelu, koji je sukladno članku 110. ZUP-a žalbu dostavio na odlučivanje prvostupanjskom tijelu, te je zatražio dostavu spisa predmeta, ako prvostupanjsko tijelo ne odluči o žalbi sukladno svojim ovlastima iz članka 113. ZUP-a, odnosno dostavu obavijesti da je prvostupanjsko tijelo postupilo sukladno članku 113. ZUP-a. S obzirom na to prvostupanjsko tijelo nije dostavljalo spis predmeta, Povjerenik je ponovno zatražio dostavu spisa predmeta na nadležno postupanje, a prvostupanjsko tijelo nije dostavilo spis predmeta</w:t>
      </w:r>
      <w:r w:rsidR="293C3A44" w:rsidRPr="24CC0276">
        <w:rPr>
          <w:rFonts w:cs="Arial"/>
        </w:rPr>
        <w:t xml:space="preserve">. </w:t>
      </w:r>
      <w:r w:rsidR="48B466A4" w:rsidRPr="24CC0276">
        <w:rPr>
          <w:rFonts w:cs="Arial"/>
        </w:rPr>
        <w:t>S</w:t>
      </w:r>
      <w:r w:rsidRPr="24CC0276">
        <w:rPr>
          <w:rFonts w:cs="Arial"/>
        </w:rPr>
        <w:t>lijedom navedenog, navedena odluka posljedica je propusta prvostupanjskog tijela da Povjereniku dostavi spis predmeta na nadležno postupanje te neujednačenosti prakse Visokog upravnog suda RH</w:t>
      </w:r>
      <w:r w:rsidR="46840A43" w:rsidRPr="24CC0276">
        <w:rPr>
          <w:rFonts w:cs="Arial"/>
        </w:rPr>
        <w:t>.</w:t>
      </w:r>
      <w:r w:rsidR="2629872A" w:rsidRPr="24CC0276">
        <w:rPr>
          <w:rFonts w:ascii="Gill Sans MT" w:eastAsia="Gill Sans MT" w:hAnsi="Gill Sans MT" w:cs="Gill Sans MT"/>
          <w:color w:val="000000" w:themeColor="text1"/>
          <w:sz w:val="23"/>
          <w:szCs w:val="23"/>
        </w:rPr>
        <w:t xml:space="preserve"> </w:t>
      </w:r>
      <w:r w:rsidR="2629872A" w:rsidRPr="24CC0276">
        <w:rPr>
          <w:rFonts w:eastAsia="Roboto"/>
        </w:rPr>
        <w:t xml:space="preserve"> </w:t>
      </w:r>
    </w:p>
    <w:p w14:paraId="2F17EDB4" w14:textId="7C7D5E88" w:rsidR="004645CB" w:rsidRDefault="004645CB" w:rsidP="24CC0276">
      <w:pPr>
        <w:rPr>
          <w:rFonts w:cs="Arial"/>
        </w:rPr>
      </w:pPr>
      <w:r w:rsidRPr="24CC0276">
        <w:rPr>
          <w:rFonts w:cs="Arial"/>
        </w:rPr>
        <w:t>Statistički podaci o zaprimljenim odlukama prikazani su u Tablici 5.3.</w:t>
      </w:r>
    </w:p>
    <w:p w14:paraId="14694ADC" w14:textId="77777777" w:rsidR="0052400E" w:rsidRDefault="0052400E" w:rsidP="24CC0276">
      <w:pPr>
        <w:rPr>
          <w:rFonts w:cs="Arial"/>
        </w:rPr>
      </w:pPr>
    </w:p>
    <w:p w14:paraId="25A57FB2" w14:textId="43074EBB" w:rsidR="000261AB" w:rsidRPr="00F0315E" w:rsidRDefault="000261AB" w:rsidP="002559BF">
      <w:pPr>
        <w:keepNext/>
        <w:widowControl w:val="0"/>
        <w:spacing w:before="240"/>
        <w:rPr>
          <w:rFonts w:cs="Arial"/>
          <w:sz w:val="18"/>
          <w:szCs w:val="18"/>
        </w:rPr>
      </w:pPr>
      <w:r w:rsidRPr="00F0315E">
        <w:rPr>
          <w:rFonts w:cs="Arial"/>
          <w:sz w:val="18"/>
          <w:szCs w:val="18"/>
        </w:rPr>
        <w:lastRenderedPageBreak/>
        <w:t xml:space="preserve">Tablica </w:t>
      </w:r>
      <w:r w:rsidR="00920F3B" w:rsidRPr="00F0315E">
        <w:rPr>
          <w:rFonts w:cs="Arial"/>
          <w:sz w:val="18"/>
          <w:szCs w:val="18"/>
        </w:rPr>
        <w:t>5</w:t>
      </w:r>
      <w:r w:rsidRPr="00F0315E">
        <w:rPr>
          <w:rFonts w:cs="Arial"/>
          <w:sz w:val="18"/>
          <w:szCs w:val="18"/>
        </w:rPr>
        <w:t>.3. Upravni sporovi u 202</w:t>
      </w:r>
      <w:r w:rsidR="00B777D8">
        <w:rPr>
          <w:rFonts w:cs="Arial"/>
          <w:sz w:val="18"/>
          <w:szCs w:val="18"/>
        </w:rPr>
        <w:t>5</w:t>
      </w:r>
      <w:r w:rsidRPr="00F0315E">
        <w:rPr>
          <w:rFonts w:cs="Arial"/>
          <w:sz w:val="18"/>
          <w:szCs w:val="18"/>
        </w:rPr>
        <w:t>. prema zaprimljenim odlukama</w:t>
      </w:r>
    </w:p>
    <w:tbl>
      <w:tblPr>
        <w:tblStyle w:val="LightShading-Accent11"/>
        <w:tblW w:w="9214" w:type="dxa"/>
        <w:jc w:val="center"/>
        <w:tblBorders>
          <w:bottom w:val="none" w:sz="0" w:space="0" w:color="auto"/>
          <w:insideH w:val="single" w:sz="4" w:space="0" w:color="8EAADB" w:themeColor="accent1" w:themeTint="99"/>
        </w:tblBorders>
        <w:tblLook w:val="04A0" w:firstRow="1" w:lastRow="0" w:firstColumn="1" w:lastColumn="0" w:noHBand="0" w:noVBand="1"/>
      </w:tblPr>
      <w:tblGrid>
        <w:gridCol w:w="5040"/>
        <w:gridCol w:w="2087"/>
        <w:gridCol w:w="2087"/>
      </w:tblGrid>
      <w:tr w:rsidR="00893BD5" w:rsidRPr="003804F5" w14:paraId="05818FAE" w14:textId="77777777" w:rsidTr="003804F5">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5040" w:type="dxa"/>
            <w:tcBorders>
              <w:top w:val="single" w:sz="8" w:space="0" w:color="4472C4" w:themeColor="accent1"/>
              <w:bottom w:val="single" w:sz="8" w:space="0" w:color="4472C4" w:themeColor="accent1"/>
            </w:tcBorders>
            <w:noWrap/>
            <w:vAlign w:val="center"/>
            <w:hideMark/>
          </w:tcPr>
          <w:p w14:paraId="23D28752" w14:textId="77777777" w:rsidR="000261AB" w:rsidRPr="00D43648" w:rsidRDefault="000261AB" w:rsidP="00C77788">
            <w:pPr>
              <w:widowControl w:val="0"/>
              <w:spacing w:before="20" w:after="20"/>
              <w:rPr>
                <w:rFonts w:eastAsia="Times New Roman"/>
                <w:color w:val="000000" w:themeColor="text1"/>
                <w:sz w:val="18"/>
                <w:szCs w:val="18"/>
              </w:rPr>
            </w:pPr>
            <w:r w:rsidRPr="00D43648">
              <w:rPr>
                <w:rFonts w:eastAsia="Times New Roman" w:cs="Arial"/>
                <w:color w:val="000000" w:themeColor="text1"/>
                <w:sz w:val="18"/>
                <w:szCs w:val="18"/>
                <w:lang w:eastAsia="zh-CN"/>
              </w:rPr>
              <w:t>Tužbe protiv rješenja</w:t>
            </w:r>
          </w:p>
        </w:tc>
        <w:tc>
          <w:tcPr>
            <w:tcW w:w="2087" w:type="dxa"/>
            <w:tcBorders>
              <w:top w:val="single" w:sz="8" w:space="0" w:color="4472C4" w:themeColor="accent1"/>
              <w:bottom w:val="single" w:sz="8" w:space="0" w:color="4472C4" w:themeColor="accent1"/>
            </w:tcBorders>
            <w:noWrap/>
            <w:vAlign w:val="center"/>
            <w:hideMark/>
          </w:tcPr>
          <w:p w14:paraId="5E9E1500" w14:textId="323FB7DA" w:rsidR="000261AB" w:rsidRPr="003804F5" w:rsidRDefault="00D442D5" w:rsidP="00C77788">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18"/>
                <w:szCs w:val="18"/>
                <w:lang w:eastAsia="zh-CN"/>
              </w:rPr>
            </w:pPr>
            <w:r>
              <w:rPr>
                <w:rFonts w:eastAsia="Times New Roman" w:cs="Arial"/>
                <w:color w:val="000000" w:themeColor="text1"/>
                <w:sz w:val="18"/>
                <w:szCs w:val="18"/>
                <w:lang w:eastAsia="zh-CN"/>
              </w:rPr>
              <w:t>79</w:t>
            </w:r>
          </w:p>
        </w:tc>
        <w:tc>
          <w:tcPr>
            <w:tcW w:w="2087" w:type="dxa"/>
            <w:tcBorders>
              <w:top w:val="single" w:sz="8" w:space="0" w:color="4472C4" w:themeColor="accent1"/>
              <w:bottom w:val="single" w:sz="8" w:space="0" w:color="4472C4" w:themeColor="accent1"/>
            </w:tcBorders>
            <w:noWrap/>
            <w:vAlign w:val="center"/>
            <w:hideMark/>
          </w:tcPr>
          <w:p w14:paraId="71989463" w14:textId="77777777" w:rsidR="000261AB" w:rsidRPr="003804F5" w:rsidRDefault="000261AB" w:rsidP="00C77788">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18"/>
                <w:szCs w:val="18"/>
                <w:lang w:eastAsia="zh-CN"/>
              </w:rPr>
            </w:pPr>
            <w:r w:rsidRPr="003804F5">
              <w:rPr>
                <w:rFonts w:eastAsia="Times New Roman" w:cs="Arial"/>
                <w:color w:val="000000" w:themeColor="text1"/>
                <w:sz w:val="18"/>
                <w:szCs w:val="18"/>
                <w:lang w:eastAsia="zh-CN"/>
              </w:rPr>
              <w:t>100%</w:t>
            </w:r>
          </w:p>
        </w:tc>
      </w:tr>
      <w:tr w:rsidR="00D442D5" w:rsidRPr="00893BD5" w14:paraId="0A61015A" w14:textId="77777777" w:rsidTr="003804F5">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5040" w:type="dxa"/>
            <w:tcBorders>
              <w:top w:val="single" w:sz="8" w:space="0" w:color="4472C4" w:themeColor="accent1"/>
            </w:tcBorders>
            <w:noWrap/>
            <w:vAlign w:val="center"/>
            <w:hideMark/>
          </w:tcPr>
          <w:p w14:paraId="5671C779" w14:textId="6A33259B" w:rsidR="00D442D5" w:rsidRPr="00D43648" w:rsidRDefault="00D442D5" w:rsidP="00D442D5">
            <w:pPr>
              <w:widowControl w:val="0"/>
              <w:spacing w:before="20" w:after="20"/>
              <w:ind w:left="743" w:hanging="142"/>
              <w:jc w:val="left"/>
              <w:rPr>
                <w:rFonts w:eastAsia="Times New Roman"/>
                <w:b w:val="0"/>
                <w:bCs w:val="0"/>
                <w:color w:val="000000" w:themeColor="text1"/>
                <w:sz w:val="18"/>
                <w:szCs w:val="18"/>
              </w:rPr>
            </w:pPr>
            <w:r w:rsidRPr="00D43648">
              <w:rPr>
                <w:rFonts w:eastAsia="Times New Roman" w:cs="Arial"/>
                <w:b w:val="0"/>
                <w:bCs w:val="0"/>
                <w:color w:val="000000" w:themeColor="text1"/>
                <w:sz w:val="18"/>
                <w:szCs w:val="18"/>
                <w:lang w:eastAsia="zh-CN"/>
              </w:rPr>
              <w:tab/>
              <w:t>tužba odbijena potvrđena odluka Povjerenika</w:t>
            </w:r>
          </w:p>
        </w:tc>
        <w:tc>
          <w:tcPr>
            <w:tcW w:w="2087" w:type="dxa"/>
            <w:tcBorders>
              <w:top w:val="single" w:sz="8" w:space="0" w:color="4472C4" w:themeColor="accent1"/>
            </w:tcBorders>
            <w:noWrap/>
            <w:vAlign w:val="center"/>
            <w:hideMark/>
          </w:tcPr>
          <w:p w14:paraId="65FE4ED0" w14:textId="28C40E3C" w:rsidR="00D442D5" w:rsidRPr="00D442D5" w:rsidRDefault="00D442D5" w:rsidP="00D442D5">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D442D5">
              <w:rPr>
                <w:rFonts w:cs="Arial"/>
                <w:color w:val="000000" w:themeColor="text1"/>
                <w:sz w:val="18"/>
                <w:szCs w:val="18"/>
              </w:rPr>
              <w:t>70</w:t>
            </w:r>
          </w:p>
        </w:tc>
        <w:tc>
          <w:tcPr>
            <w:tcW w:w="2087" w:type="dxa"/>
            <w:tcBorders>
              <w:top w:val="single" w:sz="8" w:space="0" w:color="4472C4" w:themeColor="accent1"/>
            </w:tcBorders>
            <w:noWrap/>
            <w:vAlign w:val="center"/>
            <w:hideMark/>
          </w:tcPr>
          <w:p w14:paraId="682263F1" w14:textId="5EFBFDA6" w:rsidR="00D442D5" w:rsidRPr="004A564E" w:rsidRDefault="00D442D5" w:rsidP="00D442D5">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sidRPr="004A564E">
              <w:rPr>
                <w:rFonts w:cs="Arial"/>
                <w:color w:val="000000" w:themeColor="text1"/>
                <w:sz w:val="18"/>
                <w:szCs w:val="18"/>
              </w:rPr>
              <w:t>88,6%</w:t>
            </w:r>
          </w:p>
        </w:tc>
      </w:tr>
      <w:tr w:rsidR="00D442D5" w:rsidRPr="00893BD5" w14:paraId="04D602B3" w14:textId="77777777" w:rsidTr="00D442D5">
        <w:trPr>
          <w:trHeight w:val="350"/>
          <w:jc w:val="center"/>
        </w:trPr>
        <w:tc>
          <w:tcPr>
            <w:cnfStyle w:val="001000000000" w:firstRow="0" w:lastRow="0" w:firstColumn="1" w:lastColumn="0" w:oddVBand="0" w:evenVBand="0" w:oddHBand="0" w:evenHBand="0" w:firstRowFirstColumn="0" w:firstRowLastColumn="0" w:lastRowFirstColumn="0" w:lastRowLastColumn="0"/>
            <w:tcW w:w="5040" w:type="dxa"/>
            <w:noWrap/>
            <w:vAlign w:val="center"/>
            <w:hideMark/>
          </w:tcPr>
          <w:p w14:paraId="467D8348" w14:textId="77777777" w:rsidR="00D442D5" w:rsidRPr="00D43648" w:rsidRDefault="00D442D5" w:rsidP="00D442D5">
            <w:pPr>
              <w:widowControl w:val="0"/>
              <w:spacing w:before="20" w:after="20"/>
              <w:jc w:val="left"/>
              <w:rPr>
                <w:rFonts w:eastAsia="Times New Roman"/>
                <w:b w:val="0"/>
                <w:bCs w:val="0"/>
                <w:color w:val="000000" w:themeColor="text1"/>
                <w:sz w:val="18"/>
                <w:szCs w:val="18"/>
              </w:rPr>
            </w:pPr>
            <w:r w:rsidRPr="00D43648">
              <w:rPr>
                <w:rFonts w:eastAsia="Times New Roman"/>
                <w:b w:val="0"/>
                <w:bCs w:val="0"/>
                <w:color w:val="000000" w:themeColor="text1"/>
                <w:sz w:val="18"/>
                <w:szCs w:val="18"/>
              </w:rPr>
              <w:tab/>
              <w:t>poništeno rješenje Povjerenika</w:t>
            </w:r>
          </w:p>
        </w:tc>
        <w:tc>
          <w:tcPr>
            <w:tcW w:w="2087" w:type="dxa"/>
            <w:noWrap/>
            <w:vAlign w:val="center"/>
            <w:hideMark/>
          </w:tcPr>
          <w:p w14:paraId="582233BA" w14:textId="7410BC93" w:rsidR="00D442D5" w:rsidRPr="00D442D5" w:rsidRDefault="00D442D5" w:rsidP="00D442D5">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D442D5">
              <w:rPr>
                <w:rFonts w:cs="Arial"/>
                <w:color w:val="000000" w:themeColor="text1"/>
                <w:sz w:val="18"/>
                <w:szCs w:val="18"/>
              </w:rPr>
              <w:t>9</w:t>
            </w:r>
          </w:p>
        </w:tc>
        <w:tc>
          <w:tcPr>
            <w:tcW w:w="2087" w:type="dxa"/>
            <w:noWrap/>
            <w:vAlign w:val="center"/>
            <w:hideMark/>
          </w:tcPr>
          <w:p w14:paraId="332746DB" w14:textId="669B584D" w:rsidR="00D442D5" w:rsidRPr="004A564E" w:rsidRDefault="00D442D5" w:rsidP="00D442D5">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18"/>
                <w:lang w:eastAsia="zh-CN"/>
              </w:rPr>
            </w:pPr>
            <w:r w:rsidRPr="004A564E">
              <w:rPr>
                <w:rFonts w:cs="Arial"/>
                <w:color w:val="000000" w:themeColor="text1"/>
                <w:sz w:val="18"/>
                <w:szCs w:val="18"/>
              </w:rPr>
              <w:t>11,4%</w:t>
            </w:r>
          </w:p>
        </w:tc>
      </w:tr>
      <w:tr w:rsidR="00893BD5" w:rsidRPr="003804F5" w14:paraId="3511CD44" w14:textId="77777777" w:rsidTr="00D442D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040" w:type="dxa"/>
            <w:tcBorders>
              <w:top w:val="single" w:sz="8" w:space="0" w:color="4472C4" w:themeColor="accent1"/>
              <w:bottom w:val="single" w:sz="8" w:space="0" w:color="4472C4" w:themeColor="accent1"/>
            </w:tcBorders>
            <w:noWrap/>
            <w:vAlign w:val="center"/>
            <w:hideMark/>
          </w:tcPr>
          <w:p w14:paraId="0A832FCA" w14:textId="77777777" w:rsidR="000261AB" w:rsidRPr="00D43648" w:rsidRDefault="000261AB" w:rsidP="00C77788">
            <w:pPr>
              <w:widowControl w:val="0"/>
              <w:spacing w:before="20" w:after="20"/>
              <w:rPr>
                <w:rFonts w:eastAsia="Times New Roman" w:cs="Arial"/>
                <w:color w:val="000000" w:themeColor="text1"/>
                <w:sz w:val="18"/>
                <w:szCs w:val="18"/>
                <w:lang w:eastAsia="zh-CN"/>
              </w:rPr>
            </w:pPr>
            <w:r w:rsidRPr="00D43648">
              <w:rPr>
                <w:rFonts w:eastAsia="Times New Roman" w:cs="Arial"/>
                <w:color w:val="000000" w:themeColor="text1"/>
                <w:sz w:val="18"/>
                <w:szCs w:val="18"/>
                <w:lang w:eastAsia="zh-CN"/>
              </w:rPr>
              <w:t>Tužbe zbog šutnje uprave</w:t>
            </w:r>
          </w:p>
        </w:tc>
        <w:tc>
          <w:tcPr>
            <w:tcW w:w="2087" w:type="dxa"/>
            <w:tcBorders>
              <w:top w:val="single" w:sz="8" w:space="0" w:color="4472C4" w:themeColor="accent1"/>
              <w:bottom w:val="single" w:sz="8" w:space="0" w:color="4472C4" w:themeColor="accent1"/>
            </w:tcBorders>
            <w:noWrap/>
            <w:vAlign w:val="center"/>
            <w:hideMark/>
          </w:tcPr>
          <w:p w14:paraId="65CD0B68" w14:textId="28CFDB88" w:rsidR="000261AB" w:rsidRPr="003804F5" w:rsidRDefault="00D442D5"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lang w:eastAsia="zh-CN"/>
              </w:rPr>
            </w:pPr>
            <w:r>
              <w:rPr>
                <w:rFonts w:eastAsia="Times New Roman" w:cs="Arial"/>
                <w:b/>
                <w:bCs/>
                <w:color w:val="000000" w:themeColor="text1"/>
                <w:sz w:val="18"/>
                <w:szCs w:val="18"/>
                <w:lang w:eastAsia="zh-CN"/>
              </w:rPr>
              <w:t>10</w:t>
            </w:r>
          </w:p>
        </w:tc>
        <w:tc>
          <w:tcPr>
            <w:tcW w:w="2087" w:type="dxa"/>
            <w:tcBorders>
              <w:top w:val="single" w:sz="8" w:space="0" w:color="4472C4" w:themeColor="accent1"/>
              <w:bottom w:val="single" w:sz="8" w:space="0" w:color="4472C4" w:themeColor="accent1"/>
            </w:tcBorders>
            <w:noWrap/>
            <w:vAlign w:val="center"/>
            <w:hideMark/>
          </w:tcPr>
          <w:p w14:paraId="063B8960" w14:textId="77777777" w:rsidR="000261AB" w:rsidRPr="003804F5" w:rsidRDefault="000261AB" w:rsidP="00C7778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lang w:eastAsia="zh-CN"/>
              </w:rPr>
            </w:pPr>
            <w:r w:rsidRPr="003804F5">
              <w:rPr>
                <w:rFonts w:eastAsia="Times New Roman" w:cs="Arial"/>
                <w:b/>
                <w:bCs/>
                <w:color w:val="000000" w:themeColor="text1"/>
                <w:sz w:val="18"/>
                <w:szCs w:val="18"/>
                <w:lang w:eastAsia="zh-CN"/>
              </w:rPr>
              <w:t>100%</w:t>
            </w:r>
          </w:p>
        </w:tc>
      </w:tr>
      <w:tr w:rsidR="00893BD5" w:rsidRPr="00893BD5" w14:paraId="4D4B6FCD" w14:textId="77777777" w:rsidTr="003804F5">
        <w:trPr>
          <w:trHeight w:val="246"/>
          <w:jc w:val="center"/>
        </w:trPr>
        <w:tc>
          <w:tcPr>
            <w:cnfStyle w:val="001000000000" w:firstRow="0" w:lastRow="0" w:firstColumn="1" w:lastColumn="0" w:oddVBand="0" w:evenVBand="0" w:oddHBand="0" w:evenHBand="0" w:firstRowFirstColumn="0" w:firstRowLastColumn="0" w:lastRowFirstColumn="0" w:lastRowLastColumn="0"/>
            <w:tcW w:w="5040" w:type="dxa"/>
            <w:tcBorders>
              <w:top w:val="single" w:sz="8" w:space="0" w:color="4472C4" w:themeColor="accent1"/>
            </w:tcBorders>
            <w:noWrap/>
            <w:vAlign w:val="center"/>
            <w:hideMark/>
          </w:tcPr>
          <w:p w14:paraId="06FC75AF" w14:textId="5FC94D37" w:rsidR="000261AB" w:rsidRPr="00D43648" w:rsidRDefault="00D442D5" w:rsidP="007B4E02">
            <w:pPr>
              <w:widowControl w:val="0"/>
              <w:spacing w:before="20" w:after="20"/>
              <w:ind w:left="709"/>
              <w:rPr>
                <w:rFonts w:eastAsia="Times New Roman" w:cs="Arial"/>
                <w:b w:val="0"/>
                <w:bCs w:val="0"/>
                <w:color w:val="000000" w:themeColor="text1"/>
                <w:sz w:val="18"/>
                <w:szCs w:val="18"/>
                <w:lang w:eastAsia="zh-CN"/>
              </w:rPr>
            </w:pPr>
            <w:r w:rsidRPr="00D43648">
              <w:rPr>
                <w:rFonts w:eastAsia="Times New Roman" w:cs="Arial"/>
                <w:b w:val="0"/>
                <w:bCs w:val="0"/>
                <w:color w:val="000000" w:themeColor="text1"/>
                <w:sz w:val="18"/>
                <w:szCs w:val="18"/>
                <w:lang w:eastAsia="zh-CN"/>
              </w:rPr>
              <w:t>postupak obustavljen, Povjerenik riješio predmet</w:t>
            </w:r>
          </w:p>
        </w:tc>
        <w:tc>
          <w:tcPr>
            <w:tcW w:w="2087" w:type="dxa"/>
            <w:tcBorders>
              <w:top w:val="single" w:sz="8" w:space="0" w:color="4472C4" w:themeColor="accent1"/>
            </w:tcBorders>
            <w:noWrap/>
            <w:vAlign w:val="center"/>
            <w:hideMark/>
          </w:tcPr>
          <w:p w14:paraId="1E3B7518" w14:textId="48E6AEE8" w:rsidR="000261AB" w:rsidRPr="00893BD5" w:rsidRDefault="00D442D5" w:rsidP="007B4E02">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Pr>
                <w:rFonts w:eastAsia="Times New Roman"/>
                <w:color w:val="000000" w:themeColor="text1"/>
                <w:sz w:val="18"/>
                <w:szCs w:val="18"/>
              </w:rPr>
              <w:t>3</w:t>
            </w:r>
          </w:p>
        </w:tc>
        <w:tc>
          <w:tcPr>
            <w:tcW w:w="2087" w:type="dxa"/>
            <w:tcBorders>
              <w:top w:val="single" w:sz="8" w:space="0" w:color="4472C4" w:themeColor="accent1"/>
            </w:tcBorders>
            <w:noWrap/>
            <w:vAlign w:val="center"/>
            <w:hideMark/>
          </w:tcPr>
          <w:p w14:paraId="6A07EE3C" w14:textId="4125A0FA" w:rsidR="000261AB" w:rsidRPr="00893BD5" w:rsidRDefault="00D442D5" w:rsidP="007B4E02">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18"/>
                <w:lang w:eastAsia="zh-CN"/>
              </w:rPr>
            </w:pPr>
            <w:r>
              <w:rPr>
                <w:rFonts w:eastAsia="Times New Roman" w:cs="Arial"/>
                <w:color w:val="000000" w:themeColor="text1"/>
                <w:sz w:val="18"/>
                <w:szCs w:val="18"/>
                <w:lang w:eastAsia="zh-CN"/>
              </w:rPr>
              <w:t>30</w:t>
            </w:r>
            <w:r w:rsidR="000261AB" w:rsidRPr="00893BD5">
              <w:rPr>
                <w:rFonts w:eastAsia="Times New Roman" w:cs="Arial"/>
                <w:color w:val="000000" w:themeColor="text1"/>
                <w:sz w:val="18"/>
                <w:szCs w:val="18"/>
                <w:lang w:eastAsia="zh-CN"/>
              </w:rPr>
              <w:t>%</w:t>
            </w:r>
          </w:p>
        </w:tc>
      </w:tr>
      <w:tr w:rsidR="00D442D5" w:rsidRPr="00893BD5" w14:paraId="270E3CB0" w14:textId="77777777" w:rsidTr="003804F5">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5040" w:type="dxa"/>
            <w:tcBorders>
              <w:bottom w:val="single" w:sz="4" w:space="0" w:color="8EAADB" w:themeColor="accent1" w:themeTint="99"/>
            </w:tcBorders>
            <w:noWrap/>
            <w:vAlign w:val="center"/>
          </w:tcPr>
          <w:p w14:paraId="7A9C34C9" w14:textId="49C9E565" w:rsidR="00D442D5" w:rsidRPr="00D43648" w:rsidRDefault="00D442D5" w:rsidP="007B4E02">
            <w:pPr>
              <w:widowControl w:val="0"/>
              <w:spacing w:before="20" w:after="20"/>
              <w:ind w:left="709"/>
              <w:rPr>
                <w:rFonts w:eastAsia="Times New Roman" w:cs="Arial"/>
                <w:b w:val="0"/>
                <w:bCs w:val="0"/>
                <w:color w:val="000000" w:themeColor="text1"/>
                <w:sz w:val="18"/>
                <w:szCs w:val="18"/>
                <w:lang w:eastAsia="zh-CN"/>
              </w:rPr>
            </w:pPr>
            <w:r w:rsidRPr="00D43648">
              <w:rPr>
                <w:rFonts w:eastAsia="Times New Roman" w:cs="Arial"/>
                <w:b w:val="0"/>
                <w:bCs w:val="0"/>
                <w:color w:val="000000" w:themeColor="text1"/>
                <w:sz w:val="18"/>
                <w:szCs w:val="18"/>
                <w:lang w:eastAsia="zh-CN"/>
              </w:rPr>
              <w:t>odbijen tužbeni zahtjev</w:t>
            </w:r>
          </w:p>
        </w:tc>
        <w:tc>
          <w:tcPr>
            <w:tcW w:w="2087" w:type="dxa"/>
            <w:tcBorders>
              <w:bottom w:val="single" w:sz="4" w:space="0" w:color="8EAADB" w:themeColor="accent1" w:themeTint="99"/>
            </w:tcBorders>
            <w:noWrap/>
            <w:vAlign w:val="center"/>
          </w:tcPr>
          <w:p w14:paraId="55A20685" w14:textId="54D0C416" w:rsidR="00D442D5" w:rsidRPr="00893BD5" w:rsidRDefault="00D442D5" w:rsidP="007B4E02">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Pr>
                <w:rFonts w:eastAsia="Times New Roman"/>
                <w:color w:val="000000" w:themeColor="text1"/>
                <w:sz w:val="18"/>
                <w:szCs w:val="18"/>
              </w:rPr>
              <w:t>4</w:t>
            </w:r>
          </w:p>
        </w:tc>
        <w:tc>
          <w:tcPr>
            <w:tcW w:w="2087" w:type="dxa"/>
            <w:tcBorders>
              <w:bottom w:val="single" w:sz="4" w:space="0" w:color="8EAADB" w:themeColor="accent1" w:themeTint="99"/>
            </w:tcBorders>
            <w:noWrap/>
            <w:vAlign w:val="center"/>
          </w:tcPr>
          <w:p w14:paraId="43E0EDC3" w14:textId="3C34E1F5" w:rsidR="00D442D5" w:rsidRPr="00893BD5" w:rsidRDefault="00D442D5" w:rsidP="007B4E02">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lang w:eastAsia="zh-CN"/>
              </w:rPr>
            </w:pPr>
            <w:r>
              <w:rPr>
                <w:rFonts w:eastAsia="Times New Roman" w:cs="Arial"/>
                <w:color w:val="000000" w:themeColor="text1"/>
                <w:sz w:val="18"/>
                <w:szCs w:val="18"/>
                <w:lang w:eastAsia="zh-CN"/>
              </w:rPr>
              <w:t>40%</w:t>
            </w:r>
          </w:p>
        </w:tc>
      </w:tr>
      <w:tr w:rsidR="00893BD5" w:rsidRPr="00893BD5" w14:paraId="236AE609" w14:textId="77777777" w:rsidTr="003804F5">
        <w:trPr>
          <w:trHeight w:val="246"/>
          <w:jc w:val="center"/>
        </w:trPr>
        <w:tc>
          <w:tcPr>
            <w:cnfStyle w:val="001000000000" w:firstRow="0" w:lastRow="0" w:firstColumn="1" w:lastColumn="0" w:oddVBand="0" w:evenVBand="0" w:oddHBand="0" w:evenHBand="0" w:firstRowFirstColumn="0" w:firstRowLastColumn="0" w:lastRowFirstColumn="0" w:lastRowLastColumn="0"/>
            <w:tcW w:w="5040" w:type="dxa"/>
            <w:tcBorders>
              <w:bottom w:val="single" w:sz="4" w:space="0" w:color="8EAADB" w:themeColor="accent1" w:themeTint="99"/>
            </w:tcBorders>
            <w:noWrap/>
            <w:vAlign w:val="center"/>
            <w:hideMark/>
          </w:tcPr>
          <w:p w14:paraId="620CFCEA" w14:textId="575809E1" w:rsidR="000261AB" w:rsidRPr="00D43648" w:rsidRDefault="00D442D5" w:rsidP="007B4E02">
            <w:pPr>
              <w:widowControl w:val="0"/>
              <w:spacing w:before="20" w:after="20"/>
              <w:ind w:left="709"/>
              <w:rPr>
                <w:rFonts w:eastAsia="Times New Roman" w:cs="Arial"/>
                <w:b w:val="0"/>
                <w:bCs w:val="0"/>
                <w:color w:val="000000" w:themeColor="text1"/>
                <w:sz w:val="18"/>
                <w:szCs w:val="18"/>
                <w:lang w:eastAsia="zh-CN"/>
              </w:rPr>
            </w:pPr>
            <w:r w:rsidRPr="00D43648">
              <w:rPr>
                <w:rFonts w:eastAsia="Times New Roman" w:cs="Arial"/>
                <w:b w:val="0"/>
                <w:bCs w:val="0"/>
                <w:color w:val="000000" w:themeColor="text1"/>
                <w:sz w:val="18"/>
                <w:szCs w:val="18"/>
                <w:lang w:eastAsia="zh-CN"/>
              </w:rPr>
              <w:t>t</w:t>
            </w:r>
            <w:r w:rsidR="000261AB" w:rsidRPr="00D43648">
              <w:rPr>
                <w:rFonts w:eastAsia="Times New Roman" w:cs="Arial"/>
                <w:b w:val="0"/>
                <w:bCs w:val="0"/>
                <w:color w:val="000000" w:themeColor="text1"/>
                <w:sz w:val="18"/>
                <w:szCs w:val="18"/>
                <w:lang w:eastAsia="zh-CN"/>
              </w:rPr>
              <w:t>užba</w:t>
            </w:r>
            <w:r w:rsidRPr="00D43648">
              <w:rPr>
                <w:rFonts w:eastAsia="Times New Roman" w:cs="Arial"/>
                <w:b w:val="0"/>
                <w:bCs w:val="0"/>
                <w:color w:val="000000" w:themeColor="text1"/>
                <w:sz w:val="18"/>
                <w:szCs w:val="18"/>
                <w:lang w:eastAsia="zh-CN"/>
              </w:rPr>
              <w:t xml:space="preserve"> odbačena</w:t>
            </w:r>
          </w:p>
        </w:tc>
        <w:tc>
          <w:tcPr>
            <w:tcW w:w="2087" w:type="dxa"/>
            <w:tcBorders>
              <w:bottom w:val="single" w:sz="4" w:space="0" w:color="8EAADB" w:themeColor="accent1" w:themeTint="99"/>
            </w:tcBorders>
            <w:noWrap/>
            <w:vAlign w:val="center"/>
            <w:hideMark/>
          </w:tcPr>
          <w:p w14:paraId="274F7700" w14:textId="49AA779D" w:rsidR="000261AB" w:rsidRPr="00893BD5" w:rsidRDefault="00D442D5" w:rsidP="007B4E02">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Pr>
                <w:rFonts w:eastAsia="Times New Roman"/>
                <w:color w:val="000000" w:themeColor="text1"/>
                <w:sz w:val="18"/>
                <w:szCs w:val="18"/>
              </w:rPr>
              <w:t>2</w:t>
            </w:r>
          </w:p>
        </w:tc>
        <w:tc>
          <w:tcPr>
            <w:tcW w:w="2087" w:type="dxa"/>
            <w:tcBorders>
              <w:bottom w:val="single" w:sz="4" w:space="0" w:color="8EAADB" w:themeColor="accent1" w:themeTint="99"/>
            </w:tcBorders>
            <w:noWrap/>
            <w:vAlign w:val="center"/>
            <w:hideMark/>
          </w:tcPr>
          <w:p w14:paraId="2E94F43F" w14:textId="6A7C5EEF" w:rsidR="000261AB" w:rsidRPr="00893BD5" w:rsidRDefault="000261AB" w:rsidP="007B4E02">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18"/>
                <w:lang w:eastAsia="zh-CN"/>
              </w:rPr>
            </w:pPr>
            <w:r w:rsidRPr="00893BD5">
              <w:rPr>
                <w:rFonts w:eastAsia="Times New Roman" w:cs="Arial"/>
                <w:color w:val="000000" w:themeColor="text1"/>
                <w:sz w:val="18"/>
                <w:szCs w:val="18"/>
                <w:lang w:eastAsia="zh-CN"/>
              </w:rPr>
              <w:t>20%</w:t>
            </w:r>
          </w:p>
        </w:tc>
      </w:tr>
      <w:tr w:rsidR="00893BD5" w:rsidRPr="00893BD5" w14:paraId="7C76667D" w14:textId="77777777" w:rsidTr="003804F5">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8EAADB" w:themeColor="accent1" w:themeTint="99"/>
              <w:bottom w:val="single" w:sz="4" w:space="0" w:color="8EAADB" w:themeColor="accent1" w:themeTint="99"/>
            </w:tcBorders>
            <w:noWrap/>
            <w:vAlign w:val="center"/>
          </w:tcPr>
          <w:p w14:paraId="5DE75398" w14:textId="165DF507" w:rsidR="000261AB" w:rsidRPr="00D43648" w:rsidRDefault="00D442D5" w:rsidP="007B4E02">
            <w:pPr>
              <w:widowControl w:val="0"/>
              <w:spacing w:before="20" w:after="20"/>
              <w:ind w:left="709"/>
              <w:rPr>
                <w:rFonts w:eastAsia="Times New Roman" w:cs="Arial"/>
                <w:b w:val="0"/>
                <w:bCs w:val="0"/>
                <w:color w:val="000000" w:themeColor="text1"/>
                <w:sz w:val="18"/>
                <w:szCs w:val="18"/>
                <w:lang w:eastAsia="zh-CN"/>
              </w:rPr>
            </w:pPr>
            <w:r w:rsidRPr="00D43648">
              <w:rPr>
                <w:rFonts w:eastAsia="Times New Roman" w:cs="Arial"/>
                <w:b w:val="0"/>
                <w:bCs w:val="0"/>
                <w:color w:val="000000" w:themeColor="text1"/>
                <w:sz w:val="18"/>
                <w:szCs w:val="18"/>
                <w:lang w:eastAsia="zh-CN"/>
              </w:rPr>
              <w:t>tužba prihvaćena, naloženo rješavanje</w:t>
            </w:r>
          </w:p>
        </w:tc>
        <w:tc>
          <w:tcPr>
            <w:tcW w:w="2087" w:type="dxa"/>
            <w:tcBorders>
              <w:top w:val="single" w:sz="4" w:space="0" w:color="8EAADB" w:themeColor="accent1" w:themeTint="99"/>
              <w:bottom w:val="single" w:sz="4" w:space="0" w:color="8EAADB" w:themeColor="accent1" w:themeTint="99"/>
            </w:tcBorders>
            <w:noWrap/>
            <w:vAlign w:val="center"/>
          </w:tcPr>
          <w:p w14:paraId="0E7EDDB7" w14:textId="5515EC0A" w:rsidR="000261AB" w:rsidRPr="00893BD5" w:rsidRDefault="00D442D5" w:rsidP="007B4E02">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szCs w:val="18"/>
              </w:rPr>
            </w:pPr>
            <w:r>
              <w:rPr>
                <w:rFonts w:eastAsia="Times New Roman"/>
                <w:color w:val="000000" w:themeColor="text1"/>
                <w:sz w:val="18"/>
                <w:szCs w:val="18"/>
              </w:rPr>
              <w:t>1</w:t>
            </w:r>
          </w:p>
        </w:tc>
        <w:tc>
          <w:tcPr>
            <w:tcW w:w="2087" w:type="dxa"/>
            <w:tcBorders>
              <w:top w:val="single" w:sz="4" w:space="0" w:color="8EAADB" w:themeColor="accent1" w:themeTint="99"/>
              <w:bottom w:val="single" w:sz="4" w:space="0" w:color="8EAADB" w:themeColor="accent1" w:themeTint="99"/>
            </w:tcBorders>
            <w:noWrap/>
            <w:vAlign w:val="center"/>
          </w:tcPr>
          <w:p w14:paraId="5CC13E0D" w14:textId="37E06213" w:rsidR="000261AB" w:rsidRPr="00893BD5" w:rsidRDefault="00D442D5" w:rsidP="007B4E02">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lang w:eastAsia="zh-CN"/>
              </w:rPr>
            </w:pPr>
            <w:r>
              <w:rPr>
                <w:rFonts w:eastAsia="Times New Roman" w:cs="Arial"/>
                <w:color w:val="000000" w:themeColor="text1"/>
                <w:sz w:val="18"/>
                <w:szCs w:val="18"/>
                <w:lang w:eastAsia="zh-CN"/>
              </w:rPr>
              <w:t>10</w:t>
            </w:r>
            <w:r w:rsidR="000261AB" w:rsidRPr="00893BD5">
              <w:rPr>
                <w:rFonts w:eastAsia="Times New Roman" w:cs="Arial"/>
                <w:color w:val="000000" w:themeColor="text1"/>
                <w:sz w:val="18"/>
                <w:szCs w:val="18"/>
                <w:lang w:eastAsia="zh-CN"/>
              </w:rPr>
              <w:t>%</w:t>
            </w:r>
          </w:p>
        </w:tc>
      </w:tr>
    </w:tbl>
    <w:p w14:paraId="3F7F0900" w14:textId="545E5AD8" w:rsidR="00D442D5" w:rsidRPr="009D04FD" w:rsidRDefault="00D442D5" w:rsidP="00D442D5">
      <w:pPr>
        <w:widowControl w:val="0"/>
        <w:shd w:val="clear" w:color="auto" w:fill="FFFFFF" w:themeFill="background1"/>
        <w:spacing w:before="120" w:after="240"/>
        <w:jc w:val="left"/>
        <w:rPr>
          <w:rFonts w:cs="Arial"/>
          <w:i/>
          <w:sz w:val="20"/>
          <w:szCs w:val="20"/>
        </w:rPr>
      </w:pPr>
      <w:r w:rsidRPr="7D481D26">
        <w:rPr>
          <w:rFonts w:cs="Arial"/>
          <w:i/>
          <w:iCs/>
          <w:sz w:val="20"/>
          <w:szCs w:val="20"/>
        </w:rPr>
        <w:t>Napomena:</w:t>
      </w:r>
      <w:r>
        <w:t xml:space="preserve"> </w:t>
      </w:r>
      <w:r w:rsidRPr="7D481D26">
        <w:rPr>
          <w:rFonts w:cs="Arial"/>
          <w:i/>
          <w:iCs/>
          <w:sz w:val="20"/>
          <w:szCs w:val="20"/>
        </w:rPr>
        <w:t>predmeti se odnose na ostvarivanje prava na pristup informacijama</w:t>
      </w:r>
    </w:p>
    <w:p w14:paraId="4D3952BC" w14:textId="68C0FF66" w:rsidR="00D442D5" w:rsidRPr="004A564E" w:rsidRDefault="00D442D5" w:rsidP="004A564E">
      <w:pPr>
        <w:spacing w:before="240"/>
        <w:rPr>
          <w:rFonts w:cs="Arial"/>
          <w:b/>
          <w:bCs/>
        </w:rPr>
      </w:pPr>
      <w:r w:rsidRPr="004A564E">
        <w:rPr>
          <w:rFonts w:cs="Arial"/>
          <w:b/>
          <w:bCs/>
        </w:rPr>
        <w:t xml:space="preserve">Značajnije presude Visokog upravnog suda RH </w:t>
      </w:r>
    </w:p>
    <w:p w14:paraId="53B2DD14" w14:textId="2B27DAB4" w:rsidR="00D442D5" w:rsidRDefault="00D442D5" w:rsidP="00D442D5">
      <w:pPr>
        <w:spacing w:before="240"/>
        <w:rPr>
          <w:rFonts w:cs="Arial"/>
        </w:rPr>
      </w:pPr>
      <w:r w:rsidRPr="00D442D5">
        <w:rPr>
          <w:rFonts w:cs="Arial"/>
        </w:rPr>
        <w:t>U nastavku dajemo prikaz značajnijih presuda Visokog upravnog suda RH zaprimljenih u 2025. kojima je potvrđeno rješenje Povjerenika i omogućen pristup informacijama:</w:t>
      </w:r>
    </w:p>
    <w:p w14:paraId="207E85DB" w14:textId="77777777" w:rsidR="00D442D5" w:rsidRPr="00B04762" w:rsidRDefault="00D442D5" w:rsidP="005F0EC0">
      <w:pPr>
        <w:numPr>
          <w:ilvl w:val="0"/>
          <w:numId w:val="2"/>
        </w:numPr>
        <w:spacing w:after="0"/>
        <w:ind w:left="1145" w:hanging="357"/>
        <w:jc w:val="left"/>
        <w:rPr>
          <w:rFonts w:cs="Arial"/>
        </w:rPr>
      </w:pPr>
      <w:r w:rsidRPr="00B04762">
        <w:rPr>
          <w:rFonts w:cs="Arial"/>
        </w:rPr>
        <w:t xml:space="preserve">Grad Zagreb, analiza i pravno mišljenje vezano uz ugovor o financiranje, poslovni broj: UsII-79/25 od 10. lipnja 2025. </w:t>
      </w:r>
    </w:p>
    <w:p w14:paraId="30E1F030" w14:textId="77777777" w:rsidR="00D442D5" w:rsidRPr="00B04762" w:rsidRDefault="00D442D5" w:rsidP="005F0EC0">
      <w:pPr>
        <w:numPr>
          <w:ilvl w:val="0"/>
          <w:numId w:val="2"/>
        </w:numPr>
        <w:spacing w:after="0"/>
        <w:ind w:left="1145" w:hanging="357"/>
        <w:jc w:val="left"/>
        <w:rPr>
          <w:rFonts w:cs="Arial"/>
        </w:rPr>
      </w:pPr>
      <w:r w:rsidRPr="00B04762">
        <w:rPr>
          <w:rFonts w:cs="Arial"/>
        </w:rPr>
        <w:t xml:space="preserve">HP-Hrvatska pošta d.d., izvještaj o rezultatima mjerenja kakvoće prijenosa pošiljaka, poslovni broj: UsII-40/25 od 30. travnja 2025. </w:t>
      </w:r>
    </w:p>
    <w:p w14:paraId="66C81BCE" w14:textId="77777777" w:rsidR="00D442D5" w:rsidRPr="00B04762" w:rsidRDefault="00D442D5" w:rsidP="005F0EC0">
      <w:pPr>
        <w:numPr>
          <w:ilvl w:val="0"/>
          <w:numId w:val="2"/>
        </w:numPr>
        <w:spacing w:after="0"/>
        <w:ind w:left="1145" w:hanging="357"/>
        <w:jc w:val="left"/>
        <w:rPr>
          <w:rFonts w:cs="Arial"/>
        </w:rPr>
      </w:pPr>
      <w:r w:rsidRPr="00B04762">
        <w:rPr>
          <w:rFonts w:cs="Arial"/>
        </w:rPr>
        <w:t xml:space="preserve">UTG Ragusa d.d., ugovor o zakupu poslovnog prostora, poslovni broj: UsII-233/24 od 14. veljače 2025. </w:t>
      </w:r>
    </w:p>
    <w:p w14:paraId="25DF9AC9" w14:textId="77777777" w:rsidR="00D442D5" w:rsidRPr="00B04762" w:rsidRDefault="00D442D5" w:rsidP="005F0EC0">
      <w:pPr>
        <w:numPr>
          <w:ilvl w:val="0"/>
          <w:numId w:val="2"/>
        </w:numPr>
        <w:spacing w:after="0"/>
        <w:ind w:left="1145" w:hanging="357"/>
        <w:jc w:val="left"/>
        <w:rPr>
          <w:rFonts w:cs="Arial"/>
        </w:rPr>
      </w:pPr>
      <w:r w:rsidRPr="00B04762">
        <w:rPr>
          <w:rFonts w:cs="Arial"/>
        </w:rPr>
        <w:t xml:space="preserve">Hrvatska komora medicinskih sestara, preslika knjigovodstvene kartice, te isplate s osnova osobnih i intelektualnih usluga, poslovni broj: UsII-84/23 od 15. siječnja 2025.  </w:t>
      </w:r>
    </w:p>
    <w:p w14:paraId="0E41C88B" w14:textId="0C48FBE7" w:rsidR="00D442D5" w:rsidRPr="00B04762" w:rsidRDefault="00D442D5" w:rsidP="005F0EC0">
      <w:pPr>
        <w:numPr>
          <w:ilvl w:val="0"/>
          <w:numId w:val="2"/>
        </w:numPr>
        <w:spacing w:after="0"/>
        <w:ind w:left="1145" w:hanging="357"/>
        <w:jc w:val="left"/>
        <w:rPr>
          <w:rFonts w:cs="Arial"/>
        </w:rPr>
      </w:pPr>
      <w:r w:rsidRPr="00B04762">
        <w:rPr>
          <w:rFonts w:cs="Arial"/>
        </w:rPr>
        <w:t xml:space="preserve">Hrvatska banka za obnovu i razvitak, ugovori o poslovnoj suradnji – medijsko oglašavanje, </w:t>
      </w:r>
      <w:r w:rsidR="00D23F6E">
        <w:rPr>
          <w:rFonts w:cs="Arial"/>
        </w:rPr>
        <w:t xml:space="preserve">poslovni </w:t>
      </w:r>
      <w:r w:rsidRPr="00B04762">
        <w:rPr>
          <w:rFonts w:cs="Arial"/>
        </w:rPr>
        <w:t xml:space="preserve">broj: UsII-142/24 od 8. listopada 2024. </w:t>
      </w:r>
    </w:p>
    <w:p w14:paraId="0CB746D4" w14:textId="77777777" w:rsidR="00D442D5" w:rsidRPr="00B04762" w:rsidRDefault="00D442D5" w:rsidP="005F0EC0">
      <w:pPr>
        <w:numPr>
          <w:ilvl w:val="0"/>
          <w:numId w:val="2"/>
        </w:numPr>
        <w:spacing w:after="0"/>
        <w:ind w:left="1145" w:hanging="357"/>
        <w:jc w:val="left"/>
        <w:rPr>
          <w:rFonts w:cs="Arial"/>
        </w:rPr>
      </w:pPr>
      <w:r w:rsidRPr="00B04762">
        <w:rPr>
          <w:rFonts w:cs="Arial"/>
        </w:rPr>
        <w:t xml:space="preserve">Grad Opatija, zahtjev za kupnju stana s prekrivenim osobnim podacima, poslovni broj: UsII-60/25 od 21. svibnja 2025. </w:t>
      </w:r>
    </w:p>
    <w:p w14:paraId="6E24EDAF" w14:textId="77777777" w:rsidR="00D442D5" w:rsidRPr="00B04762" w:rsidRDefault="00D442D5" w:rsidP="005F0EC0">
      <w:pPr>
        <w:numPr>
          <w:ilvl w:val="0"/>
          <w:numId w:val="2"/>
        </w:numPr>
        <w:spacing w:after="0"/>
        <w:ind w:left="1145" w:hanging="357"/>
        <w:jc w:val="left"/>
        <w:rPr>
          <w:rFonts w:cs="Arial"/>
        </w:rPr>
      </w:pPr>
      <w:r w:rsidRPr="00B04762">
        <w:rPr>
          <w:rFonts w:cs="Arial"/>
        </w:rPr>
        <w:t xml:space="preserve">Hrvatska veterinarska komora, podaci o isplaćenim putnim troškovima, isplate temeljem ugovora o djelu, poslovni broj: UsII-173/24 od 16. travnja 2025.  </w:t>
      </w:r>
    </w:p>
    <w:p w14:paraId="19BF3508" w14:textId="77777777" w:rsidR="00D442D5" w:rsidRPr="00B04762" w:rsidRDefault="00D442D5" w:rsidP="005F0EC0">
      <w:pPr>
        <w:numPr>
          <w:ilvl w:val="0"/>
          <w:numId w:val="2"/>
        </w:numPr>
        <w:spacing w:after="0"/>
        <w:ind w:left="1145" w:hanging="357"/>
        <w:jc w:val="left"/>
        <w:rPr>
          <w:rFonts w:cs="Arial"/>
        </w:rPr>
      </w:pPr>
      <w:r w:rsidRPr="00B04762">
        <w:rPr>
          <w:rFonts w:cs="Arial"/>
        </w:rPr>
        <w:t xml:space="preserve">Hrvatski nogometni savez, isplate sucima arbitražnog suda, poslovni broj: UsII-212/23 od 16. srpnja 2025. </w:t>
      </w:r>
    </w:p>
    <w:p w14:paraId="5762414E" w14:textId="77777777" w:rsidR="00D442D5" w:rsidRPr="00B04762" w:rsidRDefault="00D442D5" w:rsidP="005F0EC0">
      <w:pPr>
        <w:numPr>
          <w:ilvl w:val="0"/>
          <w:numId w:val="2"/>
        </w:numPr>
        <w:spacing w:after="0"/>
        <w:ind w:left="1145" w:hanging="357"/>
        <w:jc w:val="left"/>
        <w:rPr>
          <w:rFonts w:cs="Arial"/>
        </w:rPr>
      </w:pPr>
      <w:r w:rsidRPr="00B04762">
        <w:rPr>
          <w:rFonts w:cs="Arial"/>
        </w:rPr>
        <w:t xml:space="preserve">Hrvatska banka za obnovu i razvitak, podaci o financiranju izvoznika (krediti, osiguranje izvoza i garancije), poslovni broj: UsII-90/25 od 12. lipnja 2025. </w:t>
      </w:r>
    </w:p>
    <w:p w14:paraId="6F703F86" w14:textId="77777777" w:rsidR="00D442D5" w:rsidRPr="00B04762" w:rsidRDefault="00D442D5" w:rsidP="005F0EC0">
      <w:pPr>
        <w:numPr>
          <w:ilvl w:val="0"/>
          <w:numId w:val="2"/>
        </w:numPr>
        <w:spacing w:after="0"/>
        <w:ind w:left="1145" w:hanging="357"/>
        <w:jc w:val="left"/>
        <w:rPr>
          <w:rFonts w:cs="Arial"/>
        </w:rPr>
      </w:pPr>
      <w:r w:rsidRPr="00B04762">
        <w:rPr>
          <w:rFonts w:cs="Arial"/>
        </w:rPr>
        <w:t xml:space="preserve">Hrvatska narodna banka, podaci o isplatama zaposlenicima, poslovni broj: UsII-39/24 od 14. veljače 2025. </w:t>
      </w:r>
    </w:p>
    <w:p w14:paraId="5CAD6B02" w14:textId="4DBF9587" w:rsidR="000261AB" w:rsidRPr="00BB23CE" w:rsidRDefault="000261AB" w:rsidP="001B4107">
      <w:pPr>
        <w:snapToGrid w:val="0"/>
        <w:spacing w:before="120" w:after="0"/>
        <w:rPr>
          <w:rFonts w:eastAsia="Times New Roman" w:cs="Segoe UI"/>
        </w:rPr>
      </w:pPr>
      <w:r w:rsidRPr="00BB23CE">
        <w:rPr>
          <w:rFonts w:eastAsia="Times New Roman" w:cs="Segoe UI"/>
        </w:rPr>
        <w:t>Odluke Visokog upravnog suda RH su javno objavljene na poveznici:</w:t>
      </w:r>
    </w:p>
    <w:p w14:paraId="03EF19A6" w14:textId="10BB15D3" w:rsidR="007B4E02" w:rsidRDefault="00000000" w:rsidP="001B4107">
      <w:pPr>
        <w:widowControl w:val="0"/>
        <w:shd w:val="clear" w:color="auto" w:fill="FFFFFF"/>
        <w:rPr>
          <w:rFonts w:eastAsia="Times New Roman" w:cs="Segoe UI"/>
          <w:b/>
          <w:bCs/>
          <w:u w:val="single"/>
        </w:rPr>
      </w:pPr>
      <w:hyperlink r:id="rId25" w:history="1">
        <w:r w:rsidR="000261AB" w:rsidRPr="00F16F58">
          <w:rPr>
            <w:rFonts w:cs="Segoe UI"/>
            <w:u w:val="single"/>
          </w:rPr>
          <w:t>https://sudovi.hr/hr/vusrh/pristup-informacijama/odluke-pravo-na-pristup-informacijama-2024-godina</w:t>
        </w:r>
      </w:hyperlink>
      <w:r w:rsidR="000261AB" w:rsidRPr="00F16F58">
        <w:rPr>
          <w:rFonts w:eastAsia="Times New Roman" w:cs="Segoe UI"/>
          <w:b/>
          <w:bCs/>
          <w:u w:val="single"/>
        </w:rPr>
        <w:t xml:space="preserve">. </w:t>
      </w:r>
    </w:p>
    <w:p w14:paraId="1516CEEE" w14:textId="77777777" w:rsidR="0052400E" w:rsidRDefault="0052400E" w:rsidP="001B4107">
      <w:pPr>
        <w:widowControl w:val="0"/>
        <w:shd w:val="clear" w:color="auto" w:fill="FFFFFF"/>
        <w:rPr>
          <w:rFonts w:eastAsia="Times New Roman" w:cs="Segoe UI"/>
          <w:b/>
          <w:bCs/>
          <w:u w:val="single"/>
        </w:rPr>
      </w:pPr>
    </w:p>
    <w:p w14:paraId="05F643A8" w14:textId="77777777" w:rsidR="0052400E" w:rsidRPr="00F16F58" w:rsidRDefault="0052400E" w:rsidP="001B4107">
      <w:pPr>
        <w:widowControl w:val="0"/>
        <w:shd w:val="clear" w:color="auto" w:fill="FFFFFF"/>
        <w:rPr>
          <w:rFonts w:eastAsia="Times New Roman" w:cs="Segoe UI"/>
          <w:b/>
          <w:bCs/>
          <w:u w:val="single"/>
        </w:rPr>
      </w:pPr>
    </w:p>
    <w:p w14:paraId="54BAFBD5" w14:textId="21E09C45" w:rsidR="004322BD" w:rsidRPr="009032D7" w:rsidRDefault="004322BD" w:rsidP="009032D7">
      <w:pPr>
        <w:pStyle w:val="Naslov3"/>
        <w:ind w:left="1985"/>
      </w:pPr>
      <w:bookmarkStart w:id="119" w:name="_Toc225865598"/>
      <w:r>
        <w:lastRenderedPageBreak/>
        <w:t xml:space="preserve">Kretanje sudskih sporova u razdoblju </w:t>
      </w:r>
      <w:r w:rsidR="00B86FAC">
        <w:t>2020</w:t>
      </w:r>
      <w:r>
        <w:t>.-202</w:t>
      </w:r>
      <w:r w:rsidR="00D442D5">
        <w:t>5</w:t>
      </w:r>
      <w:r>
        <w:t>.</w:t>
      </w:r>
      <w:bookmarkEnd w:id="117"/>
      <w:bookmarkEnd w:id="118"/>
      <w:bookmarkEnd w:id="119"/>
      <w:r>
        <w:t xml:space="preserve"> </w:t>
      </w:r>
    </w:p>
    <w:p w14:paraId="68B8E92E" w14:textId="55201B11" w:rsidR="00D442D5" w:rsidRDefault="00D442D5" w:rsidP="00D442D5">
      <w:pPr>
        <w:rPr>
          <w:rFonts w:cs="Arial"/>
        </w:rPr>
      </w:pPr>
      <w:bookmarkStart w:id="120" w:name="_Toc66103150"/>
      <w:bookmarkStart w:id="121" w:name="_Toc66178303"/>
      <w:r>
        <w:rPr>
          <w:rFonts w:cs="Arial"/>
        </w:rPr>
        <w:t>Prema statističkim podacima u razdoblju 202</w:t>
      </w:r>
      <w:r w:rsidR="0021537D">
        <w:rPr>
          <w:rFonts w:cs="Arial"/>
        </w:rPr>
        <w:t>1</w:t>
      </w:r>
      <w:r>
        <w:rPr>
          <w:rFonts w:cs="Arial"/>
        </w:rPr>
        <w:t xml:space="preserve">.-2025., ukupno je pokrenuto </w:t>
      </w:r>
      <w:r w:rsidR="00950B01">
        <w:rPr>
          <w:rFonts w:cs="Arial"/>
        </w:rPr>
        <w:t>5998</w:t>
      </w:r>
      <w:r>
        <w:rPr>
          <w:rFonts w:cs="Arial"/>
        </w:rPr>
        <w:t xml:space="preserve"> žalbenih postupaka, a istovremeno je pokrenuto </w:t>
      </w:r>
      <w:r w:rsidR="003F44AC">
        <w:rPr>
          <w:rFonts w:cs="Arial"/>
        </w:rPr>
        <w:t>404</w:t>
      </w:r>
      <w:r>
        <w:rPr>
          <w:rFonts w:cs="Arial"/>
        </w:rPr>
        <w:t xml:space="preserve"> upravnih sporova (</w:t>
      </w:r>
      <w:r w:rsidR="00C73A0F">
        <w:rPr>
          <w:rFonts w:cs="Arial"/>
        </w:rPr>
        <w:t>6,7</w:t>
      </w:r>
      <w:r w:rsidRPr="00AC1007">
        <w:rPr>
          <w:rFonts w:cs="Arial"/>
        </w:rPr>
        <w:t>%</w:t>
      </w:r>
      <w:r>
        <w:rPr>
          <w:rFonts w:cs="Arial"/>
        </w:rPr>
        <w:t xml:space="preserve"> u odnosu na broj žalbenih postupaka). Dakle, u promatranom razdoblju u </w:t>
      </w:r>
      <w:r w:rsidR="003F44AC" w:rsidRPr="003F44AC">
        <w:rPr>
          <w:rFonts w:cs="Arial"/>
        </w:rPr>
        <w:t>93,3</w:t>
      </w:r>
      <w:r w:rsidRPr="003F44AC">
        <w:rPr>
          <w:rFonts w:cs="Arial"/>
        </w:rPr>
        <w:t>%</w:t>
      </w:r>
      <w:r>
        <w:rPr>
          <w:rFonts w:cs="Arial"/>
        </w:rPr>
        <w:t xml:space="preserve"> slučajeva korisnici, odnosno tijela javne vlasti poštuju odluku Povjerenika i ne osporavaju je pred Visokim upravnim sudom RH. </w:t>
      </w:r>
    </w:p>
    <w:p w14:paraId="18D67409" w14:textId="74390A3B" w:rsidR="00D442D5" w:rsidRPr="00D442D5" w:rsidRDefault="00D442D5" w:rsidP="00D442D5">
      <w:pPr>
        <w:rPr>
          <w:rFonts w:cs="Arial"/>
        </w:rPr>
      </w:pPr>
      <w:r w:rsidRPr="00D442D5">
        <w:rPr>
          <w:rFonts w:cs="Arial"/>
        </w:rPr>
        <w:t>Kad se razmotri ukupan broj upravnih sporova pokrenutih u razdoblju 202</w:t>
      </w:r>
      <w:r w:rsidR="00FC4CD3">
        <w:rPr>
          <w:rFonts w:cs="Arial"/>
        </w:rPr>
        <w:t>1</w:t>
      </w:r>
      <w:r w:rsidRPr="00D442D5">
        <w:rPr>
          <w:rFonts w:cs="Arial"/>
        </w:rPr>
        <w:t>.-2025</w:t>
      </w:r>
      <w:r w:rsidRPr="00C64BFE">
        <w:rPr>
          <w:rFonts w:cs="Arial"/>
        </w:rPr>
        <w:t>. (Tablica 5.3.) vidljiv je trend smanjivanja broja upravnih sporova od 202</w:t>
      </w:r>
      <w:r w:rsidR="00FC4CD3">
        <w:rPr>
          <w:rFonts w:cs="Arial"/>
        </w:rPr>
        <w:t>1</w:t>
      </w:r>
      <w:r w:rsidRPr="00C64BFE">
        <w:rPr>
          <w:rFonts w:cs="Arial"/>
        </w:rPr>
        <w:t>. do 2023., a porast broja upravnih sporova u 2024. i 2025. rezultat je sve većeg broja tužbi radi šutnje Povjerenika</w:t>
      </w:r>
      <w:r w:rsidRPr="00D442D5">
        <w:rPr>
          <w:rFonts w:cs="Arial"/>
        </w:rPr>
        <w:t xml:space="preserve"> iz razloga što tijela javne vlasti ne dostavljaju Povjereniku spise predmeta ili informacije koje su predmet postupka te ne dostavljaju žaliteljima rješenja Povjerenika.</w:t>
      </w:r>
    </w:p>
    <w:p w14:paraId="762E4D71" w14:textId="77777777" w:rsidR="00D442D5" w:rsidRPr="00D442D5" w:rsidRDefault="00D442D5" w:rsidP="00D442D5">
      <w:pPr>
        <w:rPr>
          <w:rFonts w:cs="Arial"/>
        </w:rPr>
      </w:pPr>
      <w:r w:rsidRPr="00D442D5">
        <w:rPr>
          <w:rFonts w:cs="Arial"/>
        </w:rPr>
        <w:t>Posebno se ističe nastavak trenda rješavanja preko 1.000 žalbi godišnje u navedenom periodu.</w:t>
      </w:r>
    </w:p>
    <w:p w14:paraId="4357C317" w14:textId="3C99DF95" w:rsidR="00652805" w:rsidRPr="00F0315E" w:rsidRDefault="00652805" w:rsidP="002559BF">
      <w:pPr>
        <w:keepNext/>
        <w:widowControl w:val="0"/>
        <w:spacing w:before="240"/>
        <w:rPr>
          <w:rFonts w:cs="Arial"/>
          <w:sz w:val="18"/>
          <w:szCs w:val="18"/>
        </w:rPr>
      </w:pPr>
      <w:r w:rsidRPr="006B2F76">
        <w:rPr>
          <w:rFonts w:cs="Arial"/>
          <w:sz w:val="18"/>
          <w:szCs w:val="18"/>
        </w:rPr>
        <w:t xml:space="preserve">Tablica </w:t>
      </w:r>
      <w:r w:rsidR="00920F3B" w:rsidRPr="006B2F76">
        <w:rPr>
          <w:rFonts w:cs="Arial"/>
          <w:sz w:val="18"/>
          <w:szCs w:val="18"/>
        </w:rPr>
        <w:t>5.</w:t>
      </w:r>
      <w:r w:rsidR="00B777D8" w:rsidRPr="006B2F76">
        <w:rPr>
          <w:rFonts w:cs="Arial"/>
          <w:sz w:val="18"/>
          <w:szCs w:val="18"/>
        </w:rPr>
        <w:t>4</w:t>
      </w:r>
      <w:r w:rsidRPr="006B2F76">
        <w:rPr>
          <w:rFonts w:cs="Arial"/>
          <w:sz w:val="18"/>
          <w:szCs w:val="18"/>
        </w:rPr>
        <w:t xml:space="preserve">. Odnos žalbenih postupaka i upravnih sporova </w:t>
      </w:r>
      <w:r w:rsidR="00D442D5" w:rsidRPr="006B2F76">
        <w:rPr>
          <w:rFonts w:cs="Arial"/>
          <w:sz w:val="18"/>
          <w:szCs w:val="18"/>
        </w:rPr>
        <w:t>202</w:t>
      </w:r>
      <w:r w:rsidR="006B2F76" w:rsidRPr="006B2F76">
        <w:rPr>
          <w:rFonts w:cs="Arial"/>
          <w:sz w:val="18"/>
          <w:szCs w:val="18"/>
        </w:rPr>
        <w:t>1</w:t>
      </w:r>
      <w:r w:rsidR="00D442D5" w:rsidRPr="006B2F76">
        <w:rPr>
          <w:rFonts w:cs="Arial"/>
          <w:sz w:val="18"/>
          <w:szCs w:val="18"/>
        </w:rPr>
        <w:t>.</w:t>
      </w:r>
      <w:r w:rsidR="00937B1D">
        <w:rPr>
          <w:rFonts w:cs="Arial"/>
          <w:sz w:val="18"/>
          <w:szCs w:val="18"/>
        </w:rPr>
        <w:t xml:space="preserve">- </w:t>
      </w:r>
      <w:r w:rsidR="00D442D5" w:rsidRPr="006B2F76">
        <w:rPr>
          <w:rFonts w:cs="Arial"/>
          <w:sz w:val="18"/>
          <w:szCs w:val="18"/>
        </w:rPr>
        <w:t>2025.</w:t>
      </w:r>
    </w:p>
    <w:tbl>
      <w:tblPr>
        <w:tblStyle w:val="ListTable2-Accent111"/>
        <w:tblW w:w="5000" w:type="pct"/>
        <w:tblLayout w:type="fixed"/>
        <w:tblLook w:val="04A0" w:firstRow="1" w:lastRow="0" w:firstColumn="1" w:lastColumn="0" w:noHBand="0" w:noVBand="1"/>
      </w:tblPr>
      <w:tblGrid>
        <w:gridCol w:w="1091"/>
        <w:gridCol w:w="1140"/>
        <w:gridCol w:w="1142"/>
        <w:gridCol w:w="1139"/>
        <w:gridCol w:w="1141"/>
        <w:gridCol w:w="1139"/>
        <w:gridCol w:w="1141"/>
        <w:gridCol w:w="1139"/>
      </w:tblGrid>
      <w:tr w:rsidR="00184C27" w:rsidRPr="00F0315E" w14:paraId="605D39D9" w14:textId="77777777" w:rsidTr="00C624D2">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8EAADB"/>
              <w:left w:val="nil"/>
              <w:bottom w:val="single" w:sz="4" w:space="0" w:color="8EAADB"/>
              <w:right w:val="nil"/>
            </w:tcBorders>
            <w:noWrap/>
            <w:vAlign w:val="center"/>
            <w:hideMark/>
          </w:tcPr>
          <w:p w14:paraId="18E42E49" w14:textId="77777777" w:rsidR="00652805" w:rsidRPr="00C77788" w:rsidRDefault="00652805" w:rsidP="00C77788">
            <w:pPr>
              <w:widowControl w:val="0"/>
              <w:snapToGrid w:val="0"/>
              <w:spacing w:before="20" w:after="20"/>
              <w:jc w:val="center"/>
              <w:rPr>
                <w:rFonts w:ascii="Roboto" w:hAnsi="Roboto" w:cs="Arial"/>
                <w:i/>
                <w:sz w:val="18"/>
                <w:szCs w:val="18"/>
                <w:lang w:eastAsia="zh-CN"/>
              </w:rPr>
            </w:pPr>
            <w:r w:rsidRPr="00C77788">
              <w:rPr>
                <w:rFonts w:ascii="Roboto" w:hAnsi="Roboto" w:cs="Arial"/>
                <w:i/>
                <w:sz w:val="18"/>
                <w:szCs w:val="18"/>
                <w:lang w:eastAsia="zh-CN"/>
              </w:rPr>
              <w:t>Godina</w:t>
            </w:r>
          </w:p>
        </w:tc>
        <w:tc>
          <w:tcPr>
            <w:tcW w:w="628" w:type="pct"/>
            <w:tcBorders>
              <w:top w:val="single" w:sz="4" w:space="0" w:color="8EAADB"/>
              <w:left w:val="nil"/>
              <w:bottom w:val="single" w:sz="4" w:space="0" w:color="8EAADB"/>
              <w:right w:val="nil"/>
            </w:tcBorders>
            <w:vAlign w:val="center"/>
            <w:hideMark/>
          </w:tcPr>
          <w:p w14:paraId="04D073B3" w14:textId="5B3D6C51" w:rsidR="00652805" w:rsidRPr="00C77788" w:rsidRDefault="00184C27" w:rsidP="00C77788">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i/>
                <w:sz w:val="18"/>
                <w:szCs w:val="18"/>
                <w:lang w:eastAsia="zh-CN"/>
              </w:rPr>
            </w:pPr>
            <w:r w:rsidRPr="00C77788">
              <w:rPr>
                <w:rFonts w:ascii="Roboto" w:hAnsi="Roboto" w:cs="Arial"/>
                <w:i/>
                <w:sz w:val="18"/>
                <w:szCs w:val="18"/>
                <w:lang w:eastAsia="zh-CN"/>
              </w:rPr>
              <w:t>Podnesene žalbe</w:t>
            </w:r>
          </w:p>
        </w:tc>
        <w:tc>
          <w:tcPr>
            <w:tcW w:w="629" w:type="pct"/>
            <w:tcBorders>
              <w:top w:val="single" w:sz="4" w:space="0" w:color="8EAADB"/>
              <w:left w:val="nil"/>
              <w:bottom w:val="single" w:sz="4" w:space="0" w:color="8EAADB"/>
              <w:right w:val="nil"/>
            </w:tcBorders>
            <w:noWrap/>
            <w:vAlign w:val="center"/>
            <w:hideMark/>
          </w:tcPr>
          <w:p w14:paraId="4BF350F3" w14:textId="77777777" w:rsidR="00652805" w:rsidRPr="00C77788" w:rsidRDefault="00652805" w:rsidP="00C77788">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i/>
                <w:sz w:val="18"/>
                <w:szCs w:val="18"/>
                <w:lang w:eastAsia="zh-CN"/>
              </w:rPr>
            </w:pPr>
            <w:r w:rsidRPr="00C77788">
              <w:rPr>
                <w:rFonts w:ascii="Roboto" w:hAnsi="Roboto" w:cs="Arial"/>
                <w:i/>
                <w:sz w:val="18"/>
                <w:szCs w:val="18"/>
                <w:lang w:eastAsia="zh-CN"/>
              </w:rPr>
              <w:t>Tužbe</w:t>
            </w:r>
          </w:p>
        </w:tc>
        <w:tc>
          <w:tcPr>
            <w:tcW w:w="628" w:type="pct"/>
            <w:tcBorders>
              <w:top w:val="single" w:sz="4" w:space="0" w:color="8EAADB"/>
              <w:left w:val="nil"/>
              <w:bottom w:val="single" w:sz="4" w:space="0" w:color="8EAADB"/>
              <w:right w:val="nil"/>
            </w:tcBorders>
            <w:vAlign w:val="center"/>
            <w:hideMark/>
          </w:tcPr>
          <w:p w14:paraId="50755996" w14:textId="77777777" w:rsidR="00652805" w:rsidRPr="00C77788" w:rsidRDefault="00652805" w:rsidP="00C77788">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i/>
                <w:sz w:val="18"/>
                <w:szCs w:val="18"/>
                <w:lang w:eastAsia="zh-CN"/>
              </w:rPr>
            </w:pPr>
            <w:r w:rsidRPr="00C77788">
              <w:rPr>
                <w:rFonts w:ascii="Roboto" w:hAnsi="Roboto" w:cs="Arial"/>
                <w:i/>
                <w:sz w:val="18"/>
                <w:szCs w:val="18"/>
                <w:lang w:eastAsia="zh-CN"/>
              </w:rPr>
              <w:t>Odnos broja podnesenih žalbi i broja tužbi</w:t>
            </w:r>
          </w:p>
        </w:tc>
        <w:tc>
          <w:tcPr>
            <w:tcW w:w="629" w:type="pct"/>
            <w:tcBorders>
              <w:top w:val="single" w:sz="4" w:space="0" w:color="8EAADB"/>
              <w:left w:val="nil"/>
              <w:bottom w:val="single" w:sz="4" w:space="0" w:color="8EAADB"/>
              <w:right w:val="nil"/>
            </w:tcBorders>
            <w:vAlign w:val="center"/>
            <w:hideMark/>
          </w:tcPr>
          <w:p w14:paraId="40FAAB21" w14:textId="77777777" w:rsidR="00652805" w:rsidRPr="00C77788" w:rsidRDefault="00652805" w:rsidP="00C77788">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i/>
                <w:sz w:val="18"/>
                <w:szCs w:val="18"/>
                <w:lang w:eastAsia="zh-CN"/>
              </w:rPr>
            </w:pPr>
            <w:r w:rsidRPr="00C77788">
              <w:rPr>
                <w:rFonts w:ascii="Roboto" w:hAnsi="Roboto" w:cs="Arial"/>
                <w:i/>
                <w:sz w:val="18"/>
                <w:szCs w:val="18"/>
                <w:lang w:eastAsia="zh-CN"/>
              </w:rPr>
              <w:t>Udio tužbi</w:t>
            </w:r>
          </w:p>
          <w:p w14:paraId="6B83F072" w14:textId="77777777" w:rsidR="00652805" w:rsidRPr="00C77788" w:rsidRDefault="00652805" w:rsidP="00C77788">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i/>
                <w:sz w:val="18"/>
                <w:szCs w:val="18"/>
                <w:lang w:eastAsia="zh-CN"/>
              </w:rPr>
            </w:pPr>
            <w:r w:rsidRPr="00C77788">
              <w:rPr>
                <w:rFonts w:ascii="Roboto" w:hAnsi="Roboto" w:cs="Arial"/>
                <w:i/>
                <w:sz w:val="18"/>
                <w:szCs w:val="18"/>
                <w:lang w:eastAsia="zh-CN"/>
              </w:rPr>
              <w:t>u postupcima</w:t>
            </w:r>
          </w:p>
          <w:p w14:paraId="3FAC2EFD" w14:textId="77777777" w:rsidR="00652805" w:rsidRPr="00C77788" w:rsidRDefault="00652805" w:rsidP="00C77788">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i/>
                <w:sz w:val="18"/>
                <w:szCs w:val="18"/>
                <w:lang w:eastAsia="zh-CN"/>
              </w:rPr>
            </w:pPr>
            <w:r w:rsidRPr="00C77788">
              <w:rPr>
                <w:rFonts w:ascii="Roboto" w:hAnsi="Roboto" w:cs="Arial"/>
                <w:i/>
                <w:sz w:val="18"/>
                <w:szCs w:val="18"/>
                <w:lang w:eastAsia="zh-CN"/>
              </w:rPr>
              <w:t>(%)</w:t>
            </w:r>
          </w:p>
        </w:tc>
        <w:tc>
          <w:tcPr>
            <w:tcW w:w="628" w:type="pct"/>
            <w:tcBorders>
              <w:top w:val="single" w:sz="4" w:space="0" w:color="8EAADB"/>
              <w:left w:val="nil"/>
              <w:bottom w:val="single" w:sz="4" w:space="0" w:color="8EAADB"/>
              <w:right w:val="nil"/>
            </w:tcBorders>
            <w:vAlign w:val="center"/>
            <w:hideMark/>
          </w:tcPr>
          <w:p w14:paraId="7350D0D1" w14:textId="26A0A3B5" w:rsidR="00652805" w:rsidRPr="00C77788" w:rsidRDefault="00184C27" w:rsidP="00C77788">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i/>
                <w:sz w:val="18"/>
                <w:szCs w:val="18"/>
                <w:lang w:eastAsia="zh-CN"/>
              </w:rPr>
            </w:pPr>
            <w:r w:rsidRPr="00C77788">
              <w:rPr>
                <w:rFonts w:ascii="Roboto" w:hAnsi="Roboto" w:cs="Arial"/>
                <w:i/>
                <w:sz w:val="18"/>
                <w:szCs w:val="18"/>
                <w:lang w:eastAsia="zh-CN"/>
              </w:rPr>
              <w:t>Riješene žalbe</w:t>
            </w:r>
          </w:p>
        </w:tc>
        <w:tc>
          <w:tcPr>
            <w:tcW w:w="629" w:type="pct"/>
            <w:tcBorders>
              <w:top w:val="single" w:sz="4" w:space="0" w:color="8EAADB"/>
              <w:left w:val="nil"/>
              <w:bottom w:val="single" w:sz="4" w:space="0" w:color="8EAADB"/>
              <w:right w:val="nil"/>
            </w:tcBorders>
            <w:vAlign w:val="center"/>
            <w:hideMark/>
          </w:tcPr>
          <w:p w14:paraId="7E67D456" w14:textId="77777777" w:rsidR="00652805" w:rsidRPr="00C77788" w:rsidRDefault="00652805" w:rsidP="00C77788">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i/>
                <w:sz w:val="18"/>
                <w:szCs w:val="18"/>
                <w:lang w:eastAsia="zh-CN"/>
              </w:rPr>
            </w:pPr>
            <w:r w:rsidRPr="00C77788">
              <w:rPr>
                <w:rFonts w:ascii="Roboto" w:hAnsi="Roboto" w:cs="Arial"/>
                <w:i/>
                <w:sz w:val="18"/>
                <w:szCs w:val="18"/>
                <w:lang w:eastAsia="zh-CN"/>
              </w:rPr>
              <w:t>Odnos broja riješenih žalbi i broja tužbi</w:t>
            </w:r>
          </w:p>
        </w:tc>
        <w:tc>
          <w:tcPr>
            <w:tcW w:w="628" w:type="pct"/>
            <w:tcBorders>
              <w:top w:val="single" w:sz="4" w:space="0" w:color="8EAADB"/>
              <w:left w:val="nil"/>
              <w:bottom w:val="single" w:sz="4" w:space="0" w:color="8EAADB"/>
              <w:right w:val="nil"/>
            </w:tcBorders>
            <w:vAlign w:val="center"/>
            <w:hideMark/>
          </w:tcPr>
          <w:p w14:paraId="7049F587" w14:textId="77777777" w:rsidR="00652805" w:rsidRPr="00C77788" w:rsidRDefault="00652805" w:rsidP="00C77788">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i/>
                <w:sz w:val="18"/>
                <w:szCs w:val="18"/>
                <w:lang w:eastAsia="zh-CN"/>
              </w:rPr>
            </w:pPr>
            <w:r w:rsidRPr="00C77788">
              <w:rPr>
                <w:rFonts w:ascii="Roboto" w:hAnsi="Roboto" w:cs="Arial"/>
                <w:i/>
                <w:sz w:val="18"/>
                <w:szCs w:val="18"/>
                <w:lang w:eastAsia="zh-CN"/>
              </w:rPr>
              <w:t>Udio tužbi (%)</w:t>
            </w:r>
          </w:p>
        </w:tc>
      </w:tr>
      <w:tr w:rsidR="007B60B6" w:rsidRPr="00F0315E" w14:paraId="710E0E60" w14:textId="77777777" w:rsidTr="00C624D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8EAADB"/>
              <w:left w:val="nil"/>
              <w:bottom w:val="single" w:sz="4" w:space="0" w:color="8EAADB"/>
              <w:right w:val="nil"/>
            </w:tcBorders>
            <w:noWrap/>
            <w:vAlign w:val="center"/>
            <w:hideMark/>
          </w:tcPr>
          <w:p w14:paraId="268D5119" w14:textId="66B48E54" w:rsidR="007B60B6" w:rsidRPr="002559BF" w:rsidRDefault="007B60B6" w:rsidP="007B60B6">
            <w:pPr>
              <w:widowControl w:val="0"/>
              <w:snapToGrid w:val="0"/>
              <w:spacing w:before="20" w:after="20"/>
              <w:jc w:val="center"/>
              <w:rPr>
                <w:rFonts w:ascii="Roboto" w:hAnsi="Roboto" w:cs="Arial"/>
                <w:sz w:val="18"/>
                <w:szCs w:val="18"/>
                <w:lang w:eastAsia="zh-CN"/>
              </w:rPr>
            </w:pPr>
            <w:r>
              <w:rPr>
                <w:rFonts w:ascii="Roboto" w:hAnsi="Roboto" w:cs="Arial"/>
                <w:sz w:val="18"/>
                <w:szCs w:val="18"/>
                <w:lang w:eastAsia="zh-CN"/>
              </w:rPr>
              <w:t>2021.</w:t>
            </w:r>
          </w:p>
        </w:tc>
        <w:tc>
          <w:tcPr>
            <w:tcW w:w="628" w:type="pct"/>
            <w:tcBorders>
              <w:top w:val="single" w:sz="4" w:space="0" w:color="8EAADB"/>
              <w:left w:val="nil"/>
              <w:bottom w:val="single" w:sz="4" w:space="0" w:color="8EAADB"/>
              <w:right w:val="nil"/>
            </w:tcBorders>
            <w:vAlign w:val="center"/>
            <w:hideMark/>
          </w:tcPr>
          <w:p w14:paraId="166CFC8F" w14:textId="5F92A1EF" w:rsidR="007B60B6" w:rsidRPr="002559BF"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958</w:t>
            </w:r>
          </w:p>
        </w:tc>
        <w:tc>
          <w:tcPr>
            <w:tcW w:w="629" w:type="pct"/>
            <w:tcBorders>
              <w:top w:val="single" w:sz="4" w:space="0" w:color="8EAADB"/>
              <w:left w:val="nil"/>
              <w:bottom w:val="single" w:sz="4" w:space="0" w:color="8EAADB"/>
              <w:right w:val="nil"/>
            </w:tcBorders>
            <w:noWrap/>
            <w:vAlign w:val="center"/>
            <w:hideMark/>
          </w:tcPr>
          <w:p w14:paraId="6E21B092" w14:textId="23E73E90"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112</w:t>
            </w:r>
          </w:p>
        </w:tc>
        <w:tc>
          <w:tcPr>
            <w:tcW w:w="628" w:type="pct"/>
            <w:tcBorders>
              <w:top w:val="single" w:sz="4" w:space="0" w:color="8EAADB"/>
              <w:left w:val="nil"/>
              <w:bottom w:val="single" w:sz="4" w:space="0" w:color="8EAADB"/>
              <w:right w:val="nil"/>
            </w:tcBorders>
            <w:vAlign w:val="center"/>
            <w:hideMark/>
          </w:tcPr>
          <w:p w14:paraId="1D7FBAD7" w14:textId="3BD72984"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8,6</w:t>
            </w:r>
          </w:p>
        </w:tc>
        <w:tc>
          <w:tcPr>
            <w:tcW w:w="629" w:type="pct"/>
            <w:tcBorders>
              <w:top w:val="single" w:sz="4" w:space="0" w:color="8EAADB"/>
              <w:left w:val="nil"/>
              <w:bottom w:val="single" w:sz="4" w:space="0" w:color="8EAADB"/>
              <w:right w:val="nil"/>
            </w:tcBorders>
            <w:vAlign w:val="center"/>
            <w:hideMark/>
          </w:tcPr>
          <w:p w14:paraId="482F8FDD" w14:textId="39FD6CF8"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11,7</w:t>
            </w:r>
          </w:p>
        </w:tc>
        <w:tc>
          <w:tcPr>
            <w:tcW w:w="628" w:type="pct"/>
            <w:tcBorders>
              <w:top w:val="single" w:sz="4" w:space="0" w:color="8EAADB"/>
              <w:left w:val="nil"/>
              <w:bottom w:val="single" w:sz="4" w:space="0" w:color="8EAADB"/>
              <w:right w:val="nil"/>
            </w:tcBorders>
            <w:vAlign w:val="center"/>
            <w:hideMark/>
          </w:tcPr>
          <w:p w14:paraId="63AEEF3E" w14:textId="1F1BB322"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1.077</w:t>
            </w:r>
          </w:p>
        </w:tc>
        <w:tc>
          <w:tcPr>
            <w:tcW w:w="629" w:type="pct"/>
            <w:tcBorders>
              <w:top w:val="single" w:sz="4" w:space="0" w:color="8EAADB"/>
              <w:left w:val="nil"/>
              <w:bottom w:val="single" w:sz="4" w:space="0" w:color="8EAADB"/>
              <w:right w:val="nil"/>
            </w:tcBorders>
            <w:vAlign w:val="center"/>
            <w:hideMark/>
          </w:tcPr>
          <w:p w14:paraId="491D152F" w14:textId="05E4B011"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9,6</w:t>
            </w:r>
          </w:p>
        </w:tc>
        <w:tc>
          <w:tcPr>
            <w:tcW w:w="628" w:type="pct"/>
            <w:tcBorders>
              <w:top w:val="single" w:sz="4" w:space="0" w:color="8EAADB"/>
              <w:left w:val="nil"/>
              <w:bottom w:val="single" w:sz="4" w:space="0" w:color="8EAADB"/>
              <w:right w:val="nil"/>
            </w:tcBorders>
            <w:vAlign w:val="center"/>
            <w:hideMark/>
          </w:tcPr>
          <w:p w14:paraId="7BC288FB" w14:textId="7737C5FA"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10,4</w:t>
            </w:r>
          </w:p>
        </w:tc>
      </w:tr>
      <w:tr w:rsidR="007B60B6" w:rsidRPr="00F0315E" w14:paraId="381F29DD" w14:textId="77777777" w:rsidTr="00C624D2">
        <w:trPr>
          <w:trHeight w:val="252"/>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8EAADB"/>
              <w:left w:val="nil"/>
              <w:bottom w:val="single" w:sz="4" w:space="0" w:color="8EAADB"/>
              <w:right w:val="nil"/>
            </w:tcBorders>
            <w:noWrap/>
            <w:vAlign w:val="center"/>
            <w:hideMark/>
          </w:tcPr>
          <w:p w14:paraId="434A6931" w14:textId="21C1A6FC" w:rsidR="007B60B6" w:rsidRPr="002559BF" w:rsidRDefault="007B60B6" w:rsidP="007B60B6">
            <w:pPr>
              <w:widowControl w:val="0"/>
              <w:snapToGrid w:val="0"/>
              <w:spacing w:before="20" w:after="20"/>
              <w:jc w:val="center"/>
              <w:rPr>
                <w:rFonts w:ascii="Roboto" w:hAnsi="Roboto" w:cs="Arial"/>
                <w:sz w:val="18"/>
                <w:szCs w:val="18"/>
                <w:lang w:eastAsia="zh-CN"/>
              </w:rPr>
            </w:pPr>
            <w:r>
              <w:rPr>
                <w:rFonts w:ascii="Roboto" w:hAnsi="Roboto" w:cs="Arial"/>
                <w:sz w:val="18"/>
                <w:szCs w:val="18"/>
                <w:lang w:eastAsia="zh-CN"/>
              </w:rPr>
              <w:t>2022.</w:t>
            </w:r>
          </w:p>
        </w:tc>
        <w:tc>
          <w:tcPr>
            <w:tcW w:w="628" w:type="pct"/>
            <w:tcBorders>
              <w:top w:val="single" w:sz="4" w:space="0" w:color="8EAADB"/>
              <w:left w:val="nil"/>
              <w:bottom w:val="single" w:sz="4" w:space="0" w:color="8EAADB"/>
              <w:right w:val="nil"/>
            </w:tcBorders>
            <w:vAlign w:val="center"/>
            <w:hideMark/>
          </w:tcPr>
          <w:p w14:paraId="18B2616F" w14:textId="3CF4182B" w:rsidR="007B60B6" w:rsidRPr="002559BF"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1.554</w:t>
            </w:r>
          </w:p>
        </w:tc>
        <w:tc>
          <w:tcPr>
            <w:tcW w:w="629" w:type="pct"/>
            <w:tcBorders>
              <w:top w:val="single" w:sz="4" w:space="0" w:color="8EAADB"/>
              <w:left w:val="nil"/>
              <w:bottom w:val="single" w:sz="4" w:space="0" w:color="8EAADB"/>
              <w:right w:val="nil"/>
            </w:tcBorders>
            <w:noWrap/>
            <w:vAlign w:val="center"/>
            <w:hideMark/>
          </w:tcPr>
          <w:p w14:paraId="0E5090A1" w14:textId="460C49C6"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69</w:t>
            </w:r>
          </w:p>
        </w:tc>
        <w:tc>
          <w:tcPr>
            <w:tcW w:w="628" w:type="pct"/>
            <w:tcBorders>
              <w:top w:val="single" w:sz="4" w:space="0" w:color="8EAADB"/>
              <w:left w:val="nil"/>
              <w:bottom w:val="single" w:sz="4" w:space="0" w:color="8EAADB"/>
              <w:right w:val="nil"/>
            </w:tcBorders>
            <w:vAlign w:val="center"/>
            <w:hideMark/>
          </w:tcPr>
          <w:p w14:paraId="43C937E5" w14:textId="52AE302F"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22,5</w:t>
            </w:r>
          </w:p>
        </w:tc>
        <w:tc>
          <w:tcPr>
            <w:tcW w:w="629" w:type="pct"/>
            <w:tcBorders>
              <w:top w:val="single" w:sz="4" w:space="0" w:color="8EAADB"/>
              <w:left w:val="nil"/>
              <w:bottom w:val="single" w:sz="4" w:space="0" w:color="8EAADB"/>
              <w:right w:val="nil"/>
            </w:tcBorders>
            <w:vAlign w:val="center"/>
            <w:hideMark/>
          </w:tcPr>
          <w:p w14:paraId="19722A01" w14:textId="3C2747A4"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4,4</w:t>
            </w:r>
          </w:p>
        </w:tc>
        <w:tc>
          <w:tcPr>
            <w:tcW w:w="628" w:type="pct"/>
            <w:tcBorders>
              <w:top w:val="single" w:sz="4" w:space="0" w:color="8EAADB"/>
              <w:left w:val="nil"/>
              <w:bottom w:val="single" w:sz="4" w:space="0" w:color="8EAADB"/>
              <w:right w:val="nil"/>
            </w:tcBorders>
            <w:vAlign w:val="center"/>
            <w:hideMark/>
          </w:tcPr>
          <w:p w14:paraId="4BC22BB9" w14:textId="3A55E4D6"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1.147</w:t>
            </w:r>
          </w:p>
        </w:tc>
        <w:tc>
          <w:tcPr>
            <w:tcW w:w="629" w:type="pct"/>
            <w:tcBorders>
              <w:top w:val="single" w:sz="4" w:space="0" w:color="8EAADB"/>
              <w:left w:val="nil"/>
              <w:bottom w:val="single" w:sz="4" w:space="0" w:color="8EAADB"/>
              <w:right w:val="nil"/>
            </w:tcBorders>
            <w:vAlign w:val="center"/>
            <w:hideMark/>
          </w:tcPr>
          <w:p w14:paraId="73143D5C" w14:textId="75D0232E"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16,6</w:t>
            </w:r>
          </w:p>
        </w:tc>
        <w:tc>
          <w:tcPr>
            <w:tcW w:w="628" w:type="pct"/>
            <w:tcBorders>
              <w:top w:val="single" w:sz="4" w:space="0" w:color="8EAADB"/>
              <w:left w:val="nil"/>
              <w:bottom w:val="single" w:sz="4" w:space="0" w:color="8EAADB"/>
              <w:right w:val="nil"/>
            </w:tcBorders>
            <w:vAlign w:val="center"/>
            <w:hideMark/>
          </w:tcPr>
          <w:p w14:paraId="6A82D480" w14:textId="2BF47839"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6,0</w:t>
            </w:r>
          </w:p>
        </w:tc>
      </w:tr>
      <w:tr w:rsidR="007B60B6" w:rsidRPr="00F0315E" w14:paraId="0CE44A91" w14:textId="77777777" w:rsidTr="00C624D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8EAADB"/>
              <w:left w:val="nil"/>
              <w:bottom w:val="single" w:sz="4" w:space="0" w:color="8EAADB"/>
              <w:right w:val="nil"/>
            </w:tcBorders>
            <w:noWrap/>
            <w:vAlign w:val="center"/>
          </w:tcPr>
          <w:p w14:paraId="1E95C453" w14:textId="4EB7310E" w:rsidR="007B60B6" w:rsidRPr="002559BF" w:rsidRDefault="007B60B6" w:rsidP="007B60B6">
            <w:pPr>
              <w:widowControl w:val="0"/>
              <w:snapToGrid w:val="0"/>
              <w:spacing w:before="20" w:after="20"/>
              <w:jc w:val="center"/>
              <w:rPr>
                <w:rFonts w:ascii="Roboto" w:hAnsi="Roboto" w:cs="Arial"/>
                <w:sz w:val="18"/>
                <w:szCs w:val="18"/>
                <w:lang w:eastAsia="zh-CN"/>
              </w:rPr>
            </w:pPr>
            <w:r>
              <w:rPr>
                <w:rFonts w:ascii="Roboto" w:hAnsi="Roboto" w:cs="Arial"/>
                <w:sz w:val="18"/>
                <w:szCs w:val="18"/>
                <w:lang w:eastAsia="zh-CN"/>
              </w:rPr>
              <w:t>2023.</w:t>
            </w:r>
          </w:p>
        </w:tc>
        <w:tc>
          <w:tcPr>
            <w:tcW w:w="628" w:type="pct"/>
            <w:tcBorders>
              <w:top w:val="single" w:sz="4" w:space="0" w:color="8EAADB"/>
              <w:left w:val="nil"/>
              <w:bottom w:val="single" w:sz="4" w:space="0" w:color="8EAADB"/>
              <w:right w:val="nil"/>
            </w:tcBorders>
            <w:vAlign w:val="center"/>
          </w:tcPr>
          <w:p w14:paraId="7299711A" w14:textId="23A5D6ED" w:rsidR="007B60B6" w:rsidRPr="002559BF"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1.179</w:t>
            </w:r>
          </w:p>
        </w:tc>
        <w:tc>
          <w:tcPr>
            <w:tcW w:w="629" w:type="pct"/>
            <w:tcBorders>
              <w:top w:val="single" w:sz="4" w:space="0" w:color="8EAADB"/>
              <w:left w:val="nil"/>
              <w:bottom w:val="single" w:sz="4" w:space="0" w:color="8EAADB"/>
              <w:right w:val="nil"/>
            </w:tcBorders>
            <w:noWrap/>
            <w:vAlign w:val="center"/>
          </w:tcPr>
          <w:p w14:paraId="0394E131" w14:textId="3B59EAAF"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51</w:t>
            </w:r>
          </w:p>
        </w:tc>
        <w:tc>
          <w:tcPr>
            <w:tcW w:w="628" w:type="pct"/>
            <w:tcBorders>
              <w:top w:val="single" w:sz="4" w:space="0" w:color="8EAADB"/>
              <w:left w:val="nil"/>
              <w:bottom w:val="single" w:sz="4" w:space="0" w:color="8EAADB"/>
              <w:right w:val="nil"/>
            </w:tcBorders>
            <w:vAlign w:val="center"/>
          </w:tcPr>
          <w:p w14:paraId="018FDA43" w14:textId="57A92799"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23,1</w:t>
            </w:r>
          </w:p>
        </w:tc>
        <w:tc>
          <w:tcPr>
            <w:tcW w:w="629" w:type="pct"/>
            <w:tcBorders>
              <w:top w:val="single" w:sz="4" w:space="0" w:color="8EAADB"/>
              <w:left w:val="nil"/>
              <w:bottom w:val="single" w:sz="4" w:space="0" w:color="8EAADB"/>
              <w:right w:val="nil"/>
            </w:tcBorders>
            <w:vAlign w:val="center"/>
          </w:tcPr>
          <w:p w14:paraId="06B4FE6E" w14:textId="19545BF7"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4,3</w:t>
            </w:r>
          </w:p>
        </w:tc>
        <w:tc>
          <w:tcPr>
            <w:tcW w:w="628" w:type="pct"/>
            <w:tcBorders>
              <w:top w:val="single" w:sz="4" w:space="0" w:color="8EAADB"/>
              <w:left w:val="nil"/>
              <w:bottom w:val="single" w:sz="4" w:space="0" w:color="8EAADB"/>
              <w:right w:val="nil"/>
            </w:tcBorders>
            <w:vAlign w:val="center"/>
          </w:tcPr>
          <w:p w14:paraId="68917D61" w14:textId="6CB01150"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1.002</w:t>
            </w:r>
          </w:p>
        </w:tc>
        <w:tc>
          <w:tcPr>
            <w:tcW w:w="629" w:type="pct"/>
            <w:tcBorders>
              <w:top w:val="single" w:sz="4" w:space="0" w:color="8EAADB"/>
              <w:left w:val="nil"/>
              <w:bottom w:val="single" w:sz="4" w:space="0" w:color="8EAADB"/>
              <w:right w:val="nil"/>
            </w:tcBorders>
            <w:vAlign w:val="center"/>
          </w:tcPr>
          <w:p w14:paraId="3083D927" w14:textId="268C9207"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19,6</w:t>
            </w:r>
          </w:p>
        </w:tc>
        <w:tc>
          <w:tcPr>
            <w:tcW w:w="628" w:type="pct"/>
            <w:tcBorders>
              <w:top w:val="single" w:sz="4" w:space="0" w:color="8EAADB"/>
              <w:left w:val="nil"/>
              <w:bottom w:val="single" w:sz="4" w:space="0" w:color="8EAADB"/>
              <w:right w:val="nil"/>
            </w:tcBorders>
            <w:vAlign w:val="center"/>
          </w:tcPr>
          <w:p w14:paraId="4D2E8655" w14:textId="78ED9759" w:rsidR="007B60B6" w:rsidRPr="00E35A07" w:rsidRDefault="007B60B6" w:rsidP="007B60B6">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5,1</w:t>
            </w:r>
          </w:p>
        </w:tc>
      </w:tr>
      <w:tr w:rsidR="007B60B6" w:rsidRPr="00F0315E" w14:paraId="64545F4E" w14:textId="77777777" w:rsidTr="00C624D2">
        <w:trPr>
          <w:trHeight w:val="252"/>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8EAADB"/>
              <w:left w:val="nil"/>
              <w:bottom w:val="single" w:sz="4" w:space="0" w:color="8EAADB"/>
              <w:right w:val="nil"/>
            </w:tcBorders>
            <w:noWrap/>
            <w:vAlign w:val="center"/>
          </w:tcPr>
          <w:p w14:paraId="2D0D4E6E" w14:textId="44D46A07" w:rsidR="007B60B6" w:rsidRPr="002559BF" w:rsidRDefault="007B60B6" w:rsidP="007B60B6">
            <w:pPr>
              <w:widowControl w:val="0"/>
              <w:snapToGrid w:val="0"/>
              <w:spacing w:before="20" w:after="20"/>
              <w:jc w:val="center"/>
              <w:rPr>
                <w:rFonts w:ascii="Roboto" w:hAnsi="Roboto" w:cs="Arial"/>
                <w:sz w:val="18"/>
                <w:szCs w:val="18"/>
                <w:lang w:eastAsia="zh-CN"/>
              </w:rPr>
            </w:pPr>
            <w:r>
              <w:rPr>
                <w:rFonts w:ascii="Roboto" w:hAnsi="Roboto" w:cs="Arial"/>
                <w:sz w:val="18"/>
                <w:szCs w:val="18"/>
                <w:lang w:eastAsia="zh-CN"/>
              </w:rPr>
              <w:t>2024.</w:t>
            </w:r>
          </w:p>
        </w:tc>
        <w:tc>
          <w:tcPr>
            <w:tcW w:w="628" w:type="pct"/>
            <w:tcBorders>
              <w:top w:val="single" w:sz="4" w:space="0" w:color="8EAADB"/>
              <w:left w:val="nil"/>
              <w:bottom w:val="single" w:sz="4" w:space="0" w:color="8EAADB"/>
              <w:right w:val="nil"/>
            </w:tcBorders>
            <w:vAlign w:val="center"/>
          </w:tcPr>
          <w:p w14:paraId="72869CD0" w14:textId="60B6A3EE" w:rsidR="007B60B6" w:rsidRPr="002559BF"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987</w:t>
            </w:r>
          </w:p>
        </w:tc>
        <w:tc>
          <w:tcPr>
            <w:tcW w:w="629" w:type="pct"/>
            <w:tcBorders>
              <w:top w:val="single" w:sz="4" w:space="0" w:color="8EAADB"/>
              <w:left w:val="nil"/>
              <w:bottom w:val="single" w:sz="4" w:space="0" w:color="8EAADB"/>
              <w:right w:val="nil"/>
            </w:tcBorders>
            <w:noWrap/>
            <w:vAlign w:val="center"/>
          </w:tcPr>
          <w:p w14:paraId="313AC303" w14:textId="122CE93A"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60</w:t>
            </w:r>
          </w:p>
        </w:tc>
        <w:tc>
          <w:tcPr>
            <w:tcW w:w="628" w:type="pct"/>
            <w:tcBorders>
              <w:top w:val="single" w:sz="4" w:space="0" w:color="8EAADB"/>
              <w:left w:val="nil"/>
              <w:bottom w:val="single" w:sz="4" w:space="0" w:color="8EAADB"/>
              <w:right w:val="nil"/>
            </w:tcBorders>
            <w:vAlign w:val="center"/>
          </w:tcPr>
          <w:p w14:paraId="36580FD9" w14:textId="61EA7E55"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16,5</w:t>
            </w:r>
          </w:p>
        </w:tc>
        <w:tc>
          <w:tcPr>
            <w:tcW w:w="629" w:type="pct"/>
            <w:tcBorders>
              <w:top w:val="single" w:sz="4" w:space="0" w:color="8EAADB"/>
              <w:left w:val="nil"/>
              <w:bottom w:val="single" w:sz="4" w:space="0" w:color="8EAADB"/>
              <w:right w:val="nil"/>
            </w:tcBorders>
            <w:vAlign w:val="center"/>
          </w:tcPr>
          <w:p w14:paraId="6B64D5CA" w14:textId="456FC743"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6,1</w:t>
            </w:r>
          </w:p>
        </w:tc>
        <w:tc>
          <w:tcPr>
            <w:tcW w:w="628" w:type="pct"/>
            <w:tcBorders>
              <w:top w:val="single" w:sz="4" w:space="0" w:color="8EAADB"/>
              <w:left w:val="nil"/>
              <w:bottom w:val="single" w:sz="4" w:space="0" w:color="8EAADB"/>
              <w:right w:val="nil"/>
            </w:tcBorders>
            <w:vAlign w:val="center"/>
          </w:tcPr>
          <w:p w14:paraId="166A9E0C" w14:textId="5A529BBF"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1.029</w:t>
            </w:r>
          </w:p>
        </w:tc>
        <w:tc>
          <w:tcPr>
            <w:tcW w:w="629" w:type="pct"/>
            <w:tcBorders>
              <w:top w:val="single" w:sz="4" w:space="0" w:color="8EAADB"/>
              <w:left w:val="nil"/>
              <w:bottom w:val="single" w:sz="4" w:space="0" w:color="8EAADB"/>
              <w:right w:val="nil"/>
            </w:tcBorders>
            <w:vAlign w:val="center"/>
          </w:tcPr>
          <w:p w14:paraId="133DE8FC" w14:textId="2ECB9AB5"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17,2</w:t>
            </w:r>
          </w:p>
        </w:tc>
        <w:tc>
          <w:tcPr>
            <w:tcW w:w="628" w:type="pct"/>
            <w:tcBorders>
              <w:top w:val="single" w:sz="4" w:space="0" w:color="8EAADB"/>
              <w:left w:val="nil"/>
              <w:bottom w:val="single" w:sz="4" w:space="0" w:color="8EAADB"/>
              <w:right w:val="nil"/>
            </w:tcBorders>
            <w:vAlign w:val="center"/>
          </w:tcPr>
          <w:p w14:paraId="491FCEFB" w14:textId="5A444DE0" w:rsidR="007B60B6" w:rsidRPr="00E35A07" w:rsidRDefault="007B60B6" w:rsidP="007B60B6">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Arial"/>
                <w:sz w:val="18"/>
                <w:szCs w:val="18"/>
                <w:lang w:eastAsia="zh-CN"/>
              </w:rPr>
            </w:pPr>
            <w:r>
              <w:rPr>
                <w:rFonts w:ascii="Roboto" w:hAnsi="Roboto" w:cs="Arial"/>
                <w:sz w:val="18"/>
                <w:szCs w:val="18"/>
                <w:lang w:eastAsia="zh-CN"/>
              </w:rPr>
              <w:t>5,8</w:t>
            </w:r>
          </w:p>
        </w:tc>
      </w:tr>
      <w:tr w:rsidR="007B60B6" w:rsidRPr="00F0315E" w14:paraId="56DD0503" w14:textId="77777777" w:rsidTr="00C624D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8EAADB"/>
              <w:left w:val="nil"/>
              <w:bottom w:val="single" w:sz="4" w:space="0" w:color="8EAADB"/>
              <w:right w:val="nil"/>
            </w:tcBorders>
            <w:noWrap/>
            <w:vAlign w:val="center"/>
          </w:tcPr>
          <w:p w14:paraId="13D9114D" w14:textId="70D9DA57" w:rsidR="007B60B6" w:rsidRPr="002559BF" w:rsidRDefault="007B60B6" w:rsidP="00C77788">
            <w:pPr>
              <w:widowControl w:val="0"/>
              <w:snapToGrid w:val="0"/>
              <w:spacing w:before="20" w:after="20"/>
              <w:contextualSpacing/>
              <w:jc w:val="center"/>
              <w:rPr>
                <w:rFonts w:ascii="Roboto" w:hAnsi="Roboto" w:cs="Arial"/>
                <w:sz w:val="18"/>
                <w:szCs w:val="18"/>
                <w:lang w:eastAsia="zh-CN"/>
              </w:rPr>
            </w:pPr>
            <w:r>
              <w:rPr>
                <w:rFonts w:ascii="Roboto" w:hAnsi="Roboto" w:cs="Arial"/>
                <w:sz w:val="18"/>
                <w:szCs w:val="18"/>
                <w:lang w:eastAsia="zh-CN"/>
              </w:rPr>
              <w:t>2025.</w:t>
            </w:r>
          </w:p>
        </w:tc>
        <w:tc>
          <w:tcPr>
            <w:tcW w:w="628" w:type="pct"/>
            <w:tcBorders>
              <w:top w:val="single" w:sz="4" w:space="0" w:color="8EAADB"/>
              <w:left w:val="nil"/>
              <w:bottom w:val="single" w:sz="4" w:space="0" w:color="8EAADB"/>
              <w:right w:val="nil"/>
            </w:tcBorders>
            <w:vAlign w:val="center"/>
          </w:tcPr>
          <w:p w14:paraId="097961E9" w14:textId="1FBD531A" w:rsidR="007B60B6" w:rsidRPr="002559BF" w:rsidRDefault="007B60B6" w:rsidP="00C77788">
            <w:pPr>
              <w:widowControl w:val="0"/>
              <w:snapToGrid w:val="0"/>
              <w:spacing w:before="20" w:after="20"/>
              <w:contextualSpacing/>
              <w:jc w:val="center"/>
              <w:cnfStyle w:val="000000100000" w:firstRow="0" w:lastRow="0" w:firstColumn="0" w:lastColumn="0" w:oddVBand="0" w:evenVBand="0" w:oddHBand="1" w:evenHBand="0" w:firstRowFirstColumn="0" w:firstRowLastColumn="0" w:lastRowFirstColumn="0" w:lastRowLastColumn="0"/>
              <w:rPr>
                <w:rFonts w:ascii="Roboto" w:hAnsi="Roboto" w:cs="Arial"/>
                <w:b/>
                <w:sz w:val="18"/>
                <w:szCs w:val="18"/>
                <w:lang w:eastAsia="zh-CN"/>
              </w:rPr>
            </w:pPr>
            <w:r>
              <w:rPr>
                <w:rFonts w:ascii="Roboto" w:hAnsi="Roboto" w:cs="Arial"/>
                <w:sz w:val="18"/>
                <w:szCs w:val="18"/>
                <w:lang w:eastAsia="zh-CN"/>
              </w:rPr>
              <w:t>1.320</w:t>
            </w:r>
          </w:p>
        </w:tc>
        <w:tc>
          <w:tcPr>
            <w:tcW w:w="629" w:type="pct"/>
            <w:tcBorders>
              <w:top w:val="single" w:sz="4" w:space="0" w:color="8EAADB"/>
              <w:left w:val="nil"/>
              <w:bottom w:val="single" w:sz="4" w:space="0" w:color="8EAADB"/>
              <w:right w:val="nil"/>
            </w:tcBorders>
            <w:noWrap/>
            <w:vAlign w:val="center"/>
          </w:tcPr>
          <w:p w14:paraId="10ADDE32" w14:textId="071342A2" w:rsidR="007B60B6" w:rsidRPr="00E35A07" w:rsidRDefault="007B60B6" w:rsidP="00C77788">
            <w:pPr>
              <w:widowControl w:val="0"/>
              <w:snapToGrid w:val="0"/>
              <w:spacing w:before="20" w:after="20"/>
              <w:contextualSpacing/>
              <w:jc w:val="center"/>
              <w:cnfStyle w:val="000000100000" w:firstRow="0" w:lastRow="0" w:firstColumn="0" w:lastColumn="0" w:oddVBand="0" w:evenVBand="0" w:oddHBand="1" w:evenHBand="0" w:firstRowFirstColumn="0" w:firstRowLastColumn="0" w:lastRowFirstColumn="0" w:lastRowLastColumn="0"/>
              <w:rPr>
                <w:rFonts w:ascii="Roboto" w:hAnsi="Roboto" w:cs="Arial"/>
                <w:b/>
                <w:sz w:val="18"/>
                <w:szCs w:val="18"/>
                <w:lang w:eastAsia="zh-CN"/>
              </w:rPr>
            </w:pPr>
            <w:r>
              <w:rPr>
                <w:rFonts w:ascii="Roboto" w:hAnsi="Roboto" w:cs="Arial"/>
                <w:sz w:val="18"/>
                <w:szCs w:val="18"/>
                <w:lang w:eastAsia="zh-CN"/>
              </w:rPr>
              <w:t>112</w:t>
            </w:r>
          </w:p>
        </w:tc>
        <w:tc>
          <w:tcPr>
            <w:tcW w:w="628" w:type="pct"/>
            <w:tcBorders>
              <w:top w:val="single" w:sz="4" w:space="0" w:color="8EAADB"/>
              <w:left w:val="nil"/>
              <w:bottom w:val="single" w:sz="4" w:space="0" w:color="8EAADB"/>
              <w:right w:val="nil"/>
            </w:tcBorders>
            <w:vAlign w:val="center"/>
          </w:tcPr>
          <w:p w14:paraId="7931E0A1" w14:textId="77D093F2" w:rsidR="007B60B6" w:rsidRPr="00E35A07" w:rsidRDefault="007B60B6" w:rsidP="00C77788">
            <w:pPr>
              <w:widowControl w:val="0"/>
              <w:snapToGrid w:val="0"/>
              <w:spacing w:before="20" w:after="20"/>
              <w:contextualSpacing/>
              <w:jc w:val="center"/>
              <w:cnfStyle w:val="000000100000" w:firstRow="0" w:lastRow="0" w:firstColumn="0" w:lastColumn="0" w:oddVBand="0" w:evenVBand="0" w:oddHBand="1" w:evenHBand="0" w:firstRowFirstColumn="0" w:firstRowLastColumn="0" w:lastRowFirstColumn="0" w:lastRowLastColumn="0"/>
              <w:rPr>
                <w:rFonts w:ascii="Roboto" w:hAnsi="Roboto" w:cs="Arial"/>
                <w:b/>
                <w:sz w:val="18"/>
                <w:szCs w:val="18"/>
                <w:lang w:eastAsia="zh-CN"/>
              </w:rPr>
            </w:pPr>
            <w:r>
              <w:rPr>
                <w:rFonts w:ascii="Roboto" w:hAnsi="Roboto" w:cs="Arial"/>
                <w:sz w:val="18"/>
                <w:szCs w:val="18"/>
                <w:lang w:eastAsia="zh-CN"/>
              </w:rPr>
              <w:t>11,8</w:t>
            </w:r>
          </w:p>
        </w:tc>
        <w:tc>
          <w:tcPr>
            <w:tcW w:w="629" w:type="pct"/>
            <w:tcBorders>
              <w:top w:val="single" w:sz="4" w:space="0" w:color="8EAADB"/>
              <w:left w:val="nil"/>
              <w:bottom w:val="single" w:sz="4" w:space="0" w:color="8EAADB"/>
              <w:right w:val="nil"/>
            </w:tcBorders>
            <w:vAlign w:val="center"/>
          </w:tcPr>
          <w:p w14:paraId="098370BC" w14:textId="0517D527" w:rsidR="007B60B6" w:rsidRPr="00E35A07" w:rsidRDefault="007B60B6" w:rsidP="00C77788">
            <w:pPr>
              <w:widowControl w:val="0"/>
              <w:snapToGrid w:val="0"/>
              <w:spacing w:before="20" w:after="20"/>
              <w:contextualSpacing/>
              <w:jc w:val="center"/>
              <w:cnfStyle w:val="000000100000" w:firstRow="0" w:lastRow="0" w:firstColumn="0" w:lastColumn="0" w:oddVBand="0" w:evenVBand="0" w:oddHBand="1" w:evenHBand="0" w:firstRowFirstColumn="0" w:firstRowLastColumn="0" w:lastRowFirstColumn="0" w:lastRowLastColumn="0"/>
              <w:rPr>
                <w:rFonts w:ascii="Roboto" w:hAnsi="Roboto" w:cs="Arial"/>
                <w:b/>
                <w:sz w:val="18"/>
                <w:szCs w:val="18"/>
                <w:lang w:eastAsia="zh-CN"/>
              </w:rPr>
            </w:pPr>
            <w:r>
              <w:rPr>
                <w:rFonts w:ascii="Roboto" w:hAnsi="Roboto" w:cs="Arial"/>
                <w:sz w:val="18"/>
                <w:szCs w:val="18"/>
                <w:lang w:eastAsia="zh-CN"/>
              </w:rPr>
              <w:t>8,5</w:t>
            </w:r>
          </w:p>
        </w:tc>
        <w:tc>
          <w:tcPr>
            <w:tcW w:w="628" w:type="pct"/>
            <w:tcBorders>
              <w:top w:val="single" w:sz="4" w:space="0" w:color="8EAADB"/>
              <w:left w:val="nil"/>
              <w:bottom w:val="single" w:sz="4" w:space="0" w:color="8EAADB"/>
              <w:right w:val="nil"/>
            </w:tcBorders>
            <w:vAlign w:val="center"/>
          </w:tcPr>
          <w:p w14:paraId="128893AC" w14:textId="36559247" w:rsidR="007B60B6" w:rsidRPr="00E35A07" w:rsidRDefault="007B60B6" w:rsidP="00C77788">
            <w:pPr>
              <w:widowControl w:val="0"/>
              <w:snapToGrid w:val="0"/>
              <w:spacing w:before="20" w:after="20"/>
              <w:contextualSpacing/>
              <w:jc w:val="center"/>
              <w:cnfStyle w:val="000000100000" w:firstRow="0" w:lastRow="0" w:firstColumn="0" w:lastColumn="0" w:oddVBand="0" w:evenVBand="0" w:oddHBand="1" w:evenHBand="0" w:firstRowFirstColumn="0" w:firstRowLastColumn="0" w:lastRowFirstColumn="0" w:lastRowLastColumn="0"/>
              <w:rPr>
                <w:rFonts w:ascii="Roboto" w:hAnsi="Roboto" w:cs="Arial"/>
                <w:b/>
                <w:sz w:val="18"/>
                <w:szCs w:val="18"/>
                <w:lang w:eastAsia="zh-CN"/>
              </w:rPr>
            </w:pPr>
            <w:r>
              <w:rPr>
                <w:rFonts w:ascii="Roboto" w:hAnsi="Roboto" w:cs="Arial"/>
                <w:sz w:val="18"/>
                <w:szCs w:val="18"/>
                <w:lang w:eastAsia="zh-CN"/>
              </w:rPr>
              <w:t>1.207</w:t>
            </w:r>
          </w:p>
        </w:tc>
        <w:tc>
          <w:tcPr>
            <w:tcW w:w="629" w:type="pct"/>
            <w:tcBorders>
              <w:top w:val="single" w:sz="4" w:space="0" w:color="8EAADB"/>
              <w:left w:val="nil"/>
              <w:bottom w:val="single" w:sz="4" w:space="0" w:color="8EAADB"/>
              <w:right w:val="nil"/>
            </w:tcBorders>
            <w:vAlign w:val="center"/>
          </w:tcPr>
          <w:p w14:paraId="1C95E9E1" w14:textId="2EFC5427" w:rsidR="007B60B6" w:rsidRPr="00E35A07" w:rsidRDefault="007B60B6" w:rsidP="00C77788">
            <w:pPr>
              <w:widowControl w:val="0"/>
              <w:snapToGrid w:val="0"/>
              <w:spacing w:before="20" w:after="20"/>
              <w:contextualSpacing/>
              <w:jc w:val="center"/>
              <w:cnfStyle w:val="000000100000" w:firstRow="0" w:lastRow="0" w:firstColumn="0" w:lastColumn="0" w:oddVBand="0" w:evenVBand="0" w:oddHBand="1" w:evenHBand="0" w:firstRowFirstColumn="0" w:firstRowLastColumn="0" w:lastRowFirstColumn="0" w:lastRowLastColumn="0"/>
              <w:rPr>
                <w:rFonts w:ascii="Roboto" w:hAnsi="Roboto" w:cs="Arial"/>
                <w:b/>
                <w:sz w:val="18"/>
                <w:szCs w:val="18"/>
                <w:lang w:eastAsia="zh-CN"/>
              </w:rPr>
            </w:pPr>
            <w:r>
              <w:rPr>
                <w:rFonts w:ascii="Roboto" w:hAnsi="Roboto" w:cs="Arial"/>
                <w:sz w:val="18"/>
                <w:szCs w:val="18"/>
                <w:lang w:eastAsia="zh-CN"/>
              </w:rPr>
              <w:t>10,7</w:t>
            </w:r>
          </w:p>
        </w:tc>
        <w:tc>
          <w:tcPr>
            <w:tcW w:w="628" w:type="pct"/>
            <w:tcBorders>
              <w:top w:val="single" w:sz="4" w:space="0" w:color="8EAADB"/>
              <w:left w:val="nil"/>
              <w:bottom w:val="single" w:sz="4" w:space="0" w:color="8EAADB"/>
              <w:right w:val="nil"/>
            </w:tcBorders>
            <w:vAlign w:val="center"/>
          </w:tcPr>
          <w:p w14:paraId="3E3A1FA6" w14:textId="0DD3A587" w:rsidR="007B60B6" w:rsidRPr="00E35A07" w:rsidRDefault="007B60B6" w:rsidP="00C77788">
            <w:pPr>
              <w:widowControl w:val="0"/>
              <w:snapToGrid w:val="0"/>
              <w:spacing w:before="20" w:after="20"/>
              <w:contextualSpacing/>
              <w:jc w:val="center"/>
              <w:cnfStyle w:val="000000100000" w:firstRow="0" w:lastRow="0" w:firstColumn="0" w:lastColumn="0" w:oddVBand="0" w:evenVBand="0" w:oddHBand="1" w:evenHBand="0" w:firstRowFirstColumn="0" w:firstRowLastColumn="0" w:lastRowFirstColumn="0" w:lastRowLastColumn="0"/>
              <w:rPr>
                <w:rFonts w:ascii="Roboto" w:hAnsi="Roboto" w:cs="Arial"/>
                <w:b/>
                <w:sz w:val="18"/>
                <w:szCs w:val="18"/>
                <w:lang w:eastAsia="zh-CN"/>
              </w:rPr>
            </w:pPr>
            <w:r>
              <w:rPr>
                <w:rFonts w:ascii="Roboto" w:hAnsi="Roboto" w:cs="Arial"/>
                <w:sz w:val="18"/>
                <w:szCs w:val="18"/>
                <w:lang w:eastAsia="zh-CN"/>
              </w:rPr>
              <w:t>9,2</w:t>
            </w:r>
          </w:p>
        </w:tc>
      </w:tr>
      <w:tr w:rsidR="007B60B6" w:rsidRPr="00F0315E" w14:paraId="7FCA9DAC" w14:textId="77777777" w:rsidTr="00C624D2">
        <w:trPr>
          <w:trHeight w:val="252"/>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8EAADB"/>
              <w:left w:val="nil"/>
              <w:bottom w:val="single" w:sz="4" w:space="0" w:color="8EAADB"/>
              <w:right w:val="nil"/>
            </w:tcBorders>
            <w:noWrap/>
            <w:vAlign w:val="center"/>
          </w:tcPr>
          <w:p w14:paraId="5EB7D334" w14:textId="709A4240" w:rsidR="007B60B6" w:rsidRPr="00C77788" w:rsidRDefault="007B60B6" w:rsidP="00C77788">
            <w:pPr>
              <w:widowControl w:val="0"/>
              <w:snapToGrid w:val="0"/>
              <w:spacing w:before="20" w:after="20"/>
              <w:contextualSpacing/>
              <w:jc w:val="center"/>
              <w:rPr>
                <w:rFonts w:ascii="Roboto" w:hAnsi="Roboto" w:cs="Arial"/>
                <w:sz w:val="18"/>
                <w:szCs w:val="18"/>
                <w:lang w:eastAsia="zh-CN"/>
              </w:rPr>
            </w:pPr>
            <w:r>
              <w:rPr>
                <w:rFonts w:ascii="Roboto" w:hAnsi="Roboto" w:cs="Arial"/>
                <w:sz w:val="18"/>
                <w:szCs w:val="18"/>
                <w:lang w:eastAsia="zh-CN"/>
              </w:rPr>
              <w:t>Ukupno</w:t>
            </w:r>
          </w:p>
        </w:tc>
        <w:tc>
          <w:tcPr>
            <w:tcW w:w="628" w:type="pct"/>
            <w:tcBorders>
              <w:top w:val="single" w:sz="4" w:space="0" w:color="8EAADB"/>
              <w:left w:val="nil"/>
              <w:bottom w:val="single" w:sz="4" w:space="0" w:color="8EAADB"/>
              <w:right w:val="nil"/>
            </w:tcBorders>
            <w:vAlign w:val="center"/>
          </w:tcPr>
          <w:p w14:paraId="4D2E5E50" w14:textId="548624A0" w:rsidR="007B60B6" w:rsidRPr="00C77788" w:rsidRDefault="00C64BFE" w:rsidP="00C77788">
            <w:pPr>
              <w:widowControl w:val="0"/>
              <w:snapToGrid w:val="0"/>
              <w:spacing w:before="20" w:after="20"/>
              <w:contextualSpacing/>
              <w:jc w:val="center"/>
              <w:cnfStyle w:val="000000000000" w:firstRow="0" w:lastRow="0" w:firstColumn="0" w:lastColumn="0" w:oddVBand="0" w:evenVBand="0" w:oddHBand="0" w:evenHBand="0" w:firstRowFirstColumn="0" w:firstRowLastColumn="0" w:lastRowFirstColumn="0" w:lastRowLastColumn="0"/>
              <w:rPr>
                <w:rFonts w:ascii="Roboto" w:hAnsi="Roboto" w:cs="Arial"/>
                <w:b/>
                <w:sz w:val="18"/>
                <w:szCs w:val="18"/>
                <w:lang w:eastAsia="zh-CN"/>
              </w:rPr>
            </w:pPr>
            <w:r>
              <w:rPr>
                <w:rFonts w:ascii="Roboto" w:hAnsi="Roboto" w:cs="Arial"/>
                <w:b/>
                <w:sz w:val="18"/>
                <w:szCs w:val="18"/>
                <w:lang w:eastAsia="zh-CN"/>
              </w:rPr>
              <w:t>5.998</w:t>
            </w:r>
          </w:p>
        </w:tc>
        <w:tc>
          <w:tcPr>
            <w:tcW w:w="629" w:type="pct"/>
            <w:tcBorders>
              <w:top w:val="single" w:sz="4" w:space="0" w:color="8EAADB"/>
              <w:left w:val="nil"/>
              <w:bottom w:val="single" w:sz="4" w:space="0" w:color="8EAADB"/>
              <w:right w:val="nil"/>
            </w:tcBorders>
            <w:noWrap/>
            <w:vAlign w:val="center"/>
          </w:tcPr>
          <w:p w14:paraId="06E4F689" w14:textId="3159C1FD" w:rsidR="007B60B6" w:rsidRPr="00C77788" w:rsidRDefault="00C64BFE" w:rsidP="00C77788">
            <w:pPr>
              <w:widowControl w:val="0"/>
              <w:snapToGrid w:val="0"/>
              <w:spacing w:before="20" w:after="20"/>
              <w:contextualSpacing/>
              <w:jc w:val="center"/>
              <w:cnfStyle w:val="000000000000" w:firstRow="0" w:lastRow="0" w:firstColumn="0" w:lastColumn="0" w:oddVBand="0" w:evenVBand="0" w:oddHBand="0" w:evenHBand="0" w:firstRowFirstColumn="0" w:firstRowLastColumn="0" w:lastRowFirstColumn="0" w:lastRowLastColumn="0"/>
              <w:rPr>
                <w:rFonts w:ascii="Roboto" w:hAnsi="Roboto" w:cs="Arial"/>
                <w:b/>
                <w:sz w:val="18"/>
                <w:szCs w:val="18"/>
                <w:lang w:eastAsia="zh-CN"/>
              </w:rPr>
            </w:pPr>
            <w:r>
              <w:rPr>
                <w:rFonts w:ascii="Roboto" w:hAnsi="Roboto" w:cs="Arial"/>
                <w:b/>
                <w:sz w:val="18"/>
                <w:szCs w:val="18"/>
                <w:lang w:eastAsia="zh-CN"/>
              </w:rPr>
              <w:t>404</w:t>
            </w:r>
          </w:p>
        </w:tc>
        <w:tc>
          <w:tcPr>
            <w:tcW w:w="628" w:type="pct"/>
            <w:tcBorders>
              <w:top w:val="single" w:sz="4" w:space="0" w:color="8EAADB"/>
              <w:left w:val="nil"/>
              <w:bottom w:val="single" w:sz="4" w:space="0" w:color="8EAADB"/>
              <w:right w:val="nil"/>
            </w:tcBorders>
            <w:vAlign w:val="center"/>
          </w:tcPr>
          <w:p w14:paraId="18D2A696" w14:textId="6866168C" w:rsidR="007B60B6" w:rsidRPr="00C77788" w:rsidRDefault="00C64BFE" w:rsidP="00C77788">
            <w:pPr>
              <w:widowControl w:val="0"/>
              <w:snapToGrid w:val="0"/>
              <w:spacing w:before="20" w:after="20"/>
              <w:contextualSpacing/>
              <w:jc w:val="center"/>
              <w:cnfStyle w:val="000000000000" w:firstRow="0" w:lastRow="0" w:firstColumn="0" w:lastColumn="0" w:oddVBand="0" w:evenVBand="0" w:oddHBand="0" w:evenHBand="0" w:firstRowFirstColumn="0" w:firstRowLastColumn="0" w:lastRowFirstColumn="0" w:lastRowLastColumn="0"/>
              <w:rPr>
                <w:rFonts w:ascii="Roboto" w:hAnsi="Roboto" w:cs="Arial"/>
                <w:b/>
                <w:sz w:val="18"/>
                <w:szCs w:val="18"/>
                <w:lang w:eastAsia="zh-CN"/>
              </w:rPr>
            </w:pPr>
            <w:r>
              <w:rPr>
                <w:rFonts w:ascii="Roboto" w:hAnsi="Roboto" w:cs="Arial"/>
                <w:b/>
                <w:sz w:val="18"/>
                <w:szCs w:val="18"/>
                <w:lang w:eastAsia="zh-CN"/>
              </w:rPr>
              <w:t>14,8</w:t>
            </w:r>
          </w:p>
        </w:tc>
        <w:tc>
          <w:tcPr>
            <w:tcW w:w="629" w:type="pct"/>
            <w:tcBorders>
              <w:top w:val="single" w:sz="4" w:space="0" w:color="8EAADB"/>
              <w:left w:val="nil"/>
              <w:bottom w:val="single" w:sz="4" w:space="0" w:color="8EAADB"/>
              <w:right w:val="nil"/>
            </w:tcBorders>
            <w:vAlign w:val="center"/>
          </w:tcPr>
          <w:p w14:paraId="644D8089" w14:textId="41EC2E09" w:rsidR="007B60B6" w:rsidRPr="00C77788" w:rsidRDefault="00C64BFE" w:rsidP="00C77788">
            <w:pPr>
              <w:widowControl w:val="0"/>
              <w:snapToGrid w:val="0"/>
              <w:spacing w:before="20" w:after="20"/>
              <w:contextualSpacing/>
              <w:jc w:val="center"/>
              <w:cnfStyle w:val="000000000000" w:firstRow="0" w:lastRow="0" w:firstColumn="0" w:lastColumn="0" w:oddVBand="0" w:evenVBand="0" w:oddHBand="0" w:evenHBand="0" w:firstRowFirstColumn="0" w:firstRowLastColumn="0" w:lastRowFirstColumn="0" w:lastRowLastColumn="0"/>
              <w:rPr>
                <w:rFonts w:ascii="Roboto" w:hAnsi="Roboto" w:cs="Arial"/>
                <w:b/>
                <w:sz w:val="18"/>
                <w:szCs w:val="18"/>
                <w:lang w:eastAsia="zh-CN"/>
              </w:rPr>
            </w:pPr>
            <w:r>
              <w:rPr>
                <w:rFonts w:ascii="Roboto" w:hAnsi="Roboto" w:cs="Arial"/>
                <w:b/>
                <w:sz w:val="18"/>
                <w:szCs w:val="18"/>
                <w:lang w:eastAsia="zh-CN"/>
              </w:rPr>
              <w:t>6,7</w:t>
            </w:r>
          </w:p>
        </w:tc>
        <w:tc>
          <w:tcPr>
            <w:tcW w:w="628" w:type="pct"/>
            <w:tcBorders>
              <w:top w:val="single" w:sz="4" w:space="0" w:color="8EAADB"/>
              <w:left w:val="nil"/>
              <w:bottom w:val="single" w:sz="4" w:space="0" w:color="8EAADB"/>
              <w:right w:val="nil"/>
            </w:tcBorders>
            <w:vAlign w:val="center"/>
          </w:tcPr>
          <w:p w14:paraId="0C4902E1" w14:textId="6A8CA57F" w:rsidR="007B60B6" w:rsidRPr="00C77788" w:rsidRDefault="0075748C" w:rsidP="00C77788">
            <w:pPr>
              <w:widowControl w:val="0"/>
              <w:snapToGrid w:val="0"/>
              <w:spacing w:before="20" w:after="20"/>
              <w:contextualSpacing/>
              <w:jc w:val="center"/>
              <w:cnfStyle w:val="000000000000" w:firstRow="0" w:lastRow="0" w:firstColumn="0" w:lastColumn="0" w:oddVBand="0" w:evenVBand="0" w:oddHBand="0" w:evenHBand="0" w:firstRowFirstColumn="0" w:firstRowLastColumn="0" w:lastRowFirstColumn="0" w:lastRowLastColumn="0"/>
              <w:rPr>
                <w:rFonts w:ascii="Roboto" w:hAnsi="Roboto" w:cs="Arial"/>
                <w:b/>
                <w:sz w:val="18"/>
                <w:szCs w:val="18"/>
                <w:lang w:eastAsia="zh-CN"/>
              </w:rPr>
            </w:pPr>
            <w:r>
              <w:rPr>
                <w:rFonts w:ascii="Roboto" w:hAnsi="Roboto" w:cs="Arial"/>
                <w:b/>
                <w:sz w:val="18"/>
                <w:szCs w:val="18"/>
                <w:lang w:eastAsia="zh-CN"/>
              </w:rPr>
              <w:t>5.462</w:t>
            </w:r>
          </w:p>
        </w:tc>
        <w:tc>
          <w:tcPr>
            <w:tcW w:w="629" w:type="pct"/>
            <w:tcBorders>
              <w:top w:val="single" w:sz="4" w:space="0" w:color="8EAADB"/>
              <w:left w:val="nil"/>
              <w:bottom w:val="single" w:sz="4" w:space="0" w:color="8EAADB"/>
              <w:right w:val="nil"/>
            </w:tcBorders>
            <w:vAlign w:val="center"/>
          </w:tcPr>
          <w:p w14:paraId="680035EC" w14:textId="4FD73AC7" w:rsidR="007B60B6" w:rsidRPr="00C77788" w:rsidRDefault="0075748C" w:rsidP="00C77788">
            <w:pPr>
              <w:widowControl w:val="0"/>
              <w:snapToGrid w:val="0"/>
              <w:spacing w:before="20" w:after="20"/>
              <w:contextualSpacing/>
              <w:jc w:val="center"/>
              <w:cnfStyle w:val="000000000000" w:firstRow="0" w:lastRow="0" w:firstColumn="0" w:lastColumn="0" w:oddVBand="0" w:evenVBand="0" w:oddHBand="0" w:evenHBand="0" w:firstRowFirstColumn="0" w:firstRowLastColumn="0" w:lastRowFirstColumn="0" w:lastRowLastColumn="0"/>
              <w:rPr>
                <w:rFonts w:ascii="Roboto" w:hAnsi="Roboto" w:cs="Arial"/>
                <w:b/>
                <w:sz w:val="18"/>
                <w:szCs w:val="18"/>
                <w:lang w:eastAsia="zh-CN"/>
              </w:rPr>
            </w:pPr>
            <w:r>
              <w:rPr>
                <w:rFonts w:ascii="Roboto" w:hAnsi="Roboto" w:cs="Arial"/>
                <w:b/>
                <w:sz w:val="18"/>
                <w:szCs w:val="18"/>
                <w:lang w:eastAsia="zh-CN"/>
              </w:rPr>
              <w:t>13,5</w:t>
            </w:r>
          </w:p>
        </w:tc>
        <w:tc>
          <w:tcPr>
            <w:tcW w:w="628" w:type="pct"/>
            <w:tcBorders>
              <w:top w:val="single" w:sz="4" w:space="0" w:color="8EAADB"/>
              <w:left w:val="nil"/>
              <w:bottom w:val="single" w:sz="4" w:space="0" w:color="8EAADB"/>
              <w:right w:val="nil"/>
            </w:tcBorders>
            <w:vAlign w:val="center"/>
          </w:tcPr>
          <w:p w14:paraId="6B2183CF" w14:textId="79522653" w:rsidR="007B60B6" w:rsidRPr="00C77788" w:rsidRDefault="004B124D" w:rsidP="00C77788">
            <w:pPr>
              <w:widowControl w:val="0"/>
              <w:snapToGrid w:val="0"/>
              <w:spacing w:before="20" w:after="20"/>
              <w:contextualSpacing/>
              <w:jc w:val="center"/>
              <w:cnfStyle w:val="000000000000" w:firstRow="0" w:lastRow="0" w:firstColumn="0" w:lastColumn="0" w:oddVBand="0" w:evenVBand="0" w:oddHBand="0" w:evenHBand="0" w:firstRowFirstColumn="0" w:firstRowLastColumn="0" w:lastRowFirstColumn="0" w:lastRowLastColumn="0"/>
              <w:rPr>
                <w:rFonts w:ascii="Roboto" w:hAnsi="Roboto" w:cs="Arial"/>
                <w:b/>
                <w:sz w:val="18"/>
                <w:szCs w:val="18"/>
                <w:lang w:eastAsia="zh-CN"/>
              </w:rPr>
            </w:pPr>
            <w:r>
              <w:rPr>
                <w:rFonts w:ascii="Roboto" w:hAnsi="Roboto" w:cs="Arial"/>
                <w:b/>
                <w:sz w:val="18"/>
                <w:szCs w:val="18"/>
                <w:lang w:eastAsia="zh-CN"/>
              </w:rPr>
              <w:t>7,4</w:t>
            </w:r>
            <w:r w:rsidR="0075748C" w:rsidRPr="002F44C9">
              <w:rPr>
                <w:rFonts w:ascii="Roboto" w:hAnsi="Roboto" w:cs="Arial"/>
                <w:b/>
                <w:sz w:val="18"/>
                <w:szCs w:val="18"/>
                <w:lang w:eastAsia="zh-CN"/>
              </w:rPr>
              <w:t xml:space="preserve"> </w:t>
            </w:r>
          </w:p>
        </w:tc>
      </w:tr>
    </w:tbl>
    <w:p w14:paraId="7B6424C3" w14:textId="77777777" w:rsidR="004322BD" w:rsidRPr="00F0315E" w:rsidRDefault="004322BD" w:rsidP="009032D7">
      <w:pPr>
        <w:pStyle w:val="Naslov3"/>
        <w:ind w:left="1985"/>
      </w:pPr>
      <w:bookmarkStart w:id="122" w:name="_Toc225865599"/>
      <w:r>
        <w:t>Troškovi upravnog spora</w:t>
      </w:r>
      <w:bookmarkEnd w:id="120"/>
      <w:bookmarkEnd w:id="121"/>
      <w:bookmarkEnd w:id="122"/>
    </w:p>
    <w:p w14:paraId="7CBA5610" w14:textId="77777777" w:rsidR="00D979A3" w:rsidRPr="00D979A3" w:rsidRDefault="00D979A3" w:rsidP="00D979A3">
      <w:pPr>
        <w:widowControl w:val="0"/>
        <w:shd w:val="clear" w:color="auto" w:fill="FFFFFF"/>
        <w:rPr>
          <w:rFonts w:cs="Segoe UI"/>
          <w:szCs w:val="23"/>
        </w:rPr>
      </w:pPr>
      <w:bookmarkStart w:id="123" w:name="_Hlk158281366"/>
      <w:bookmarkStart w:id="124" w:name="_Toc66103152"/>
      <w:bookmarkStart w:id="125" w:name="_Toc66178305"/>
      <w:bookmarkStart w:id="126" w:name="_Hlk65754010"/>
      <w:r w:rsidRPr="00D979A3">
        <w:rPr>
          <w:rFonts w:cs="Segoe UI"/>
          <w:szCs w:val="23"/>
        </w:rPr>
        <w:t>Prema članku 144. Zakona o upravnim sporovima („Narodne novine“, broj 36/24) troškove spora čine opravdani izdaci učinjeni tijekom ili u povodu spora. Troškovi spora obuhvaćaju i nagradu za rad odvjetnika i drugih osoba koje imaju pravo na zakonom propisanu naknadu.</w:t>
      </w:r>
    </w:p>
    <w:p w14:paraId="1384A1C5" w14:textId="77777777" w:rsidR="00D979A3" w:rsidRPr="00D979A3" w:rsidRDefault="00D979A3" w:rsidP="00D979A3">
      <w:pPr>
        <w:widowControl w:val="0"/>
        <w:shd w:val="clear" w:color="auto" w:fill="FFFFFF"/>
        <w:rPr>
          <w:rFonts w:cs="Segoe UI"/>
          <w:szCs w:val="23"/>
        </w:rPr>
      </w:pPr>
      <w:r w:rsidRPr="00D979A3">
        <w:rPr>
          <w:rFonts w:cs="Segoe UI"/>
          <w:szCs w:val="23"/>
        </w:rPr>
        <w:t>Sukladno članku 147. Zakona o upravnim sporovima propisano je da stranka koja izgubi spor u cijelosti snosi sve troškove spora, ako zakonom nije drukčije propisano. Ako stranka djelomično uspije u sporu, sud može, s obzirom na postignuti uspjeh, odrediti da svaka stranka snosi svoje troškove ili da se troškovi raspodijele razmjerno uspjehu u sporu. Sud može odlučiti da jedna stranka nadoknadi sve troškove koje je protivna stranka imala ako protivna stranka nije uspjela samo u razmjerno neznatnom dijelu svog zahtjeva, a zbog tog dijela nisu nastali posebni troškovi. Stranka je dužna neovisno o ishodu spora nadoknaditi protivnoj stranki troškove koje je uzrokovala svojom krivnjom ili slučajem koji se njoj dogodio. Stranka koja je povukla tužbu, žalbu ili drugi prijedlog koji je prouzročio troškove drugim strankama snosi troškove i tim strankama. Ako je spor obustavljen nakon što je tuženik postupio po tužbenom zahtjevu, tužitelj ima pravo na naknadu troškova spora.</w:t>
      </w:r>
    </w:p>
    <w:p w14:paraId="623EC314" w14:textId="736BD98A" w:rsidR="00D979A3" w:rsidRPr="00D979A3" w:rsidRDefault="00D979A3" w:rsidP="00D979A3">
      <w:pPr>
        <w:widowControl w:val="0"/>
        <w:shd w:val="clear" w:color="auto" w:fill="FFFFFF"/>
        <w:rPr>
          <w:rFonts w:cs="Segoe UI"/>
          <w:szCs w:val="23"/>
        </w:rPr>
      </w:pPr>
      <w:r w:rsidRPr="00D979A3">
        <w:rPr>
          <w:rFonts w:cs="Segoe UI"/>
          <w:szCs w:val="23"/>
        </w:rPr>
        <w:t xml:space="preserve">Prema podacima iz odluka Visokog upravnog suda RH u 2025., proizlazi da je samo u jednom </w:t>
      </w:r>
      <w:r w:rsidRPr="00D979A3">
        <w:rPr>
          <w:rFonts w:cs="Segoe UI"/>
          <w:szCs w:val="23"/>
        </w:rPr>
        <w:lastRenderedPageBreak/>
        <w:t xml:space="preserve">predmetu pokrenutom protiv rješenja Povjerenika naloženo Povjereniku da tužitelju naknadi trošak upravnog spora u iznosu od 415 EUR, a riječ je o </w:t>
      </w:r>
      <w:r w:rsidR="005F0EC0">
        <w:rPr>
          <w:rFonts w:cs="Segoe UI"/>
          <w:szCs w:val="23"/>
        </w:rPr>
        <w:t xml:space="preserve">prethodno opisanom </w:t>
      </w:r>
      <w:r w:rsidRPr="00D979A3">
        <w:rPr>
          <w:rFonts w:cs="Segoe UI"/>
          <w:szCs w:val="23"/>
        </w:rPr>
        <w:t>predmetu koji se vodio po tužbi Hrvatskog ureda za osiguranje.</w:t>
      </w:r>
    </w:p>
    <w:p w14:paraId="1CCEBF2B" w14:textId="77777777" w:rsidR="00D979A3" w:rsidRPr="00D979A3" w:rsidRDefault="00D979A3" w:rsidP="00D979A3">
      <w:pPr>
        <w:widowControl w:val="0"/>
        <w:shd w:val="clear" w:color="auto" w:fill="FFFFFF"/>
        <w:rPr>
          <w:rFonts w:cs="Segoe UI"/>
          <w:szCs w:val="23"/>
        </w:rPr>
      </w:pPr>
      <w:r w:rsidRPr="00D979A3">
        <w:rPr>
          <w:rFonts w:cs="Segoe UI"/>
          <w:szCs w:val="23"/>
        </w:rPr>
        <w:t xml:space="preserve">U odnosu na sporove radi šutnje uprave, Povjerenik je zaprimio dvije odluke u kojima je naložena naknada troškova upravnog spora tužitelju; u prvom Povjereniku je naloženo rješavanje žalbe te je određen trošak upravnog spora u iznosu od 1.250 EUR, a u drugom je obustavljen spor te je određen trošak u iznosu od 1.250 EUR za tužitelja. </w:t>
      </w:r>
    </w:p>
    <w:p w14:paraId="4288937C" w14:textId="5A7AA28D" w:rsidR="00D979A3" w:rsidRPr="00D979A3" w:rsidRDefault="00D979A3" w:rsidP="00D979A3">
      <w:pPr>
        <w:widowControl w:val="0"/>
        <w:shd w:val="clear" w:color="auto" w:fill="FFFFFF"/>
        <w:rPr>
          <w:rFonts w:cs="Segoe UI"/>
          <w:szCs w:val="23"/>
        </w:rPr>
      </w:pPr>
      <w:r w:rsidRPr="00D979A3">
        <w:rPr>
          <w:rFonts w:cs="Segoe UI"/>
          <w:szCs w:val="23"/>
        </w:rPr>
        <w:t>Imajući na umu da korisnici pri podnošenju zahtjeva nisu dužni navoditi razloge podnošenja zahtjeva sukladno članku 18. stavku 4. ZPPI-ja, da se ne plaćaju upravne i sudske pristojbe u postupcima ostvarivanja prava na pristup informacijama, te veliki broj žalbi koji Povjerenik godišnje ima u radu (preko 1.000), postoji realna mogućnost podnošenja velikog broja žalbi koje Povjerenik neće moći pravovremeno riješiti, a time i troškova za državni proračun.</w:t>
      </w:r>
    </w:p>
    <w:p w14:paraId="0C8EE51A" w14:textId="77777777" w:rsidR="00D979A3" w:rsidRPr="00D979A3" w:rsidRDefault="00D979A3" w:rsidP="00D979A3">
      <w:pPr>
        <w:widowControl w:val="0"/>
        <w:shd w:val="clear" w:color="auto" w:fill="FFFFFF"/>
        <w:rPr>
          <w:rFonts w:cs="Segoe UI"/>
          <w:szCs w:val="23"/>
        </w:rPr>
      </w:pPr>
      <w:r w:rsidRPr="00D979A3">
        <w:rPr>
          <w:rFonts w:cs="Segoe UI"/>
          <w:szCs w:val="23"/>
        </w:rPr>
        <w:t xml:space="preserve">To najbolje potvrđuje činjenica da se u 2025. povećao broj tužbi radi šutnje Povjerenika (s 14 u 2024. na 42 u 2025., odnosno 200%), i to na način da više korisnika podnosi žalbe prvostupanjskim tijelima tražeći u bitnom istovrsne informacije, a u upravnom sporu angažiraju odvjetnika te traže trošak upravnog spora u iznosu od 1.250 EUR (1.000 EUR+PDV 25%), pri čemu u pravilu nisu zainteresirani za odluku Povjerenika jer u takvim sporovima obično ne proširuju tužbeni zahtjev na odluku Povjerenika koja je naknadno donesena. </w:t>
      </w:r>
    </w:p>
    <w:p w14:paraId="60F7BCE2" w14:textId="77777777" w:rsidR="00D979A3" w:rsidRPr="00D979A3" w:rsidRDefault="00D979A3" w:rsidP="00D979A3">
      <w:pPr>
        <w:widowControl w:val="0"/>
        <w:shd w:val="clear" w:color="auto" w:fill="FFFFFF"/>
        <w:rPr>
          <w:rFonts w:cs="Segoe UI"/>
          <w:szCs w:val="23"/>
        </w:rPr>
      </w:pPr>
      <w:r w:rsidRPr="00D979A3">
        <w:rPr>
          <w:rFonts w:cs="Segoe UI"/>
          <w:szCs w:val="23"/>
        </w:rPr>
        <w:t>Naime, tarifni broj 27. točka 1. alineja 2. Tarife o nagradama i naknadi troškova za rad odvjetnika ne pravi razliku između upravnih sporova protiv rješenja i upravnih sporova radi šutnje uprave, već samo propisuje da odvjetniku u neprocjenjivim predmetima pripada nagrada od 500 bodova, odnosno 1.000 EUR za sastavljanje tužbe, pri čemu se ukazuje na činjenicu da je presudom Visokog upravnog suda RH, poslovni broj Usoz-55/24 (Usoz-60/24, Usoz-84/24 i Usoz-87/25) od 18. srpnja 2025.  odbijen zahtjev za ocjenu zakonitosti tarifnog broja 27. točke 1. alineje 2. Tarife o nagradama i naknadi troškova za rad odvjetnika.</w:t>
      </w:r>
    </w:p>
    <w:p w14:paraId="1B160AE9" w14:textId="77777777" w:rsidR="00D979A3" w:rsidRPr="00D979A3" w:rsidRDefault="00D979A3" w:rsidP="00D979A3">
      <w:pPr>
        <w:widowControl w:val="0"/>
        <w:shd w:val="clear" w:color="auto" w:fill="FFFFFF"/>
        <w:rPr>
          <w:rFonts w:cs="Segoe UI"/>
          <w:szCs w:val="23"/>
        </w:rPr>
      </w:pPr>
      <w:r w:rsidRPr="00D979A3">
        <w:rPr>
          <w:rFonts w:cs="Segoe UI"/>
          <w:szCs w:val="23"/>
        </w:rPr>
        <w:t>Sve navedene okolnosti upućuju na mogućnost financijskog opterećenja za državni proračun, posebno imajući u vidu da postojeći Zakon o upravnim sporovima ne radi razliku između obustave upravnog spora (kad je Povjerenik naknadno donio odluku u žalbi) i nalaganja Povjereniku da donese odluku o žalbi korisnika, odnosno u oba slučaja tužitelju pripada pravo na naknadu troškova upravnog spora, pri čemu Povjerenik ne može utjecati na broj podnesenih žalbi.</w:t>
      </w:r>
    </w:p>
    <w:p w14:paraId="1A122035" w14:textId="344077AF" w:rsidR="007B60B6" w:rsidRDefault="00D979A3" w:rsidP="00D979A3">
      <w:pPr>
        <w:widowControl w:val="0"/>
        <w:shd w:val="clear" w:color="auto" w:fill="FFFFFF"/>
        <w:rPr>
          <w:rFonts w:cs="Segoe UI"/>
          <w:szCs w:val="23"/>
        </w:rPr>
      </w:pPr>
      <w:r w:rsidRPr="00D979A3">
        <w:rPr>
          <w:rFonts w:cs="Segoe UI"/>
          <w:szCs w:val="23"/>
        </w:rPr>
        <w:t xml:space="preserve">Pri tome treba imati u vidu i </w:t>
      </w:r>
      <w:r w:rsidR="00440D6E">
        <w:rPr>
          <w:rFonts w:cs="Segoe UI"/>
          <w:szCs w:val="23"/>
        </w:rPr>
        <w:t xml:space="preserve">ranije opisanu, </w:t>
      </w:r>
      <w:r w:rsidRPr="00D979A3">
        <w:rPr>
          <w:rFonts w:cs="Segoe UI"/>
          <w:szCs w:val="23"/>
        </w:rPr>
        <w:t>neujednačenu praksu Visokog upravnog suda RH</w:t>
      </w:r>
      <w:r w:rsidR="00440D6E">
        <w:rPr>
          <w:rFonts w:cs="Segoe UI"/>
          <w:szCs w:val="23"/>
        </w:rPr>
        <w:t>, a</w:t>
      </w:r>
      <w:r w:rsidRPr="00D979A3">
        <w:rPr>
          <w:rFonts w:cs="Segoe UI"/>
          <w:szCs w:val="23"/>
        </w:rPr>
        <w:t xml:space="preserve"> koja može dovesti do toga da Povjerenik snosi troškove upravnog spora povodom tužbi radi šutnje uprave, iako ne postoji propust Povjerenika koji bez spisa predmeta ne može donijeti odluku o žalbi korisnika.</w:t>
      </w:r>
    </w:p>
    <w:p w14:paraId="4DAFF4CF" w14:textId="0627A337" w:rsidR="004322BD" w:rsidRPr="00793AB3" w:rsidRDefault="004322BD" w:rsidP="00811052">
      <w:pPr>
        <w:pStyle w:val="Naslov2"/>
        <w:ind w:left="1276" w:hanging="567"/>
      </w:pPr>
      <w:bookmarkStart w:id="127" w:name="_Toc225865600"/>
      <w:r w:rsidRPr="7D481D26">
        <w:t xml:space="preserve">Postupci pred Vrhovnim </w:t>
      </w:r>
      <w:r w:rsidR="000A0993" w:rsidRPr="7D481D26">
        <w:t>sudom Republike Hrvatske</w:t>
      </w:r>
      <w:bookmarkEnd w:id="127"/>
    </w:p>
    <w:bookmarkEnd w:id="123"/>
    <w:p w14:paraId="44830DCB" w14:textId="19C88FF3" w:rsidR="00793AB3" w:rsidRPr="00793AB3" w:rsidRDefault="00793AB3" w:rsidP="00793AB3">
      <w:pPr>
        <w:widowControl w:val="0"/>
        <w:shd w:val="clear" w:color="auto" w:fill="FFFFFF"/>
        <w:rPr>
          <w:szCs w:val="23"/>
        </w:rPr>
      </w:pPr>
      <w:r w:rsidRPr="00793AB3">
        <w:rPr>
          <w:szCs w:val="23"/>
        </w:rPr>
        <w:t xml:space="preserve">Povjerenik je u 2025. podnio jedan prijedlog Državnom odvjetništvu RH za izvanredno preispitivanje zakonitosti pravomoćne presude Visokog upravnog suda RH, </w:t>
      </w:r>
      <w:r w:rsidR="005D0F6D">
        <w:rPr>
          <w:szCs w:val="23"/>
        </w:rPr>
        <w:t>p</w:t>
      </w:r>
      <w:r w:rsidRPr="00793AB3">
        <w:rPr>
          <w:szCs w:val="23"/>
        </w:rPr>
        <w:t xml:space="preserve">oslovni broj: UsII-196/24 od 13. veljače 2025. Navedenom presudom Visokog upravnog suda RH poništeno je </w:t>
      </w:r>
      <w:r w:rsidRPr="00793AB3">
        <w:rPr>
          <w:szCs w:val="23"/>
        </w:rPr>
        <w:lastRenderedPageBreak/>
        <w:t xml:space="preserve">rješenje Povjerenika i prvostupanjskog tijela Katoličkog bogoslovnog fakulteta u Splitu te je predmet vraćen na ponovni postupak jer je prvostupanjsko rješenje donio dekan, a ne službenik za informiranje toga tijela. Povjerenik je podnio prijedlog smatrajući da se čelniku tijela ili osobi koja tijelo zastupa i predstavlja – odgovornoj osobi, ne može oduzeti ovlast donošenja rješenja u postupku ostvarivanja prava na pristup informacijama, neovisno o tome što tijelo javne vlasti ima određenog službenika za informiranje. Državno odvjetništvo RH je odbilo navedeni prijedlog uz obrazloženje da prihvaća obrazloženje presude Visokog upravnog suda RH, </w:t>
      </w:r>
      <w:r w:rsidR="005D0F6D">
        <w:rPr>
          <w:szCs w:val="23"/>
        </w:rPr>
        <w:t>p</w:t>
      </w:r>
      <w:r w:rsidRPr="00793AB3">
        <w:rPr>
          <w:szCs w:val="23"/>
        </w:rPr>
        <w:t>oslovni broj: UsII-196/24 od 13. veljače 2025.</w:t>
      </w:r>
    </w:p>
    <w:p w14:paraId="06C99779" w14:textId="077CA116" w:rsidR="00E60716" w:rsidRPr="00F0315E" w:rsidRDefault="00793AB3" w:rsidP="00793AB3">
      <w:pPr>
        <w:widowControl w:val="0"/>
        <w:shd w:val="clear" w:color="auto" w:fill="FFFFFF"/>
        <w:rPr>
          <w:rFonts w:cs="Arial"/>
        </w:rPr>
      </w:pPr>
      <w:r w:rsidRPr="00793AB3">
        <w:rPr>
          <w:szCs w:val="23"/>
        </w:rPr>
        <w:t xml:space="preserve">Povjerenik je dostavio odgovor Vrhovnom sudu RH na zaprimljeni zahtjev Državnog odvjetništva RH za izvanrednim preispitivanjem zakonitosti pravomoćne presude Visokog upravnog suda RH, </w:t>
      </w:r>
      <w:r w:rsidR="005D0F6D">
        <w:rPr>
          <w:szCs w:val="23"/>
        </w:rPr>
        <w:t>p</w:t>
      </w:r>
      <w:r w:rsidRPr="00793AB3">
        <w:rPr>
          <w:szCs w:val="23"/>
        </w:rPr>
        <w:t xml:space="preserve">oslovni broj: UsII-234/23 od 18. prosinca 2024. Navedenom presudom odbijen je tužbeni zahtjev Hrvatske odvjetničke komore za poništenje rješenja Povjerenika KLASA: UP/II-008-07/22-01/1122, URBROJ: 401-01/04-23-8 od 30. listopada 2023., kojim je djelomično poništeno rješenje Hrvatske odvjetničke komore broj: 5096-2020-7 od 28. srpnja 2022. i djelomično omogućen pristup informacijama o imenima i prezimenima zaposlenih u Hrvatskoj odvjetničkoj komori te ostvarenim bruto plaćama u 2019. </w:t>
      </w:r>
      <w:r w:rsidR="007B60B6" w:rsidRPr="0075748C">
        <w:rPr>
          <w:rFonts w:cs="Segoe UI"/>
          <w:color w:val="000000"/>
          <w:szCs w:val="23"/>
        </w:rPr>
        <w:t>Postupak pred Vrhovnim sudom RH je u tijeku.</w:t>
      </w:r>
    </w:p>
    <w:p w14:paraId="7F276383" w14:textId="2D340233" w:rsidR="004322BD" w:rsidRPr="00F0315E" w:rsidRDefault="004322BD" w:rsidP="00811052">
      <w:pPr>
        <w:pStyle w:val="Naslov2"/>
        <w:ind w:left="1276" w:hanging="567"/>
      </w:pPr>
      <w:bookmarkStart w:id="128" w:name="_Toc225865601"/>
      <w:r w:rsidRPr="7D481D26">
        <w:t>Postupci pred Ustavnim sudom R</w:t>
      </w:r>
      <w:r w:rsidR="005275C8" w:rsidRPr="7D481D26">
        <w:t xml:space="preserve">epublike </w:t>
      </w:r>
      <w:r w:rsidRPr="7D481D26">
        <w:t>H</w:t>
      </w:r>
      <w:r w:rsidR="005275C8" w:rsidRPr="7D481D26">
        <w:t>rvatske</w:t>
      </w:r>
      <w:bookmarkEnd w:id="128"/>
    </w:p>
    <w:p w14:paraId="7B6DE5E1" w14:textId="77777777" w:rsidR="007B60B6" w:rsidRDefault="007B60B6" w:rsidP="009032D7">
      <w:pPr>
        <w:pStyle w:val="Naslov3"/>
        <w:ind w:left="1985"/>
      </w:pPr>
      <w:bookmarkStart w:id="129" w:name="_Toc225511711"/>
      <w:bookmarkStart w:id="130" w:name="_Toc225865602"/>
      <w:bookmarkEnd w:id="124"/>
      <w:bookmarkEnd w:id="125"/>
      <w:bookmarkEnd w:id="126"/>
      <w:r>
        <w:t>Ustavne tužbe</w:t>
      </w:r>
      <w:bookmarkEnd w:id="129"/>
      <w:bookmarkEnd w:id="130"/>
      <w:r>
        <w:t xml:space="preserve"> </w:t>
      </w:r>
    </w:p>
    <w:p w14:paraId="4218DCF4" w14:textId="77777777" w:rsidR="007B60B6" w:rsidRPr="00B9144E" w:rsidRDefault="007B60B6" w:rsidP="007B60B6">
      <w:pPr>
        <w:widowControl w:val="0"/>
        <w:shd w:val="clear" w:color="auto" w:fill="FFFFFF"/>
        <w:rPr>
          <w:rFonts w:cs="Segoe UI"/>
          <w:szCs w:val="23"/>
        </w:rPr>
      </w:pPr>
      <w:r w:rsidRPr="00B9144E">
        <w:rPr>
          <w:rFonts w:cs="Segoe UI"/>
          <w:szCs w:val="23"/>
        </w:rPr>
        <w:t>Prema podacima koje je Povjerenik zaprimio od Ustavnog suda RH, Ustavni sud RH je tijekom 202</w:t>
      </w:r>
      <w:r>
        <w:rPr>
          <w:rFonts w:cs="Segoe UI"/>
          <w:szCs w:val="23"/>
        </w:rPr>
        <w:t>5</w:t>
      </w:r>
      <w:r w:rsidRPr="00B9144E">
        <w:rPr>
          <w:rFonts w:cs="Segoe UI"/>
          <w:szCs w:val="23"/>
        </w:rPr>
        <w:t xml:space="preserve">. zaprimio </w:t>
      </w:r>
      <w:r w:rsidRPr="007B60B6">
        <w:rPr>
          <w:rFonts w:cs="Segoe UI"/>
          <w:szCs w:val="23"/>
        </w:rPr>
        <w:t>12</w:t>
      </w:r>
      <w:r w:rsidRPr="00B9144E">
        <w:rPr>
          <w:rFonts w:cs="Segoe UI"/>
          <w:szCs w:val="23"/>
        </w:rPr>
        <w:t xml:space="preserve"> ustavn</w:t>
      </w:r>
      <w:r>
        <w:rPr>
          <w:rFonts w:cs="Segoe UI"/>
          <w:szCs w:val="23"/>
        </w:rPr>
        <w:t>ih</w:t>
      </w:r>
      <w:r w:rsidRPr="00B9144E">
        <w:rPr>
          <w:rFonts w:cs="Segoe UI"/>
          <w:szCs w:val="23"/>
        </w:rPr>
        <w:t xml:space="preserve"> tužb</w:t>
      </w:r>
      <w:r>
        <w:rPr>
          <w:rFonts w:cs="Segoe UI"/>
          <w:szCs w:val="23"/>
        </w:rPr>
        <w:t>i</w:t>
      </w:r>
      <w:r w:rsidRPr="00B9144E">
        <w:rPr>
          <w:rFonts w:cs="Segoe UI"/>
          <w:szCs w:val="23"/>
        </w:rPr>
        <w:t xml:space="preserve"> </w:t>
      </w:r>
      <w:r>
        <w:rPr>
          <w:rFonts w:cs="Segoe UI"/>
          <w:szCs w:val="23"/>
        </w:rPr>
        <w:t>vezano uz</w:t>
      </w:r>
      <w:r w:rsidRPr="00B9144E">
        <w:rPr>
          <w:rFonts w:cs="Segoe UI"/>
          <w:szCs w:val="23"/>
        </w:rPr>
        <w:t xml:space="preserve"> zaštit</w:t>
      </w:r>
      <w:r>
        <w:rPr>
          <w:rFonts w:cs="Segoe UI"/>
          <w:szCs w:val="23"/>
        </w:rPr>
        <w:t>u</w:t>
      </w:r>
      <w:r w:rsidRPr="00B9144E">
        <w:rPr>
          <w:rFonts w:cs="Segoe UI"/>
          <w:szCs w:val="23"/>
        </w:rPr>
        <w:t xml:space="preserve"> ustavnog prava građana na pristup informacijama</w:t>
      </w:r>
      <w:r>
        <w:rPr>
          <w:rFonts w:cs="Segoe UI"/>
          <w:szCs w:val="23"/>
        </w:rPr>
        <w:t xml:space="preserve"> odnosno ustavnih tužbi podnesenih u povodu odluke donesene po ZPPI-ju,</w:t>
      </w:r>
      <w:r w:rsidRPr="00B9144E">
        <w:rPr>
          <w:rFonts w:cs="Segoe UI"/>
          <w:szCs w:val="23"/>
        </w:rPr>
        <w:t xml:space="preserve"> po kojima je donio odluk</w:t>
      </w:r>
      <w:r>
        <w:rPr>
          <w:rFonts w:cs="Segoe UI"/>
          <w:szCs w:val="23"/>
        </w:rPr>
        <w:t>u</w:t>
      </w:r>
      <w:r w:rsidRPr="00B9144E">
        <w:rPr>
          <w:rFonts w:cs="Segoe UI"/>
          <w:szCs w:val="23"/>
        </w:rPr>
        <w:t xml:space="preserve"> u </w:t>
      </w:r>
      <w:r>
        <w:rPr>
          <w:rFonts w:cs="Segoe UI"/>
          <w:szCs w:val="23"/>
        </w:rPr>
        <w:t>1</w:t>
      </w:r>
      <w:r w:rsidRPr="00B9144E">
        <w:rPr>
          <w:rFonts w:cs="Segoe UI"/>
          <w:szCs w:val="23"/>
        </w:rPr>
        <w:t xml:space="preserve"> predmet</w:t>
      </w:r>
      <w:r>
        <w:rPr>
          <w:rFonts w:cs="Segoe UI"/>
          <w:szCs w:val="23"/>
        </w:rPr>
        <w:t>u u kojem je ustavna tužba odbačena</w:t>
      </w:r>
      <w:r w:rsidRPr="00B9144E">
        <w:rPr>
          <w:rFonts w:cs="Segoe UI"/>
          <w:szCs w:val="23"/>
        </w:rPr>
        <w:t xml:space="preserve">, dok u </w:t>
      </w:r>
      <w:r>
        <w:rPr>
          <w:rFonts w:cs="Segoe UI"/>
          <w:szCs w:val="23"/>
        </w:rPr>
        <w:t>11</w:t>
      </w:r>
      <w:r w:rsidRPr="00B9144E">
        <w:rPr>
          <w:rFonts w:cs="Segoe UI"/>
          <w:szCs w:val="23"/>
        </w:rPr>
        <w:t xml:space="preserve"> predmeta postupak nije bio dovršen u </w:t>
      </w:r>
      <w:r>
        <w:rPr>
          <w:rFonts w:cs="Segoe UI"/>
          <w:szCs w:val="23"/>
        </w:rPr>
        <w:t>2025.</w:t>
      </w:r>
    </w:p>
    <w:p w14:paraId="4EE14BFD" w14:textId="77777777" w:rsidR="007B60B6" w:rsidRPr="00733CEF" w:rsidRDefault="007B60B6" w:rsidP="009032D7">
      <w:pPr>
        <w:pStyle w:val="Naslov3"/>
        <w:ind w:left="1985"/>
      </w:pPr>
      <w:bookmarkStart w:id="131" w:name="_Toc225511712"/>
      <w:bookmarkStart w:id="132" w:name="_Toc225865603"/>
      <w:r>
        <w:t>Zaprimljene odluke</w:t>
      </w:r>
      <w:bookmarkEnd w:id="131"/>
      <w:bookmarkEnd w:id="132"/>
    </w:p>
    <w:p w14:paraId="342D1076" w14:textId="77777777" w:rsidR="007B60B6" w:rsidRDefault="007B60B6" w:rsidP="007B60B6">
      <w:pPr>
        <w:widowControl w:val="0"/>
        <w:shd w:val="clear" w:color="auto" w:fill="FFFFFF"/>
        <w:rPr>
          <w:rFonts w:cs="Segoe UI"/>
          <w:color w:val="000000"/>
          <w:szCs w:val="23"/>
        </w:rPr>
      </w:pPr>
      <w:r>
        <w:rPr>
          <w:rFonts w:cs="Segoe UI"/>
          <w:color w:val="000000"/>
          <w:szCs w:val="23"/>
        </w:rPr>
        <w:t xml:space="preserve">U 2025. Povjerenik je zaprimio dva rješenja Ustavnog suda RH i to: rješenje Broj: U-III-1243/25 od 29. svibnja 2025. kojim je </w:t>
      </w:r>
      <w:r>
        <w:t>p</w:t>
      </w:r>
      <w:r w:rsidRPr="008714AB">
        <w:rPr>
          <w:rFonts w:cs="Segoe UI"/>
          <w:color w:val="000000"/>
          <w:szCs w:val="23"/>
        </w:rPr>
        <w:t>rivremeno odg</w:t>
      </w:r>
      <w:r>
        <w:rPr>
          <w:rFonts w:cs="Segoe UI"/>
          <w:color w:val="000000"/>
          <w:szCs w:val="23"/>
        </w:rPr>
        <w:t>o</w:t>
      </w:r>
      <w:r w:rsidRPr="008714AB">
        <w:rPr>
          <w:rFonts w:cs="Segoe UI"/>
          <w:color w:val="000000"/>
          <w:szCs w:val="23"/>
        </w:rPr>
        <w:t>đ</w:t>
      </w:r>
      <w:r>
        <w:rPr>
          <w:rFonts w:cs="Segoe UI"/>
          <w:color w:val="000000"/>
          <w:szCs w:val="23"/>
        </w:rPr>
        <w:t>eno</w:t>
      </w:r>
      <w:r w:rsidRPr="008714AB">
        <w:rPr>
          <w:rFonts w:cs="Segoe UI"/>
          <w:color w:val="000000"/>
          <w:szCs w:val="23"/>
        </w:rPr>
        <w:t xml:space="preserve"> izvršenje rješenja Povjerenika KLASA: UP/II-008-07/22-01/1499, URBROJ: 401-01/04-23-8 od 30. listopada 2023. </w:t>
      </w:r>
      <w:r>
        <w:rPr>
          <w:rFonts w:cs="Segoe UI"/>
          <w:color w:val="000000"/>
          <w:szCs w:val="23"/>
        </w:rPr>
        <w:t xml:space="preserve">te rješenje Broj: U-III-945/25 od 29. svibnja 2025. kojim je </w:t>
      </w:r>
      <w:r>
        <w:t>p</w:t>
      </w:r>
      <w:r w:rsidRPr="008714AB">
        <w:rPr>
          <w:rFonts w:cs="Segoe UI"/>
          <w:color w:val="000000"/>
          <w:szCs w:val="23"/>
        </w:rPr>
        <w:t>rivremeno odg</w:t>
      </w:r>
      <w:r>
        <w:rPr>
          <w:rFonts w:cs="Segoe UI"/>
          <w:color w:val="000000"/>
          <w:szCs w:val="23"/>
        </w:rPr>
        <w:t>o</w:t>
      </w:r>
      <w:r w:rsidRPr="008714AB">
        <w:rPr>
          <w:rFonts w:cs="Segoe UI"/>
          <w:color w:val="000000"/>
          <w:szCs w:val="23"/>
        </w:rPr>
        <w:t>đ</w:t>
      </w:r>
      <w:r>
        <w:rPr>
          <w:rFonts w:cs="Segoe UI"/>
          <w:color w:val="000000"/>
          <w:szCs w:val="23"/>
        </w:rPr>
        <w:t>eno</w:t>
      </w:r>
      <w:r w:rsidRPr="008714AB">
        <w:rPr>
          <w:rFonts w:cs="Segoe UI"/>
          <w:color w:val="000000"/>
          <w:szCs w:val="23"/>
        </w:rPr>
        <w:t xml:space="preserve"> izvršenje rješenja Povjerenika KLASA: UP/II-008-07/22-01/1</w:t>
      </w:r>
      <w:r>
        <w:rPr>
          <w:rFonts w:cs="Segoe UI"/>
          <w:color w:val="000000"/>
          <w:szCs w:val="23"/>
        </w:rPr>
        <w:t>122</w:t>
      </w:r>
      <w:r w:rsidRPr="008714AB">
        <w:rPr>
          <w:rFonts w:cs="Segoe UI"/>
          <w:color w:val="000000"/>
          <w:szCs w:val="23"/>
        </w:rPr>
        <w:t>, URBROJ: 401-01/04-23-8 od 30. listopada 2023.</w:t>
      </w:r>
      <w:r>
        <w:rPr>
          <w:rFonts w:cs="Segoe UI"/>
          <w:color w:val="000000"/>
          <w:szCs w:val="23"/>
        </w:rPr>
        <w:t>, oba</w:t>
      </w:r>
      <w:r w:rsidRPr="008714AB">
        <w:rPr>
          <w:rFonts w:cs="Segoe UI"/>
          <w:color w:val="000000"/>
          <w:szCs w:val="23"/>
        </w:rPr>
        <w:t xml:space="preserve"> do okončanja postup</w:t>
      </w:r>
      <w:r>
        <w:rPr>
          <w:rFonts w:cs="Segoe UI"/>
          <w:color w:val="000000"/>
          <w:szCs w:val="23"/>
        </w:rPr>
        <w:t>a</w:t>
      </w:r>
      <w:r w:rsidRPr="008714AB">
        <w:rPr>
          <w:rFonts w:cs="Segoe UI"/>
          <w:color w:val="000000"/>
          <w:szCs w:val="23"/>
        </w:rPr>
        <w:t>ka pred Ustavnim sudom R</w:t>
      </w:r>
      <w:r>
        <w:rPr>
          <w:rFonts w:cs="Segoe UI"/>
          <w:color w:val="000000"/>
          <w:szCs w:val="23"/>
        </w:rPr>
        <w:t xml:space="preserve">H. </w:t>
      </w:r>
    </w:p>
    <w:p w14:paraId="3FDD59C1" w14:textId="77777777" w:rsidR="007B60B6" w:rsidRDefault="007B60B6" w:rsidP="007B60B6">
      <w:pPr>
        <w:widowControl w:val="0"/>
        <w:shd w:val="clear" w:color="auto" w:fill="FFFFFF"/>
        <w:rPr>
          <w:rFonts w:cs="Segoe UI"/>
          <w:color w:val="000000"/>
          <w:szCs w:val="23"/>
        </w:rPr>
      </w:pPr>
      <w:r>
        <w:rPr>
          <w:rFonts w:cs="Segoe UI"/>
          <w:color w:val="000000"/>
          <w:szCs w:val="23"/>
        </w:rPr>
        <w:t>Hrvatska odvjetnička komora</w:t>
      </w:r>
      <w:r w:rsidRPr="007B59E3">
        <w:t xml:space="preserve"> </w:t>
      </w:r>
      <w:r>
        <w:rPr>
          <w:rFonts w:cs="Segoe UI"/>
          <w:color w:val="000000"/>
          <w:szCs w:val="23"/>
        </w:rPr>
        <w:t xml:space="preserve">podnijela je ustavnu tužbu </w:t>
      </w:r>
      <w:r w:rsidRPr="007B59E3">
        <w:rPr>
          <w:rFonts w:cs="Segoe UI"/>
          <w:color w:val="000000"/>
          <w:szCs w:val="23"/>
        </w:rPr>
        <w:t>u povodu presude i rješenja Visokog upravnog suda R</w:t>
      </w:r>
      <w:r>
        <w:rPr>
          <w:rFonts w:cs="Segoe UI"/>
          <w:color w:val="000000"/>
          <w:szCs w:val="23"/>
        </w:rPr>
        <w:t>H, Poslovni</w:t>
      </w:r>
      <w:r w:rsidRPr="007B59E3">
        <w:rPr>
          <w:rFonts w:cs="Segoe UI"/>
          <w:color w:val="000000"/>
          <w:szCs w:val="23"/>
        </w:rPr>
        <w:t xml:space="preserve"> broj: UsII-233/2023-8 od 18. prosinca 2024. kojom je odbijen tužbeni zahtjev </w:t>
      </w:r>
      <w:r>
        <w:rPr>
          <w:rFonts w:cs="Segoe UI"/>
          <w:color w:val="000000"/>
          <w:szCs w:val="23"/>
        </w:rPr>
        <w:t>Hrvatske odvjetničke komore</w:t>
      </w:r>
      <w:r w:rsidRPr="007B59E3">
        <w:rPr>
          <w:rFonts w:cs="Segoe UI"/>
          <w:color w:val="000000"/>
          <w:szCs w:val="23"/>
        </w:rPr>
        <w:t xml:space="preserve"> za poništenjem rješenja tuženika Povjerenika KLASA: UP/II-008-07/22-01/1499, URBROJ: 401-01/04-23-8 od 30. listopada 2023.</w:t>
      </w:r>
      <w:r w:rsidRPr="00800E28">
        <w:t xml:space="preserve"> </w:t>
      </w:r>
      <w:r w:rsidRPr="00800E28">
        <w:rPr>
          <w:rFonts w:cs="Segoe UI"/>
          <w:color w:val="000000"/>
          <w:szCs w:val="23"/>
        </w:rPr>
        <w:t xml:space="preserve">kojim je poništeno rješenje </w:t>
      </w:r>
      <w:r>
        <w:rPr>
          <w:rFonts w:cs="Segoe UI"/>
          <w:color w:val="000000"/>
          <w:szCs w:val="23"/>
        </w:rPr>
        <w:t>Hrvatske odvjetničke komore</w:t>
      </w:r>
      <w:r w:rsidRPr="00800E28">
        <w:rPr>
          <w:rFonts w:cs="Segoe UI"/>
          <w:color w:val="000000"/>
          <w:szCs w:val="23"/>
        </w:rPr>
        <w:t xml:space="preserve"> broj: 6672-2020-13 od 28. listopada 2022.</w:t>
      </w:r>
      <w:r>
        <w:rPr>
          <w:rFonts w:cs="Segoe UI"/>
          <w:color w:val="000000"/>
          <w:szCs w:val="23"/>
        </w:rPr>
        <w:t xml:space="preserve"> i djelomično omogućen pristup informacijama </w:t>
      </w:r>
      <w:r w:rsidRPr="005F40BE">
        <w:rPr>
          <w:rFonts w:cs="Segoe UI"/>
          <w:color w:val="000000"/>
          <w:szCs w:val="23"/>
        </w:rPr>
        <w:t xml:space="preserve">o isplaćenim naknadama na ime autorskih honorara i ugovora o djelu te naknada putnih troškova osobama koje nisu ni zaposlenici ni </w:t>
      </w:r>
      <w:r w:rsidRPr="005F40BE">
        <w:rPr>
          <w:rFonts w:cs="Segoe UI"/>
          <w:color w:val="000000"/>
          <w:szCs w:val="23"/>
        </w:rPr>
        <w:lastRenderedPageBreak/>
        <w:t xml:space="preserve">članovi </w:t>
      </w:r>
      <w:r>
        <w:rPr>
          <w:rFonts w:cs="Segoe UI"/>
          <w:color w:val="000000"/>
          <w:szCs w:val="23"/>
        </w:rPr>
        <w:t>Hrvatske odvjetničke komore</w:t>
      </w:r>
      <w:r w:rsidRPr="005F40BE">
        <w:rPr>
          <w:rFonts w:cs="Segoe UI"/>
          <w:color w:val="000000"/>
          <w:szCs w:val="23"/>
        </w:rPr>
        <w:t>.</w:t>
      </w:r>
    </w:p>
    <w:p w14:paraId="1B4CEABB" w14:textId="26DAEBBA" w:rsidR="007B60B6" w:rsidRDefault="007B60B6" w:rsidP="007B60B6">
      <w:pPr>
        <w:widowControl w:val="0"/>
        <w:shd w:val="clear" w:color="auto" w:fill="FFFFFF"/>
        <w:rPr>
          <w:rFonts w:cs="Segoe UI"/>
          <w:color w:val="000000"/>
          <w:szCs w:val="23"/>
        </w:rPr>
      </w:pPr>
      <w:r>
        <w:rPr>
          <w:rFonts w:cs="Segoe UI"/>
          <w:color w:val="000000"/>
          <w:szCs w:val="23"/>
        </w:rPr>
        <w:t xml:space="preserve">Druga </w:t>
      </w:r>
      <w:r w:rsidRPr="00E821C0">
        <w:rPr>
          <w:rFonts w:cs="Segoe UI"/>
          <w:color w:val="000000"/>
          <w:szCs w:val="23"/>
        </w:rPr>
        <w:t>ustavn</w:t>
      </w:r>
      <w:r>
        <w:rPr>
          <w:rFonts w:cs="Segoe UI"/>
          <w:color w:val="000000"/>
          <w:szCs w:val="23"/>
        </w:rPr>
        <w:t>a</w:t>
      </w:r>
      <w:r w:rsidRPr="00E821C0">
        <w:rPr>
          <w:rFonts w:cs="Segoe UI"/>
          <w:color w:val="000000"/>
          <w:szCs w:val="23"/>
        </w:rPr>
        <w:t xml:space="preserve"> tužb</w:t>
      </w:r>
      <w:r>
        <w:rPr>
          <w:rFonts w:cs="Segoe UI"/>
          <w:color w:val="000000"/>
          <w:szCs w:val="23"/>
        </w:rPr>
        <w:t xml:space="preserve">a Hrvatske odvjetničke komore odnosi se na </w:t>
      </w:r>
      <w:r w:rsidRPr="00E821C0">
        <w:rPr>
          <w:rFonts w:cs="Segoe UI"/>
          <w:color w:val="000000"/>
          <w:szCs w:val="23"/>
        </w:rPr>
        <w:t>presud</w:t>
      </w:r>
      <w:r>
        <w:rPr>
          <w:rFonts w:cs="Segoe UI"/>
          <w:color w:val="000000"/>
          <w:szCs w:val="23"/>
        </w:rPr>
        <w:t>u</w:t>
      </w:r>
      <w:r w:rsidRPr="00E821C0">
        <w:rPr>
          <w:rFonts w:cs="Segoe UI"/>
          <w:color w:val="000000"/>
          <w:szCs w:val="23"/>
        </w:rPr>
        <w:t xml:space="preserve"> i rješenj</w:t>
      </w:r>
      <w:r>
        <w:rPr>
          <w:rFonts w:cs="Segoe UI"/>
          <w:color w:val="000000"/>
          <w:szCs w:val="23"/>
        </w:rPr>
        <w:t>e</w:t>
      </w:r>
      <w:r w:rsidRPr="00E821C0">
        <w:rPr>
          <w:rFonts w:cs="Segoe UI"/>
          <w:color w:val="000000"/>
          <w:szCs w:val="23"/>
        </w:rPr>
        <w:t xml:space="preserve"> Visokog upravnog suda RH, Poslovni broj: UsII-23</w:t>
      </w:r>
      <w:r>
        <w:rPr>
          <w:rFonts w:cs="Segoe UI"/>
          <w:color w:val="000000"/>
          <w:szCs w:val="23"/>
        </w:rPr>
        <w:t>4</w:t>
      </w:r>
      <w:r w:rsidRPr="00E821C0">
        <w:rPr>
          <w:rFonts w:cs="Segoe UI"/>
          <w:color w:val="000000"/>
          <w:szCs w:val="23"/>
        </w:rPr>
        <w:t>/23-8 od 18. prosinca 2024. kojom je odbijen tužbeni zahtjev Hrvatske odvjetničke komore za poništenjem rješenja tuženika Povjerenika KLASA: UP/II-008-07/22-01/1</w:t>
      </w:r>
      <w:r>
        <w:rPr>
          <w:rFonts w:cs="Segoe UI"/>
          <w:color w:val="000000"/>
          <w:szCs w:val="23"/>
        </w:rPr>
        <w:t>122</w:t>
      </w:r>
      <w:r w:rsidRPr="00E821C0">
        <w:rPr>
          <w:rFonts w:cs="Segoe UI"/>
          <w:color w:val="000000"/>
          <w:szCs w:val="23"/>
        </w:rPr>
        <w:t xml:space="preserve">, URBROJ: 401-01/04-23-8 od 30. listopada 2023. kojim je </w:t>
      </w:r>
      <w:r>
        <w:rPr>
          <w:rFonts w:cs="Segoe UI"/>
          <w:color w:val="000000"/>
          <w:szCs w:val="23"/>
        </w:rPr>
        <w:t xml:space="preserve">djelomično </w:t>
      </w:r>
      <w:r w:rsidRPr="00E821C0">
        <w:rPr>
          <w:rFonts w:cs="Segoe UI"/>
          <w:color w:val="000000"/>
          <w:szCs w:val="23"/>
        </w:rPr>
        <w:t xml:space="preserve">poništeno rješenje Hrvatske odvjetničke komore broj: </w:t>
      </w:r>
      <w:r>
        <w:rPr>
          <w:rFonts w:cs="Segoe UI"/>
          <w:color w:val="000000"/>
          <w:szCs w:val="23"/>
        </w:rPr>
        <w:t xml:space="preserve">5096-2020-7 </w:t>
      </w:r>
      <w:r w:rsidRPr="00E821C0">
        <w:rPr>
          <w:rFonts w:cs="Segoe UI"/>
          <w:color w:val="000000"/>
          <w:szCs w:val="23"/>
        </w:rPr>
        <w:t xml:space="preserve">od 28. </w:t>
      </w:r>
      <w:r>
        <w:rPr>
          <w:rFonts w:cs="Segoe UI"/>
          <w:color w:val="000000"/>
          <w:szCs w:val="23"/>
        </w:rPr>
        <w:t>srpnja 2022</w:t>
      </w:r>
      <w:r w:rsidRPr="00E821C0">
        <w:rPr>
          <w:rFonts w:cs="Segoe UI"/>
          <w:color w:val="000000"/>
          <w:szCs w:val="23"/>
        </w:rPr>
        <w:t xml:space="preserve">. i djelomično omogućen pristup informacijama o </w:t>
      </w:r>
      <w:r>
        <w:rPr>
          <w:rFonts w:cs="Segoe UI"/>
          <w:color w:val="000000"/>
          <w:szCs w:val="23"/>
        </w:rPr>
        <w:t>imenima i prezimenima zaposlenih u Hrvatskoj odvjetničkoj komori te ostvarenim bruto plaćama u 2019.</w:t>
      </w:r>
    </w:p>
    <w:p w14:paraId="36558DB7" w14:textId="7525D0D5" w:rsidR="007749B7" w:rsidRPr="00F0315E" w:rsidRDefault="00274FB9" w:rsidP="7D481D26">
      <w:pPr>
        <w:pStyle w:val="Naslov1"/>
      </w:pPr>
      <w:bookmarkStart w:id="133" w:name="_Toc225865604"/>
      <w:bookmarkEnd w:id="41"/>
      <w:r w:rsidRPr="7D481D26">
        <w:t>Predstavke na rad tijela javne vlasti, inspekcijski nadzor i davanje mišljenja o primjeni ZPPI-ja</w:t>
      </w:r>
      <w:bookmarkEnd w:id="133"/>
    </w:p>
    <w:p w14:paraId="2041BC7B" w14:textId="77777777" w:rsidR="00CE4B91" w:rsidRPr="00F0315E" w:rsidRDefault="006B045C" w:rsidP="001B4107">
      <w:pPr>
        <w:rPr>
          <w:rFonts w:cs="Arial"/>
        </w:rPr>
      </w:pPr>
      <w:r w:rsidRPr="00F0315E">
        <w:rPr>
          <w:rFonts w:cs="Arial"/>
        </w:rPr>
        <w:t>Predstavkama, upitima i traženjem mišljenja o primjeni ZPPI-ja, građani i drugi korisnici prava na pristup informacijama ukazuju na moguće nepravilnosti u primjeni odredbi ZPPI-ja od strane tijela javne vlasti te traže pojašnjenja i mišljenja o načinu primjene pojedinih zakonskih odredbi.</w:t>
      </w:r>
      <w:r w:rsidR="009C22AB" w:rsidRPr="00F0315E">
        <w:rPr>
          <w:rFonts w:cs="Arial"/>
        </w:rPr>
        <w:t xml:space="preserve"> </w:t>
      </w:r>
    </w:p>
    <w:p w14:paraId="07C8C98E" w14:textId="1F7CCCEF" w:rsidR="0043323B" w:rsidRPr="00F0315E" w:rsidRDefault="00823E0B" w:rsidP="001B4107">
      <w:pPr>
        <w:rPr>
          <w:rFonts w:cs="Arial"/>
        </w:rPr>
      </w:pPr>
      <w:r w:rsidRPr="00F0315E">
        <w:rPr>
          <w:rFonts w:cs="Arial"/>
        </w:rPr>
        <w:t>I</w:t>
      </w:r>
      <w:r w:rsidR="00CE4B91" w:rsidRPr="00F0315E">
        <w:rPr>
          <w:rFonts w:cs="Arial"/>
        </w:rPr>
        <w:t>nspekcijsk</w:t>
      </w:r>
      <w:r w:rsidRPr="00F0315E">
        <w:rPr>
          <w:rFonts w:cs="Arial"/>
        </w:rPr>
        <w:t>im</w:t>
      </w:r>
      <w:r w:rsidR="00CE4B91" w:rsidRPr="00F0315E">
        <w:rPr>
          <w:rFonts w:cs="Arial"/>
        </w:rPr>
        <w:t xml:space="preserve"> nadzor</w:t>
      </w:r>
      <w:r w:rsidRPr="00F0315E">
        <w:rPr>
          <w:rFonts w:cs="Arial"/>
        </w:rPr>
        <w:t>om</w:t>
      </w:r>
      <w:r w:rsidR="00CE4B91" w:rsidRPr="00F0315E">
        <w:rPr>
          <w:rFonts w:cs="Arial"/>
        </w:rPr>
        <w:t xml:space="preserve"> nadzir</w:t>
      </w:r>
      <w:r w:rsidRPr="00F0315E">
        <w:rPr>
          <w:rFonts w:cs="Arial"/>
        </w:rPr>
        <w:t>e se</w:t>
      </w:r>
      <w:r w:rsidR="00CE4B91" w:rsidRPr="00F0315E">
        <w:rPr>
          <w:rFonts w:cs="Arial"/>
        </w:rPr>
        <w:t xml:space="preserve"> objavljuju li tijela informacije na svojim internet</w:t>
      </w:r>
      <w:r w:rsidR="004F5D8F" w:rsidRPr="00F0315E">
        <w:rPr>
          <w:rFonts w:cs="Arial"/>
        </w:rPr>
        <w:t xml:space="preserve">skim </w:t>
      </w:r>
      <w:r w:rsidR="00CE4B91" w:rsidRPr="00F0315E">
        <w:rPr>
          <w:rFonts w:cs="Arial"/>
        </w:rPr>
        <w:t xml:space="preserve">stranicama (proaktivna objava), provode li postupke savjetovanja s javnošću i osiguravaju li javnost rada sukladno </w:t>
      </w:r>
      <w:r w:rsidR="0043323B" w:rsidRPr="00F0315E">
        <w:rPr>
          <w:rFonts w:cs="Arial"/>
        </w:rPr>
        <w:t>ZPPI-ju</w:t>
      </w:r>
      <w:r w:rsidR="008F3995" w:rsidRPr="00F0315E">
        <w:rPr>
          <w:rFonts w:cs="Arial"/>
        </w:rPr>
        <w:t xml:space="preserve">, </w:t>
      </w:r>
      <w:r w:rsidR="00346E39" w:rsidRPr="00F0315E">
        <w:rPr>
          <w:rFonts w:cs="Arial"/>
        </w:rPr>
        <w:t xml:space="preserve">nadzire se </w:t>
      </w:r>
      <w:r w:rsidR="009532BB" w:rsidRPr="00F0315E">
        <w:rPr>
          <w:rFonts w:cs="Arial"/>
        </w:rPr>
        <w:t xml:space="preserve">pravilna primjena odredbi ZPPI-ja povodom </w:t>
      </w:r>
      <w:r w:rsidR="004F5D8F" w:rsidRPr="00F0315E">
        <w:rPr>
          <w:rFonts w:cs="Arial"/>
        </w:rPr>
        <w:t xml:space="preserve">rješavanja zahtjeva </w:t>
      </w:r>
      <w:r w:rsidR="008F3995" w:rsidRPr="00F0315E">
        <w:rPr>
          <w:rFonts w:cs="Arial"/>
        </w:rPr>
        <w:t xml:space="preserve">te se </w:t>
      </w:r>
      <w:r w:rsidR="00CE4B91" w:rsidRPr="00F0315E">
        <w:rPr>
          <w:rFonts w:cs="Arial"/>
        </w:rPr>
        <w:t>utvrđuj</w:t>
      </w:r>
      <w:r w:rsidR="0043323B" w:rsidRPr="00F0315E">
        <w:rPr>
          <w:rFonts w:cs="Arial"/>
        </w:rPr>
        <w:t xml:space="preserve">e </w:t>
      </w:r>
      <w:r w:rsidR="00CE4B91" w:rsidRPr="00F0315E">
        <w:rPr>
          <w:rFonts w:cs="Arial"/>
        </w:rPr>
        <w:t>je li u tijelu određen službenik za informiranje</w:t>
      </w:r>
      <w:r w:rsidR="00FF1865" w:rsidRPr="00F0315E">
        <w:rPr>
          <w:rFonts w:cs="Arial"/>
        </w:rPr>
        <w:t>,</w:t>
      </w:r>
      <w:r w:rsidR="00CE4B91" w:rsidRPr="00F0315E">
        <w:rPr>
          <w:rFonts w:cs="Arial"/>
        </w:rPr>
        <w:t xml:space="preserve"> postupa li u skladu sa </w:t>
      </w:r>
      <w:r w:rsidR="008F3995" w:rsidRPr="00F0315E">
        <w:rPr>
          <w:rFonts w:cs="Arial"/>
        </w:rPr>
        <w:t>ZPPI</w:t>
      </w:r>
      <w:r w:rsidR="00A72FEC" w:rsidRPr="00F0315E">
        <w:rPr>
          <w:rFonts w:cs="Arial"/>
        </w:rPr>
        <w:t>-</w:t>
      </w:r>
      <w:r w:rsidR="00321019" w:rsidRPr="00F0315E">
        <w:rPr>
          <w:rFonts w:cs="Arial"/>
        </w:rPr>
        <w:t>je</w:t>
      </w:r>
      <w:r w:rsidR="00A72FEC" w:rsidRPr="00F0315E">
        <w:rPr>
          <w:rFonts w:cs="Arial"/>
        </w:rPr>
        <w:t>m</w:t>
      </w:r>
      <w:r w:rsidR="00CE4B91" w:rsidRPr="00F0315E">
        <w:rPr>
          <w:rFonts w:cs="Arial"/>
        </w:rPr>
        <w:t xml:space="preserve"> pr</w:t>
      </w:r>
      <w:r w:rsidR="00321019" w:rsidRPr="00F0315E">
        <w:rPr>
          <w:rFonts w:cs="Arial"/>
        </w:rPr>
        <w:t>o</w:t>
      </w:r>
      <w:r w:rsidR="00CE4B91" w:rsidRPr="00F0315E">
        <w:rPr>
          <w:rFonts w:cs="Arial"/>
        </w:rPr>
        <w:t xml:space="preserve">pisanim ovlastima </w:t>
      </w:r>
      <w:r w:rsidR="00FF1865" w:rsidRPr="00F0315E">
        <w:rPr>
          <w:rFonts w:cs="Arial"/>
        </w:rPr>
        <w:t>i</w:t>
      </w:r>
      <w:r w:rsidR="00CE4B91" w:rsidRPr="00F0315E">
        <w:rPr>
          <w:rFonts w:cs="Arial"/>
        </w:rPr>
        <w:t xml:space="preserve"> vodi li tijelo poseban službeni upisnik o zahtjevima, postupcima i odlukama o ostvarivanju prava na pristup informacijama i ponovnu uporabu informacija</w:t>
      </w:r>
      <w:r w:rsidR="00FF1865" w:rsidRPr="00F0315E">
        <w:rPr>
          <w:rFonts w:cs="Arial"/>
        </w:rPr>
        <w:t>.</w:t>
      </w:r>
    </w:p>
    <w:p w14:paraId="745C2255" w14:textId="77777777" w:rsidR="006B045C" w:rsidRPr="00F0315E" w:rsidRDefault="006B045C" w:rsidP="00EB4FDB">
      <w:pPr>
        <w:pStyle w:val="Naslov2"/>
        <w:ind w:left="1276" w:hanging="567"/>
      </w:pPr>
      <w:bookmarkStart w:id="134" w:name="_Toc225865605"/>
      <w:r w:rsidRPr="7D481D26">
        <w:t>Predstavke korisnika na rad tijela javne vlasti</w:t>
      </w:r>
      <w:bookmarkEnd w:id="134"/>
    </w:p>
    <w:p w14:paraId="72A92456" w14:textId="77777777" w:rsidR="000E18D3" w:rsidRPr="000E18D3" w:rsidRDefault="000E18D3" w:rsidP="000E18D3">
      <w:pPr>
        <w:rPr>
          <w:rFonts w:cs="Arial"/>
        </w:rPr>
      </w:pPr>
      <w:r w:rsidRPr="000E18D3">
        <w:rPr>
          <w:rFonts w:cs="Arial"/>
        </w:rPr>
        <w:t xml:space="preserve">Postupajući po predstavkama, Ured </w:t>
      </w:r>
      <w:r w:rsidRPr="00440D6E">
        <w:rPr>
          <w:rFonts w:cs="Arial"/>
        </w:rPr>
        <w:t>povjerenice</w:t>
      </w:r>
      <w:r w:rsidRPr="000E18D3">
        <w:rPr>
          <w:rFonts w:cs="Arial"/>
        </w:rPr>
        <w:t xml:space="preserve"> upozorava tijela na nepravilno postupanje te traži uklanjanje nepravilnosti. Riječ je o tzv. predinspekcijskom postupku odnosno načinu postupanja koji ima za cilj na brži i jednostavniji način uskladiti postupanje tijela sa Zakonom, kako bi se izbjeglo provođenje inspekcijskog nadzora. U slučajevima nepostupanja po upozorenju, provodi se ciljani posredni inspekcijski nadzor i po potrebi izriču mjere kojima se naređuje otklanjanje utvrđenih nepravilnosti.</w:t>
      </w:r>
    </w:p>
    <w:p w14:paraId="6BC0B90D" w14:textId="5DE3E2EA" w:rsidR="007B60B6" w:rsidRPr="00823860" w:rsidRDefault="000E18D3" w:rsidP="000E18D3">
      <w:pPr>
        <w:rPr>
          <w:rFonts w:cs="Arial"/>
        </w:rPr>
      </w:pPr>
      <w:r w:rsidRPr="000E18D3">
        <w:rPr>
          <w:rFonts w:cs="Arial"/>
        </w:rPr>
        <w:t>Ured povjerenice zaprimio je u 2025. godini 480 predstavki, što predstavlja rast od 40% u odnosu na 2024. godinu kada su bile zaprimljene 343 predstavke. Iz ranijeg razdoblja ostala je neriješena 41 predstavka te je u 2025. godini ukupno u radu bila 521 predstavka. Ukupno je riješeno 495 predstavki (95%), i to 470 predstavki iz 2025. (98%) i 25 predstavki iz ranijih godina (61%), dok su neriješene predstavke prenijete u 2026. godinu i u postupku su rješavanja.</w:t>
      </w:r>
    </w:p>
    <w:p w14:paraId="3AEFC39C" w14:textId="433CA28F" w:rsidR="00D723BF" w:rsidRPr="00F0315E" w:rsidRDefault="00D723BF" w:rsidP="002559BF">
      <w:pPr>
        <w:keepNext/>
        <w:widowControl w:val="0"/>
        <w:spacing w:before="240"/>
        <w:rPr>
          <w:rFonts w:cs="Arial"/>
          <w:sz w:val="18"/>
          <w:szCs w:val="18"/>
        </w:rPr>
      </w:pPr>
      <w:r w:rsidRPr="00F0315E">
        <w:rPr>
          <w:rFonts w:cs="Arial"/>
          <w:sz w:val="18"/>
          <w:szCs w:val="18"/>
        </w:rPr>
        <w:lastRenderedPageBreak/>
        <w:t xml:space="preserve">Tablica </w:t>
      </w:r>
      <w:r w:rsidR="001F3C1D" w:rsidRPr="00F0315E">
        <w:rPr>
          <w:rFonts w:cs="Arial"/>
          <w:sz w:val="18"/>
          <w:szCs w:val="18"/>
        </w:rPr>
        <w:t>6</w:t>
      </w:r>
      <w:r w:rsidRPr="00F0315E">
        <w:rPr>
          <w:rFonts w:cs="Arial"/>
          <w:sz w:val="18"/>
          <w:szCs w:val="18"/>
        </w:rPr>
        <w:t xml:space="preserve">.1. Predstavke korisnika na rad tijela javne vlasti </w:t>
      </w:r>
    </w:p>
    <w:tbl>
      <w:tblPr>
        <w:tblStyle w:val="LightShading-Accent11"/>
        <w:tblW w:w="9104" w:type="dxa"/>
        <w:tblLook w:val="04A0" w:firstRow="1" w:lastRow="0" w:firstColumn="1" w:lastColumn="0" w:noHBand="0" w:noVBand="1"/>
      </w:tblPr>
      <w:tblGrid>
        <w:gridCol w:w="3077"/>
        <w:gridCol w:w="1506"/>
        <w:gridCol w:w="1507"/>
        <w:gridCol w:w="1507"/>
        <w:gridCol w:w="1507"/>
      </w:tblGrid>
      <w:tr w:rsidR="00D723BF" w:rsidRPr="002559BF" w14:paraId="14930DE8" w14:textId="77777777" w:rsidTr="00C7778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7" w:type="dxa"/>
            <w:vAlign w:val="center"/>
            <w:hideMark/>
          </w:tcPr>
          <w:p w14:paraId="1B300F6A" w14:textId="570A74F1" w:rsidR="00D723BF" w:rsidRPr="002559BF" w:rsidRDefault="00D723BF" w:rsidP="00C77788">
            <w:pPr>
              <w:widowControl w:val="0"/>
              <w:tabs>
                <w:tab w:val="left" w:pos="-1843"/>
              </w:tabs>
              <w:spacing w:before="20" w:after="20"/>
              <w:jc w:val="center"/>
              <w:rPr>
                <w:rFonts w:cs="Arial"/>
                <w:color w:val="auto"/>
                <w:sz w:val="18"/>
                <w:szCs w:val="18"/>
              </w:rPr>
            </w:pPr>
            <w:r w:rsidRPr="002559BF">
              <w:rPr>
                <w:rFonts w:cs="Arial"/>
                <w:color w:val="auto"/>
                <w:sz w:val="18"/>
                <w:szCs w:val="18"/>
              </w:rPr>
              <w:t xml:space="preserve">Predstavke u radu </w:t>
            </w:r>
            <w:r w:rsidRPr="002559BF">
              <w:rPr>
                <w:rFonts w:cs="Arial"/>
                <w:color w:val="auto"/>
                <w:sz w:val="18"/>
                <w:szCs w:val="18"/>
              </w:rPr>
              <w:br/>
              <w:t>u 202</w:t>
            </w:r>
            <w:r w:rsidR="004945F8">
              <w:rPr>
                <w:rFonts w:cs="Arial"/>
                <w:color w:val="auto"/>
                <w:sz w:val="18"/>
                <w:szCs w:val="18"/>
              </w:rPr>
              <w:t>5</w:t>
            </w:r>
            <w:r w:rsidRPr="002559BF">
              <w:rPr>
                <w:rFonts w:cs="Arial"/>
                <w:color w:val="auto"/>
                <w:sz w:val="18"/>
                <w:szCs w:val="18"/>
              </w:rPr>
              <w:t>.</w:t>
            </w:r>
          </w:p>
        </w:tc>
        <w:tc>
          <w:tcPr>
            <w:tcW w:w="1506" w:type="dxa"/>
            <w:vAlign w:val="center"/>
            <w:hideMark/>
          </w:tcPr>
          <w:p w14:paraId="1DCC23E3" w14:textId="77777777" w:rsidR="00D723BF" w:rsidRPr="002559BF" w:rsidRDefault="00D723BF" w:rsidP="00C77788">
            <w:pPr>
              <w:widowControl w:val="0"/>
              <w:tabs>
                <w:tab w:val="left" w:pos="-1843"/>
              </w:tabs>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2559BF">
              <w:rPr>
                <w:rFonts w:cs="Arial"/>
                <w:color w:val="auto"/>
                <w:sz w:val="18"/>
                <w:szCs w:val="18"/>
              </w:rPr>
              <w:t>preneseno / zaprimljeno</w:t>
            </w:r>
          </w:p>
        </w:tc>
        <w:tc>
          <w:tcPr>
            <w:tcW w:w="1507" w:type="dxa"/>
            <w:vAlign w:val="center"/>
            <w:hideMark/>
          </w:tcPr>
          <w:p w14:paraId="3B896ECB" w14:textId="5C76D0D8" w:rsidR="00D723BF" w:rsidRPr="002559BF" w:rsidRDefault="00D723BF" w:rsidP="00C77788">
            <w:pPr>
              <w:widowControl w:val="0"/>
              <w:tabs>
                <w:tab w:val="left" w:pos="-1843"/>
              </w:tabs>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2559BF">
              <w:rPr>
                <w:rFonts w:cs="Arial"/>
                <w:color w:val="auto"/>
                <w:sz w:val="18"/>
                <w:szCs w:val="18"/>
              </w:rPr>
              <w:t>Riješeno u 202</w:t>
            </w:r>
            <w:r w:rsidR="004945F8">
              <w:rPr>
                <w:rFonts w:cs="Arial"/>
                <w:color w:val="auto"/>
                <w:sz w:val="18"/>
                <w:szCs w:val="18"/>
              </w:rPr>
              <w:t>5</w:t>
            </w:r>
            <w:r w:rsidRPr="002559BF">
              <w:rPr>
                <w:rFonts w:cs="Arial"/>
                <w:color w:val="auto"/>
                <w:sz w:val="18"/>
                <w:szCs w:val="18"/>
              </w:rPr>
              <w:t>.</w:t>
            </w:r>
          </w:p>
        </w:tc>
        <w:tc>
          <w:tcPr>
            <w:tcW w:w="1507" w:type="dxa"/>
            <w:vAlign w:val="center"/>
            <w:hideMark/>
          </w:tcPr>
          <w:p w14:paraId="226C257C" w14:textId="310E579D" w:rsidR="00D723BF" w:rsidRPr="002559BF" w:rsidRDefault="00D723BF" w:rsidP="00C77788">
            <w:pPr>
              <w:widowControl w:val="0"/>
              <w:tabs>
                <w:tab w:val="left" w:pos="-1843"/>
              </w:tabs>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2559BF">
              <w:rPr>
                <w:rFonts w:cs="Arial"/>
                <w:color w:val="auto"/>
                <w:sz w:val="18"/>
                <w:szCs w:val="18"/>
              </w:rPr>
              <w:t>Riješeno u 202</w:t>
            </w:r>
            <w:r w:rsidR="004945F8">
              <w:rPr>
                <w:rFonts w:cs="Arial"/>
                <w:color w:val="auto"/>
                <w:sz w:val="18"/>
                <w:szCs w:val="18"/>
              </w:rPr>
              <w:t>5</w:t>
            </w:r>
            <w:r w:rsidRPr="002559BF">
              <w:rPr>
                <w:rFonts w:cs="Arial"/>
                <w:color w:val="auto"/>
                <w:sz w:val="18"/>
                <w:szCs w:val="18"/>
              </w:rPr>
              <w:t>. (%)</w:t>
            </w:r>
          </w:p>
        </w:tc>
        <w:tc>
          <w:tcPr>
            <w:tcW w:w="1507" w:type="dxa"/>
            <w:vAlign w:val="center"/>
            <w:hideMark/>
          </w:tcPr>
          <w:p w14:paraId="29E6C151" w14:textId="612851C9" w:rsidR="00D723BF" w:rsidRPr="002559BF" w:rsidRDefault="00D723BF" w:rsidP="00C77788">
            <w:pPr>
              <w:widowControl w:val="0"/>
              <w:tabs>
                <w:tab w:val="left" w:pos="-1843"/>
              </w:tabs>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2559BF">
              <w:rPr>
                <w:rFonts w:cs="Arial"/>
                <w:color w:val="auto"/>
                <w:sz w:val="18"/>
                <w:szCs w:val="18"/>
              </w:rPr>
              <w:t>Preneseno u 202</w:t>
            </w:r>
            <w:r w:rsidR="004945F8">
              <w:rPr>
                <w:rFonts w:cs="Arial"/>
                <w:color w:val="auto"/>
                <w:sz w:val="18"/>
                <w:szCs w:val="18"/>
              </w:rPr>
              <w:t>6</w:t>
            </w:r>
            <w:r w:rsidRPr="002559BF">
              <w:rPr>
                <w:rFonts w:cs="Arial"/>
                <w:color w:val="auto"/>
                <w:sz w:val="18"/>
                <w:szCs w:val="18"/>
              </w:rPr>
              <w:t>.</w:t>
            </w:r>
          </w:p>
        </w:tc>
      </w:tr>
      <w:tr w:rsidR="009A2BB0" w:rsidRPr="002559BF" w14:paraId="22C2694B" w14:textId="77777777" w:rsidTr="00C777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7" w:type="dxa"/>
            <w:tcBorders>
              <w:top w:val="single" w:sz="8" w:space="0" w:color="4F81BD"/>
              <w:bottom w:val="single" w:sz="4" w:space="0" w:color="8EAADB" w:themeColor="accent1" w:themeTint="99"/>
            </w:tcBorders>
            <w:shd w:val="clear" w:color="auto" w:fill="D9E2F3" w:themeFill="accent1" w:themeFillTint="33"/>
            <w:noWrap/>
            <w:vAlign w:val="center"/>
            <w:hideMark/>
          </w:tcPr>
          <w:p w14:paraId="688929B6" w14:textId="77777777" w:rsidR="009A2BB0" w:rsidRPr="002559BF" w:rsidRDefault="009A2BB0" w:rsidP="009A2BB0">
            <w:pPr>
              <w:snapToGrid w:val="0"/>
              <w:spacing w:before="20" w:after="20"/>
              <w:rPr>
                <w:rFonts w:cs="Arial"/>
                <w:b w:val="0"/>
                <w:color w:val="auto"/>
                <w:sz w:val="18"/>
                <w:szCs w:val="18"/>
              </w:rPr>
            </w:pPr>
            <w:r w:rsidRPr="002559BF">
              <w:rPr>
                <w:rFonts w:cs="Arial"/>
                <w:b w:val="0"/>
                <w:color w:val="auto"/>
                <w:sz w:val="18"/>
                <w:szCs w:val="18"/>
              </w:rPr>
              <w:t>predstavke iz prethodnih godina</w:t>
            </w:r>
          </w:p>
        </w:tc>
        <w:tc>
          <w:tcPr>
            <w:tcW w:w="1506" w:type="dxa"/>
            <w:tcBorders>
              <w:top w:val="single" w:sz="8" w:space="0" w:color="4F81BD"/>
              <w:bottom w:val="single" w:sz="4" w:space="0" w:color="8EAADB" w:themeColor="accent1" w:themeTint="99"/>
            </w:tcBorders>
            <w:shd w:val="clear" w:color="auto" w:fill="D9E2F3" w:themeFill="accent1" w:themeFillTint="33"/>
            <w:vAlign w:val="center"/>
            <w:hideMark/>
          </w:tcPr>
          <w:p w14:paraId="7112204D" w14:textId="625CC6B4" w:rsidR="009A2BB0" w:rsidRPr="002559BF" w:rsidRDefault="009A2BB0" w:rsidP="009A2BB0">
            <w:pPr>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823860">
              <w:rPr>
                <w:rFonts w:cs="Arial"/>
                <w:b/>
                <w:color w:val="auto"/>
                <w:sz w:val="18"/>
                <w:szCs w:val="18"/>
              </w:rPr>
              <w:t>41</w:t>
            </w:r>
          </w:p>
        </w:tc>
        <w:tc>
          <w:tcPr>
            <w:tcW w:w="1507" w:type="dxa"/>
            <w:tcBorders>
              <w:top w:val="single" w:sz="8" w:space="0" w:color="4F81BD"/>
              <w:bottom w:val="single" w:sz="4" w:space="0" w:color="8EAADB" w:themeColor="accent1" w:themeTint="99"/>
            </w:tcBorders>
            <w:shd w:val="clear" w:color="auto" w:fill="D9E2F3" w:themeFill="accent1" w:themeFillTint="33"/>
            <w:vAlign w:val="center"/>
            <w:hideMark/>
          </w:tcPr>
          <w:p w14:paraId="5F6E2D78" w14:textId="5796A711" w:rsidR="009A2BB0" w:rsidRPr="002559BF" w:rsidRDefault="009A2BB0" w:rsidP="009A2BB0">
            <w:pPr>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823860">
              <w:rPr>
                <w:rFonts w:cs="Arial"/>
                <w:b/>
                <w:color w:val="auto"/>
                <w:sz w:val="18"/>
                <w:szCs w:val="18"/>
              </w:rPr>
              <w:t>25</w:t>
            </w:r>
          </w:p>
        </w:tc>
        <w:tc>
          <w:tcPr>
            <w:tcW w:w="1507" w:type="dxa"/>
            <w:tcBorders>
              <w:top w:val="single" w:sz="8" w:space="0" w:color="4F81BD"/>
              <w:bottom w:val="single" w:sz="4" w:space="0" w:color="8EAADB" w:themeColor="accent1" w:themeTint="99"/>
            </w:tcBorders>
            <w:shd w:val="clear" w:color="auto" w:fill="D9E2F3" w:themeFill="accent1" w:themeFillTint="33"/>
            <w:vAlign w:val="center"/>
            <w:hideMark/>
          </w:tcPr>
          <w:p w14:paraId="20D34C68" w14:textId="518E4A6A" w:rsidR="009A2BB0" w:rsidRPr="002559BF" w:rsidRDefault="009A2BB0" w:rsidP="009A2BB0">
            <w:pPr>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823860">
              <w:rPr>
                <w:rFonts w:cs="Arial"/>
                <w:b/>
                <w:color w:val="auto"/>
                <w:sz w:val="18"/>
                <w:szCs w:val="18"/>
              </w:rPr>
              <w:t>61</w:t>
            </w:r>
            <w:r w:rsidRPr="00823860">
              <w:rPr>
                <w:rFonts w:cs="Arial"/>
                <w:b/>
                <w:bCs/>
                <w:color w:val="auto"/>
                <w:sz w:val="18"/>
                <w:szCs w:val="18"/>
              </w:rPr>
              <w:t>%</w:t>
            </w:r>
          </w:p>
        </w:tc>
        <w:tc>
          <w:tcPr>
            <w:tcW w:w="1507" w:type="dxa"/>
            <w:tcBorders>
              <w:top w:val="single" w:sz="8" w:space="0" w:color="4F81BD"/>
              <w:bottom w:val="single" w:sz="4" w:space="0" w:color="8EAADB" w:themeColor="accent1" w:themeTint="99"/>
            </w:tcBorders>
            <w:shd w:val="clear" w:color="auto" w:fill="D9E2F3" w:themeFill="accent1" w:themeFillTint="33"/>
            <w:vAlign w:val="center"/>
            <w:hideMark/>
          </w:tcPr>
          <w:p w14:paraId="6526F644" w14:textId="0741E62D" w:rsidR="009A2BB0" w:rsidRPr="002559BF" w:rsidRDefault="009A2BB0" w:rsidP="009A2BB0">
            <w:pPr>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823860">
              <w:rPr>
                <w:rFonts w:cs="Arial"/>
                <w:b/>
                <w:bCs/>
                <w:color w:val="auto"/>
                <w:sz w:val="18"/>
                <w:szCs w:val="18"/>
              </w:rPr>
              <w:t>1</w:t>
            </w:r>
            <w:r w:rsidRPr="00823860">
              <w:rPr>
                <w:rFonts w:cs="Arial"/>
                <w:b/>
                <w:color w:val="auto"/>
                <w:sz w:val="18"/>
                <w:szCs w:val="18"/>
              </w:rPr>
              <w:t>6</w:t>
            </w:r>
          </w:p>
        </w:tc>
      </w:tr>
      <w:tr w:rsidR="009A2BB0" w:rsidRPr="002559BF" w14:paraId="68C6AF5D" w14:textId="77777777" w:rsidTr="00C77788">
        <w:trPr>
          <w:trHeight w:val="340"/>
        </w:trPr>
        <w:tc>
          <w:tcPr>
            <w:cnfStyle w:val="001000000000" w:firstRow="0" w:lastRow="0" w:firstColumn="1" w:lastColumn="0" w:oddVBand="0" w:evenVBand="0" w:oddHBand="0" w:evenHBand="0" w:firstRowFirstColumn="0" w:firstRowLastColumn="0" w:lastRowFirstColumn="0" w:lastRowLastColumn="0"/>
            <w:tcW w:w="3077" w:type="dxa"/>
            <w:tcBorders>
              <w:top w:val="single" w:sz="4" w:space="0" w:color="8EAADB" w:themeColor="accent1" w:themeTint="99"/>
              <w:bottom w:val="single" w:sz="4" w:space="0" w:color="8EAADB" w:themeColor="accent1" w:themeTint="99"/>
            </w:tcBorders>
            <w:noWrap/>
            <w:vAlign w:val="center"/>
            <w:hideMark/>
          </w:tcPr>
          <w:p w14:paraId="174E2CE1" w14:textId="36E58160" w:rsidR="009A2BB0" w:rsidRPr="002559BF" w:rsidRDefault="009A2BB0" w:rsidP="009A2BB0">
            <w:pPr>
              <w:widowControl w:val="0"/>
              <w:snapToGrid w:val="0"/>
              <w:spacing w:before="20" w:after="20"/>
              <w:jc w:val="center"/>
              <w:rPr>
                <w:rFonts w:cs="Arial"/>
                <w:b w:val="0"/>
                <w:color w:val="auto"/>
                <w:sz w:val="18"/>
                <w:szCs w:val="18"/>
              </w:rPr>
            </w:pPr>
            <w:r w:rsidRPr="002559BF">
              <w:rPr>
                <w:rFonts w:cs="Arial"/>
                <w:b w:val="0"/>
                <w:color w:val="auto"/>
                <w:sz w:val="18"/>
                <w:szCs w:val="18"/>
              </w:rPr>
              <w:t>predstavke u 202</w:t>
            </w:r>
            <w:r w:rsidR="00514BA1">
              <w:rPr>
                <w:rFonts w:cs="Arial"/>
                <w:b w:val="0"/>
                <w:color w:val="auto"/>
                <w:sz w:val="18"/>
                <w:szCs w:val="18"/>
              </w:rPr>
              <w:t>5</w:t>
            </w:r>
            <w:r w:rsidRPr="002559BF">
              <w:rPr>
                <w:rFonts w:cs="Arial"/>
                <w:b w:val="0"/>
                <w:color w:val="auto"/>
                <w:sz w:val="18"/>
                <w:szCs w:val="18"/>
              </w:rPr>
              <w:t>.</w:t>
            </w:r>
          </w:p>
        </w:tc>
        <w:tc>
          <w:tcPr>
            <w:tcW w:w="1506" w:type="dxa"/>
            <w:tcBorders>
              <w:top w:val="single" w:sz="4" w:space="0" w:color="8EAADB" w:themeColor="accent1" w:themeTint="99"/>
              <w:bottom w:val="single" w:sz="4" w:space="0" w:color="8EAADB" w:themeColor="accent1" w:themeTint="99"/>
            </w:tcBorders>
            <w:vAlign w:val="center"/>
            <w:hideMark/>
          </w:tcPr>
          <w:p w14:paraId="2D1C63EB" w14:textId="46FE59CA" w:rsidR="009A2BB0" w:rsidRPr="002559BF" w:rsidRDefault="009A2BB0" w:rsidP="009A2BB0">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23860">
              <w:rPr>
                <w:rFonts w:cs="Arial"/>
                <w:color w:val="auto"/>
                <w:sz w:val="18"/>
                <w:szCs w:val="18"/>
              </w:rPr>
              <w:t>480</w:t>
            </w:r>
          </w:p>
        </w:tc>
        <w:tc>
          <w:tcPr>
            <w:tcW w:w="1507" w:type="dxa"/>
            <w:tcBorders>
              <w:top w:val="single" w:sz="4" w:space="0" w:color="8EAADB" w:themeColor="accent1" w:themeTint="99"/>
              <w:bottom w:val="single" w:sz="4" w:space="0" w:color="8EAADB" w:themeColor="accent1" w:themeTint="99"/>
            </w:tcBorders>
            <w:vAlign w:val="center"/>
            <w:hideMark/>
          </w:tcPr>
          <w:p w14:paraId="35320058" w14:textId="4ED36895" w:rsidR="009A2BB0" w:rsidRPr="002559BF" w:rsidRDefault="009A2BB0" w:rsidP="009A2BB0">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23860">
              <w:rPr>
                <w:rFonts w:cs="Arial"/>
                <w:color w:val="auto"/>
                <w:sz w:val="18"/>
                <w:szCs w:val="18"/>
              </w:rPr>
              <w:t>470</w:t>
            </w:r>
          </w:p>
        </w:tc>
        <w:tc>
          <w:tcPr>
            <w:tcW w:w="1507" w:type="dxa"/>
            <w:tcBorders>
              <w:top w:val="single" w:sz="4" w:space="0" w:color="8EAADB" w:themeColor="accent1" w:themeTint="99"/>
              <w:bottom w:val="single" w:sz="4" w:space="0" w:color="8EAADB" w:themeColor="accent1" w:themeTint="99"/>
            </w:tcBorders>
            <w:vAlign w:val="center"/>
            <w:hideMark/>
          </w:tcPr>
          <w:p w14:paraId="5A43FEDE" w14:textId="40B3AE06" w:rsidR="009A2BB0" w:rsidRPr="002559BF" w:rsidRDefault="009A2BB0" w:rsidP="009A2BB0">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23860">
              <w:rPr>
                <w:rFonts w:cs="Arial"/>
                <w:color w:val="auto"/>
                <w:sz w:val="18"/>
                <w:szCs w:val="18"/>
              </w:rPr>
              <w:t>9</w:t>
            </w:r>
            <w:r>
              <w:rPr>
                <w:rFonts w:cs="Arial"/>
                <w:color w:val="auto"/>
                <w:sz w:val="18"/>
                <w:szCs w:val="18"/>
              </w:rPr>
              <w:t>8</w:t>
            </w:r>
            <w:r w:rsidRPr="00823860">
              <w:rPr>
                <w:rFonts w:cs="Arial"/>
                <w:color w:val="auto"/>
                <w:sz w:val="18"/>
                <w:szCs w:val="18"/>
              </w:rPr>
              <w:t>%</w:t>
            </w:r>
          </w:p>
        </w:tc>
        <w:tc>
          <w:tcPr>
            <w:tcW w:w="1507" w:type="dxa"/>
            <w:tcBorders>
              <w:top w:val="single" w:sz="4" w:space="0" w:color="8EAADB" w:themeColor="accent1" w:themeTint="99"/>
              <w:bottom w:val="single" w:sz="4" w:space="0" w:color="8EAADB" w:themeColor="accent1" w:themeTint="99"/>
            </w:tcBorders>
            <w:vAlign w:val="center"/>
            <w:hideMark/>
          </w:tcPr>
          <w:p w14:paraId="7D956EC0" w14:textId="3E9A808F" w:rsidR="009A2BB0" w:rsidRPr="002559BF" w:rsidRDefault="009A2BB0" w:rsidP="009A2BB0">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23860">
              <w:rPr>
                <w:rFonts w:cs="Arial"/>
                <w:color w:val="auto"/>
                <w:sz w:val="18"/>
                <w:szCs w:val="18"/>
              </w:rPr>
              <w:t>10</w:t>
            </w:r>
          </w:p>
        </w:tc>
      </w:tr>
      <w:tr w:rsidR="009A2BB0" w:rsidRPr="002559BF" w14:paraId="66C435EC" w14:textId="77777777" w:rsidTr="00C777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77" w:type="dxa"/>
            <w:tcBorders>
              <w:top w:val="single" w:sz="4" w:space="0" w:color="8EAADB" w:themeColor="accent1" w:themeTint="99"/>
              <w:bottom w:val="single" w:sz="8" w:space="0" w:color="4F81BD"/>
            </w:tcBorders>
            <w:shd w:val="clear" w:color="auto" w:fill="D9E2F3" w:themeFill="accent1" w:themeFillTint="33"/>
            <w:noWrap/>
            <w:vAlign w:val="center"/>
            <w:hideMark/>
          </w:tcPr>
          <w:p w14:paraId="2942671E" w14:textId="77777777" w:rsidR="009A2BB0" w:rsidRPr="002559BF" w:rsidRDefault="009A2BB0" w:rsidP="00C77788">
            <w:pPr>
              <w:widowControl w:val="0"/>
              <w:snapToGrid w:val="0"/>
              <w:spacing w:before="20" w:after="20"/>
              <w:jc w:val="center"/>
              <w:rPr>
                <w:rFonts w:cs="Arial"/>
                <w:color w:val="auto"/>
                <w:sz w:val="18"/>
                <w:szCs w:val="18"/>
              </w:rPr>
            </w:pPr>
            <w:r w:rsidRPr="002559BF">
              <w:rPr>
                <w:rFonts w:cs="Arial"/>
                <w:color w:val="auto"/>
                <w:sz w:val="18"/>
                <w:szCs w:val="18"/>
              </w:rPr>
              <w:t>UKUPNO</w:t>
            </w:r>
          </w:p>
        </w:tc>
        <w:tc>
          <w:tcPr>
            <w:tcW w:w="1506" w:type="dxa"/>
            <w:tcBorders>
              <w:top w:val="single" w:sz="4" w:space="0" w:color="8EAADB" w:themeColor="accent1" w:themeTint="99"/>
              <w:bottom w:val="single" w:sz="8" w:space="0" w:color="4F81BD"/>
            </w:tcBorders>
            <w:shd w:val="clear" w:color="auto" w:fill="D9E2F3" w:themeFill="accent1" w:themeFillTint="33"/>
            <w:vAlign w:val="center"/>
            <w:hideMark/>
          </w:tcPr>
          <w:p w14:paraId="737AA5B0" w14:textId="45EE96EF" w:rsidR="009A2BB0" w:rsidRPr="002559BF" w:rsidRDefault="009A2BB0" w:rsidP="00C7778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823860">
              <w:rPr>
                <w:rFonts w:cs="Arial"/>
                <w:b/>
                <w:bCs/>
                <w:color w:val="auto"/>
                <w:sz w:val="18"/>
                <w:szCs w:val="18"/>
              </w:rPr>
              <w:t>521</w:t>
            </w:r>
          </w:p>
        </w:tc>
        <w:tc>
          <w:tcPr>
            <w:tcW w:w="1507" w:type="dxa"/>
            <w:tcBorders>
              <w:top w:val="single" w:sz="4" w:space="0" w:color="8EAADB" w:themeColor="accent1" w:themeTint="99"/>
              <w:bottom w:val="single" w:sz="8" w:space="0" w:color="4F81BD"/>
            </w:tcBorders>
            <w:shd w:val="clear" w:color="auto" w:fill="D9E2F3" w:themeFill="accent1" w:themeFillTint="33"/>
            <w:vAlign w:val="center"/>
            <w:hideMark/>
          </w:tcPr>
          <w:p w14:paraId="43334F31" w14:textId="2AB1E3FC" w:rsidR="009A2BB0" w:rsidRPr="002559BF" w:rsidRDefault="009A2BB0" w:rsidP="00C7778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823860">
              <w:rPr>
                <w:rFonts w:cs="Arial"/>
                <w:b/>
                <w:bCs/>
                <w:color w:val="auto"/>
                <w:sz w:val="18"/>
                <w:szCs w:val="18"/>
              </w:rPr>
              <w:t>495</w:t>
            </w:r>
          </w:p>
        </w:tc>
        <w:tc>
          <w:tcPr>
            <w:tcW w:w="1507" w:type="dxa"/>
            <w:tcBorders>
              <w:top w:val="single" w:sz="4" w:space="0" w:color="8EAADB" w:themeColor="accent1" w:themeTint="99"/>
              <w:bottom w:val="single" w:sz="8" w:space="0" w:color="4F81BD"/>
            </w:tcBorders>
            <w:shd w:val="clear" w:color="auto" w:fill="D9E2F3" w:themeFill="accent1" w:themeFillTint="33"/>
            <w:vAlign w:val="center"/>
            <w:hideMark/>
          </w:tcPr>
          <w:p w14:paraId="2271E731" w14:textId="358DBCF8" w:rsidR="009A2BB0" w:rsidRPr="002559BF" w:rsidRDefault="009A2BB0" w:rsidP="00C7778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823860">
              <w:rPr>
                <w:rFonts w:cs="Arial"/>
                <w:b/>
                <w:bCs/>
                <w:color w:val="auto"/>
                <w:sz w:val="18"/>
                <w:szCs w:val="18"/>
              </w:rPr>
              <w:t>95%</w:t>
            </w:r>
          </w:p>
        </w:tc>
        <w:tc>
          <w:tcPr>
            <w:tcW w:w="1507" w:type="dxa"/>
            <w:tcBorders>
              <w:top w:val="single" w:sz="4" w:space="0" w:color="8EAADB" w:themeColor="accent1" w:themeTint="99"/>
              <w:bottom w:val="single" w:sz="8" w:space="0" w:color="4F81BD"/>
            </w:tcBorders>
            <w:shd w:val="clear" w:color="auto" w:fill="D9E2F3" w:themeFill="accent1" w:themeFillTint="33"/>
            <w:vAlign w:val="center"/>
            <w:hideMark/>
          </w:tcPr>
          <w:p w14:paraId="06BEF4DB" w14:textId="5955FE5D" w:rsidR="009A2BB0" w:rsidRPr="002559BF" w:rsidRDefault="009A2BB0" w:rsidP="00C7778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823860">
              <w:rPr>
                <w:rFonts w:cs="Arial"/>
                <w:b/>
                <w:bCs/>
                <w:color w:val="auto"/>
                <w:sz w:val="18"/>
                <w:szCs w:val="18"/>
              </w:rPr>
              <w:t>26</w:t>
            </w:r>
          </w:p>
        </w:tc>
      </w:tr>
    </w:tbl>
    <w:p w14:paraId="105E8332" w14:textId="5866FF80" w:rsidR="009A2BB0" w:rsidRPr="00823860" w:rsidRDefault="00A205EC" w:rsidP="009A2BB0">
      <w:pPr>
        <w:spacing w:before="240"/>
        <w:rPr>
          <w:rFonts w:cs="Arial"/>
        </w:rPr>
      </w:pPr>
      <w:r w:rsidRPr="00A205EC">
        <w:rPr>
          <w:rFonts w:cs="Arial"/>
        </w:rPr>
        <w:t>Od 480 predstavki zaprimljenih u 2025., najveći broj (342 predstavke, odnosno 71% svih zaprimljenih predstavki) riješen je postupanjem tijela javne vlasti, koja su po izdanim upozorenjima uklonila uočene nepravilnosti.  U pojedinim slučajevima tijelima je upućeno više upozorenja i požurnica za postupanje po jednoj predstavci, naročito ako se predstavka odnosila na nepostupanje po zahtjevima, neispunjavanje cjelokupne obveze proaktivne objave informacija i osiguravanja javnosti rada. Po završetku postupanja, o poduzetim mjerama i uklanjanju nepravilnosti obaviješteni su i podnositelji predstavki. U odnosu na tijela koja nisu postupila ni nakon višekratnog upozorenja, manji dio (četiri predstavke) riješen je kroz posredni inspekcijski nadzor, dok se u odnosu na deset podnesenih predstavki planira provedba neposrednog inspekcijskog nadzora u 2026. godini.</w:t>
      </w:r>
    </w:p>
    <w:p w14:paraId="3A2A8F23" w14:textId="4FE2D765" w:rsidR="00D723BF" w:rsidRPr="00F0315E" w:rsidRDefault="00D723BF" w:rsidP="002559BF">
      <w:pPr>
        <w:keepNext/>
        <w:widowControl w:val="0"/>
        <w:spacing w:before="240"/>
        <w:rPr>
          <w:rFonts w:cs="Arial"/>
          <w:sz w:val="18"/>
          <w:szCs w:val="18"/>
        </w:rPr>
      </w:pPr>
      <w:r w:rsidRPr="00F0315E">
        <w:rPr>
          <w:rFonts w:cs="Arial"/>
          <w:sz w:val="18"/>
          <w:szCs w:val="18"/>
        </w:rPr>
        <w:t xml:space="preserve">Tablica </w:t>
      </w:r>
      <w:r w:rsidR="001F3C1D" w:rsidRPr="00F0315E">
        <w:rPr>
          <w:rFonts w:cs="Arial"/>
          <w:sz w:val="18"/>
          <w:szCs w:val="18"/>
        </w:rPr>
        <w:t>6</w:t>
      </w:r>
      <w:r w:rsidRPr="00F0315E">
        <w:rPr>
          <w:rFonts w:cs="Arial"/>
          <w:sz w:val="18"/>
          <w:szCs w:val="18"/>
        </w:rPr>
        <w:t xml:space="preserve">.2. Način postupanja Ureda povjerenika </w:t>
      </w:r>
    </w:p>
    <w:tbl>
      <w:tblPr>
        <w:tblStyle w:val="LightShading-Accent11"/>
        <w:tblW w:w="4994" w:type="pct"/>
        <w:tblLook w:val="04A0" w:firstRow="1" w:lastRow="0" w:firstColumn="1" w:lastColumn="0" w:noHBand="0" w:noVBand="1"/>
      </w:tblPr>
      <w:tblGrid>
        <w:gridCol w:w="5848"/>
        <w:gridCol w:w="1667"/>
        <w:gridCol w:w="1546"/>
      </w:tblGrid>
      <w:tr w:rsidR="00D723BF" w:rsidRPr="00F0315E" w14:paraId="45F074B1" w14:textId="77777777" w:rsidTr="00C7778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27" w:type="pct"/>
            <w:vAlign w:val="center"/>
            <w:hideMark/>
          </w:tcPr>
          <w:p w14:paraId="0DC1F3A8" w14:textId="77777777" w:rsidR="00D723BF" w:rsidRPr="00184C27" w:rsidRDefault="00D723BF" w:rsidP="00C77788">
            <w:pPr>
              <w:snapToGrid w:val="0"/>
              <w:spacing w:before="20" w:after="20"/>
              <w:jc w:val="center"/>
              <w:rPr>
                <w:rFonts w:cs="Arial"/>
                <w:b w:val="0"/>
                <w:color w:val="auto"/>
                <w:sz w:val="18"/>
                <w:szCs w:val="18"/>
              </w:rPr>
            </w:pPr>
            <w:r w:rsidRPr="00184C27">
              <w:rPr>
                <w:rFonts w:cs="Arial"/>
                <w:color w:val="auto"/>
                <w:sz w:val="18"/>
                <w:szCs w:val="18"/>
              </w:rPr>
              <w:t xml:space="preserve">Način postupanja po predstavkama </w:t>
            </w:r>
          </w:p>
        </w:tc>
        <w:tc>
          <w:tcPr>
            <w:tcW w:w="920" w:type="pct"/>
            <w:noWrap/>
            <w:vAlign w:val="center"/>
            <w:hideMark/>
          </w:tcPr>
          <w:p w14:paraId="64AD2183" w14:textId="77777777" w:rsidR="00D723BF" w:rsidRPr="00184C27" w:rsidRDefault="00D723BF" w:rsidP="00C77788">
            <w:pPr>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184C27">
              <w:rPr>
                <w:rFonts w:cs="Arial"/>
                <w:color w:val="auto"/>
                <w:sz w:val="18"/>
                <w:szCs w:val="18"/>
              </w:rPr>
              <w:t>broj postupanja</w:t>
            </w:r>
          </w:p>
        </w:tc>
        <w:tc>
          <w:tcPr>
            <w:tcW w:w="853" w:type="pct"/>
            <w:noWrap/>
            <w:vAlign w:val="center"/>
            <w:hideMark/>
          </w:tcPr>
          <w:p w14:paraId="60EB823E" w14:textId="77777777" w:rsidR="00D723BF" w:rsidRPr="00184C27" w:rsidRDefault="00D723BF" w:rsidP="00C77788">
            <w:pPr>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184C27">
              <w:rPr>
                <w:rFonts w:cs="Arial"/>
                <w:color w:val="auto"/>
                <w:sz w:val="18"/>
                <w:szCs w:val="18"/>
              </w:rPr>
              <w:t>% predstavki</w:t>
            </w:r>
          </w:p>
        </w:tc>
      </w:tr>
      <w:tr w:rsidR="009A2BB0" w:rsidRPr="00F0315E" w14:paraId="58E37795" w14:textId="77777777" w:rsidTr="00C777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27" w:type="pct"/>
            <w:vAlign w:val="center"/>
            <w:hideMark/>
          </w:tcPr>
          <w:p w14:paraId="34B980EB" w14:textId="77777777" w:rsidR="009A2BB0" w:rsidRPr="00184C27" w:rsidRDefault="009A2BB0" w:rsidP="009A2BB0">
            <w:pPr>
              <w:spacing w:before="20" w:after="20"/>
              <w:rPr>
                <w:rFonts w:cs="Arial"/>
                <w:b w:val="0"/>
                <w:color w:val="auto"/>
                <w:sz w:val="18"/>
                <w:szCs w:val="18"/>
              </w:rPr>
            </w:pPr>
            <w:r w:rsidRPr="00184C27">
              <w:rPr>
                <w:rFonts w:cs="Arial"/>
                <w:b w:val="0"/>
                <w:color w:val="auto"/>
                <w:sz w:val="18"/>
                <w:szCs w:val="18"/>
              </w:rPr>
              <w:t>Upozorenje tijelu (riješeni predmeti postupanjem TJV)</w:t>
            </w:r>
          </w:p>
        </w:tc>
        <w:tc>
          <w:tcPr>
            <w:tcW w:w="920" w:type="pct"/>
            <w:noWrap/>
            <w:vAlign w:val="center"/>
            <w:hideMark/>
          </w:tcPr>
          <w:p w14:paraId="4B939050" w14:textId="0DB0522D" w:rsidR="009A2BB0" w:rsidRPr="00184C27" w:rsidRDefault="009A2BB0" w:rsidP="009A2BB0">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823860">
              <w:rPr>
                <w:rFonts w:cs="Arial"/>
                <w:color w:val="auto"/>
                <w:sz w:val="18"/>
                <w:szCs w:val="18"/>
              </w:rPr>
              <w:t>342</w:t>
            </w:r>
          </w:p>
        </w:tc>
        <w:tc>
          <w:tcPr>
            <w:tcW w:w="853" w:type="pct"/>
            <w:noWrap/>
            <w:vAlign w:val="center"/>
            <w:hideMark/>
          </w:tcPr>
          <w:p w14:paraId="771417D7" w14:textId="6E3EFC59" w:rsidR="009A2BB0" w:rsidRPr="00184C27" w:rsidRDefault="009A2BB0" w:rsidP="009A2BB0">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823860">
              <w:rPr>
                <w:rFonts w:cs="Arial"/>
                <w:color w:val="auto"/>
                <w:sz w:val="18"/>
                <w:szCs w:val="18"/>
              </w:rPr>
              <w:t>71</w:t>
            </w:r>
          </w:p>
        </w:tc>
      </w:tr>
      <w:tr w:rsidR="009A2BB0" w:rsidRPr="00F0315E" w14:paraId="2A9964DF" w14:textId="77777777" w:rsidTr="00C77788">
        <w:trPr>
          <w:trHeight w:val="340"/>
        </w:trPr>
        <w:tc>
          <w:tcPr>
            <w:cnfStyle w:val="001000000000" w:firstRow="0" w:lastRow="0" w:firstColumn="1" w:lastColumn="0" w:oddVBand="0" w:evenVBand="0" w:oddHBand="0" w:evenHBand="0" w:firstRowFirstColumn="0" w:firstRowLastColumn="0" w:lastRowFirstColumn="0" w:lastRowLastColumn="0"/>
            <w:tcW w:w="3227" w:type="pct"/>
            <w:vAlign w:val="center"/>
            <w:hideMark/>
          </w:tcPr>
          <w:p w14:paraId="296F7F4C" w14:textId="1298A723" w:rsidR="009A2BB0" w:rsidRPr="00184C27" w:rsidRDefault="009A2BB0" w:rsidP="009A2BB0">
            <w:pPr>
              <w:spacing w:before="20" w:after="20"/>
              <w:rPr>
                <w:rFonts w:cs="Arial"/>
                <w:b w:val="0"/>
                <w:color w:val="auto"/>
                <w:sz w:val="18"/>
                <w:szCs w:val="18"/>
              </w:rPr>
            </w:pPr>
            <w:r w:rsidRPr="00184C27">
              <w:rPr>
                <w:rFonts w:cs="Arial"/>
                <w:b w:val="0"/>
                <w:color w:val="auto"/>
                <w:sz w:val="18"/>
                <w:szCs w:val="18"/>
              </w:rPr>
              <w:t>Upozorenje tijelu (predmeti u radu i preneseni u 202</w:t>
            </w:r>
            <w:r w:rsidR="00B20E98">
              <w:rPr>
                <w:rFonts w:cs="Arial"/>
                <w:b w:val="0"/>
                <w:color w:val="auto"/>
                <w:sz w:val="18"/>
                <w:szCs w:val="18"/>
              </w:rPr>
              <w:t>5</w:t>
            </w:r>
            <w:r w:rsidRPr="00184C27">
              <w:rPr>
                <w:rFonts w:cs="Arial"/>
                <w:b w:val="0"/>
                <w:color w:val="auto"/>
                <w:sz w:val="18"/>
                <w:szCs w:val="18"/>
              </w:rPr>
              <w:t>.)</w:t>
            </w:r>
          </w:p>
        </w:tc>
        <w:tc>
          <w:tcPr>
            <w:tcW w:w="920" w:type="pct"/>
            <w:noWrap/>
            <w:vAlign w:val="center"/>
            <w:hideMark/>
          </w:tcPr>
          <w:p w14:paraId="35735D3A" w14:textId="6D307362" w:rsidR="009A2BB0" w:rsidRPr="00184C27" w:rsidRDefault="009A2BB0" w:rsidP="009A2BB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23860">
              <w:rPr>
                <w:rFonts w:cs="Arial"/>
                <w:color w:val="auto"/>
                <w:sz w:val="18"/>
                <w:szCs w:val="18"/>
              </w:rPr>
              <w:t>10</w:t>
            </w:r>
          </w:p>
        </w:tc>
        <w:tc>
          <w:tcPr>
            <w:tcW w:w="853" w:type="pct"/>
            <w:noWrap/>
            <w:vAlign w:val="center"/>
            <w:hideMark/>
          </w:tcPr>
          <w:p w14:paraId="25CC5303" w14:textId="5A6559BB" w:rsidR="009A2BB0" w:rsidRPr="00184C27" w:rsidRDefault="009A2BB0" w:rsidP="009A2BB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23860">
              <w:rPr>
                <w:rFonts w:cs="Arial"/>
                <w:color w:val="auto"/>
                <w:sz w:val="18"/>
                <w:szCs w:val="18"/>
              </w:rPr>
              <w:t>2</w:t>
            </w:r>
          </w:p>
        </w:tc>
      </w:tr>
      <w:tr w:rsidR="009A2BB0" w:rsidRPr="00F0315E" w14:paraId="35B79CD6" w14:textId="77777777" w:rsidTr="00C777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27" w:type="pct"/>
            <w:vAlign w:val="center"/>
            <w:hideMark/>
          </w:tcPr>
          <w:p w14:paraId="59BF7D20" w14:textId="77777777" w:rsidR="009A2BB0" w:rsidRPr="00184C27" w:rsidRDefault="009A2BB0" w:rsidP="009A2BB0">
            <w:pPr>
              <w:spacing w:before="20" w:after="20"/>
              <w:rPr>
                <w:rFonts w:cs="Arial"/>
                <w:b w:val="0"/>
                <w:color w:val="auto"/>
                <w:sz w:val="18"/>
                <w:szCs w:val="18"/>
              </w:rPr>
            </w:pPr>
            <w:r w:rsidRPr="00184C27">
              <w:rPr>
                <w:rFonts w:cs="Arial"/>
                <w:b w:val="0"/>
                <w:color w:val="auto"/>
                <w:sz w:val="18"/>
                <w:szCs w:val="18"/>
              </w:rPr>
              <w:t>Posredni inspekcijski nadzor</w:t>
            </w:r>
          </w:p>
        </w:tc>
        <w:tc>
          <w:tcPr>
            <w:tcW w:w="920" w:type="pct"/>
            <w:noWrap/>
            <w:vAlign w:val="center"/>
            <w:hideMark/>
          </w:tcPr>
          <w:p w14:paraId="223024B8" w14:textId="3F034EFB" w:rsidR="009A2BB0" w:rsidRPr="00184C27" w:rsidRDefault="009A2BB0" w:rsidP="009A2BB0">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823860">
              <w:rPr>
                <w:rFonts w:cs="Arial"/>
                <w:color w:val="auto"/>
                <w:sz w:val="18"/>
                <w:szCs w:val="18"/>
              </w:rPr>
              <w:t>4</w:t>
            </w:r>
          </w:p>
        </w:tc>
        <w:tc>
          <w:tcPr>
            <w:tcW w:w="853" w:type="pct"/>
            <w:noWrap/>
            <w:vAlign w:val="center"/>
            <w:hideMark/>
          </w:tcPr>
          <w:p w14:paraId="2BFD767E" w14:textId="137810AB" w:rsidR="009A2BB0" w:rsidRPr="00184C27" w:rsidRDefault="009A2BB0" w:rsidP="009A2BB0">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Pr>
                <w:rFonts w:cs="Arial"/>
                <w:color w:val="auto"/>
                <w:sz w:val="18"/>
                <w:szCs w:val="18"/>
              </w:rPr>
              <w:t>1</w:t>
            </w:r>
          </w:p>
        </w:tc>
      </w:tr>
      <w:tr w:rsidR="009A2BB0" w:rsidRPr="00F0315E" w14:paraId="312B0FBE" w14:textId="77777777" w:rsidTr="00C77788">
        <w:trPr>
          <w:trHeight w:val="340"/>
        </w:trPr>
        <w:tc>
          <w:tcPr>
            <w:cnfStyle w:val="001000000000" w:firstRow="0" w:lastRow="0" w:firstColumn="1" w:lastColumn="0" w:oddVBand="0" w:evenVBand="0" w:oddHBand="0" w:evenHBand="0" w:firstRowFirstColumn="0" w:firstRowLastColumn="0" w:lastRowFirstColumn="0" w:lastRowLastColumn="0"/>
            <w:tcW w:w="3227" w:type="pct"/>
            <w:vAlign w:val="center"/>
            <w:hideMark/>
          </w:tcPr>
          <w:p w14:paraId="60088825" w14:textId="77777777" w:rsidR="009A2BB0" w:rsidRPr="00184C27" w:rsidRDefault="009A2BB0" w:rsidP="009A2BB0">
            <w:pPr>
              <w:spacing w:before="20" w:after="20"/>
              <w:rPr>
                <w:rFonts w:cs="Arial"/>
                <w:b w:val="0"/>
                <w:color w:val="auto"/>
                <w:sz w:val="18"/>
                <w:szCs w:val="18"/>
              </w:rPr>
            </w:pPr>
            <w:r w:rsidRPr="00184C27">
              <w:rPr>
                <w:rFonts w:cs="Arial"/>
                <w:b w:val="0"/>
                <w:color w:val="auto"/>
                <w:sz w:val="18"/>
                <w:szCs w:val="18"/>
              </w:rPr>
              <w:t>Neposredni nadzor (planiran u 2025.)</w:t>
            </w:r>
          </w:p>
        </w:tc>
        <w:tc>
          <w:tcPr>
            <w:tcW w:w="920" w:type="pct"/>
            <w:noWrap/>
            <w:vAlign w:val="center"/>
            <w:hideMark/>
          </w:tcPr>
          <w:p w14:paraId="425BDB71" w14:textId="07D7DAD7" w:rsidR="009A2BB0" w:rsidRPr="00184C27" w:rsidRDefault="009A2BB0" w:rsidP="009A2BB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23860">
              <w:rPr>
                <w:rFonts w:cs="Arial"/>
                <w:color w:val="auto"/>
                <w:sz w:val="18"/>
                <w:szCs w:val="18"/>
              </w:rPr>
              <w:t>10</w:t>
            </w:r>
          </w:p>
        </w:tc>
        <w:tc>
          <w:tcPr>
            <w:tcW w:w="853" w:type="pct"/>
            <w:noWrap/>
            <w:vAlign w:val="center"/>
            <w:hideMark/>
          </w:tcPr>
          <w:p w14:paraId="58FE5C62" w14:textId="50FEEEF3" w:rsidR="009A2BB0" w:rsidRPr="00184C27" w:rsidRDefault="009A2BB0" w:rsidP="009A2BB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23860">
              <w:rPr>
                <w:rFonts w:cs="Arial"/>
                <w:color w:val="auto"/>
                <w:sz w:val="18"/>
                <w:szCs w:val="18"/>
              </w:rPr>
              <w:t>2</w:t>
            </w:r>
          </w:p>
        </w:tc>
      </w:tr>
      <w:tr w:rsidR="009A2BB0" w:rsidRPr="00F0315E" w14:paraId="224E7179" w14:textId="77777777" w:rsidTr="00C777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27" w:type="pct"/>
            <w:vAlign w:val="center"/>
            <w:hideMark/>
          </w:tcPr>
          <w:p w14:paraId="5C07B454" w14:textId="77777777" w:rsidR="009A2BB0" w:rsidRPr="00184C27" w:rsidRDefault="009A2BB0" w:rsidP="009A2BB0">
            <w:pPr>
              <w:spacing w:before="20" w:after="20"/>
              <w:rPr>
                <w:rFonts w:cs="Arial"/>
                <w:b w:val="0"/>
                <w:color w:val="auto"/>
                <w:sz w:val="18"/>
                <w:szCs w:val="18"/>
              </w:rPr>
            </w:pPr>
            <w:r w:rsidRPr="00184C27">
              <w:rPr>
                <w:rFonts w:cs="Arial"/>
                <w:b w:val="0"/>
                <w:color w:val="auto"/>
                <w:sz w:val="18"/>
                <w:szCs w:val="18"/>
              </w:rPr>
              <w:t>Ustupanje predmeta</w:t>
            </w:r>
          </w:p>
        </w:tc>
        <w:tc>
          <w:tcPr>
            <w:tcW w:w="920" w:type="pct"/>
            <w:noWrap/>
            <w:vAlign w:val="center"/>
            <w:hideMark/>
          </w:tcPr>
          <w:p w14:paraId="2E9DDF38" w14:textId="2FA837A3" w:rsidR="009A2BB0" w:rsidRPr="00184C27" w:rsidRDefault="009A2BB0" w:rsidP="009A2BB0">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823860">
              <w:rPr>
                <w:rFonts w:cs="Arial"/>
                <w:color w:val="auto"/>
                <w:sz w:val="18"/>
                <w:szCs w:val="18"/>
              </w:rPr>
              <w:t>6</w:t>
            </w:r>
          </w:p>
        </w:tc>
        <w:tc>
          <w:tcPr>
            <w:tcW w:w="853" w:type="pct"/>
            <w:noWrap/>
            <w:vAlign w:val="center"/>
            <w:hideMark/>
          </w:tcPr>
          <w:p w14:paraId="798945FA" w14:textId="20EF5182" w:rsidR="009A2BB0" w:rsidRPr="00184C27" w:rsidRDefault="009A2BB0" w:rsidP="009A2BB0">
            <w:pPr>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Pr>
                <w:rFonts w:cs="Arial"/>
                <w:color w:val="auto"/>
                <w:sz w:val="18"/>
                <w:szCs w:val="18"/>
              </w:rPr>
              <w:t>1</w:t>
            </w:r>
          </w:p>
        </w:tc>
      </w:tr>
      <w:tr w:rsidR="009A2BB0" w:rsidRPr="00F0315E" w14:paraId="0A672BF0" w14:textId="77777777" w:rsidTr="00C77788">
        <w:trPr>
          <w:trHeight w:val="340"/>
        </w:trPr>
        <w:tc>
          <w:tcPr>
            <w:cnfStyle w:val="001000000000" w:firstRow="0" w:lastRow="0" w:firstColumn="1" w:lastColumn="0" w:oddVBand="0" w:evenVBand="0" w:oddHBand="0" w:evenHBand="0" w:firstRowFirstColumn="0" w:firstRowLastColumn="0" w:lastRowFirstColumn="0" w:lastRowLastColumn="0"/>
            <w:tcW w:w="3227" w:type="pct"/>
            <w:vAlign w:val="center"/>
            <w:hideMark/>
          </w:tcPr>
          <w:p w14:paraId="3663E6EE" w14:textId="77777777" w:rsidR="009A2BB0" w:rsidRPr="00184C27" w:rsidRDefault="009A2BB0" w:rsidP="009A2BB0">
            <w:pPr>
              <w:spacing w:before="20" w:after="20"/>
              <w:rPr>
                <w:rFonts w:cs="Arial"/>
                <w:b w:val="0"/>
                <w:color w:val="auto"/>
                <w:sz w:val="18"/>
                <w:szCs w:val="18"/>
              </w:rPr>
            </w:pPr>
            <w:r w:rsidRPr="00184C27">
              <w:rPr>
                <w:rFonts w:cs="Arial"/>
                <w:b w:val="0"/>
                <w:color w:val="auto"/>
                <w:sz w:val="18"/>
                <w:szCs w:val="18"/>
              </w:rPr>
              <w:t>Odgovor podnositelju (nema osnove za postupanje)</w:t>
            </w:r>
          </w:p>
        </w:tc>
        <w:tc>
          <w:tcPr>
            <w:tcW w:w="920" w:type="pct"/>
            <w:noWrap/>
            <w:vAlign w:val="center"/>
            <w:hideMark/>
          </w:tcPr>
          <w:p w14:paraId="319F063D" w14:textId="37460FB8" w:rsidR="009A2BB0" w:rsidRPr="00184C27" w:rsidRDefault="009A2BB0" w:rsidP="009A2BB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23860">
              <w:rPr>
                <w:rFonts w:cs="Arial"/>
                <w:color w:val="auto"/>
                <w:sz w:val="18"/>
                <w:szCs w:val="18"/>
              </w:rPr>
              <w:t>108</w:t>
            </w:r>
          </w:p>
        </w:tc>
        <w:tc>
          <w:tcPr>
            <w:tcW w:w="853" w:type="pct"/>
            <w:noWrap/>
            <w:vAlign w:val="center"/>
            <w:hideMark/>
          </w:tcPr>
          <w:p w14:paraId="3CBF1A77" w14:textId="4577F656" w:rsidR="009A2BB0" w:rsidRPr="00184C27" w:rsidRDefault="009A2BB0" w:rsidP="009A2BB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Pr>
                <w:rFonts w:cs="Arial"/>
                <w:color w:val="auto"/>
                <w:sz w:val="18"/>
                <w:szCs w:val="18"/>
              </w:rPr>
              <w:t>23</w:t>
            </w:r>
          </w:p>
        </w:tc>
      </w:tr>
      <w:tr w:rsidR="004945F8" w:rsidRPr="00F0315E" w14:paraId="24EAF7E6" w14:textId="77777777" w:rsidTr="00C777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27" w:type="pct"/>
            <w:vAlign w:val="center"/>
          </w:tcPr>
          <w:p w14:paraId="22512932" w14:textId="1F489B16" w:rsidR="004945F8" w:rsidRPr="00184C27" w:rsidRDefault="004945F8" w:rsidP="004945F8">
            <w:pPr>
              <w:spacing w:before="20" w:after="20"/>
              <w:rPr>
                <w:rFonts w:cs="Arial"/>
                <w:sz w:val="18"/>
                <w:szCs w:val="18"/>
              </w:rPr>
            </w:pPr>
            <w:r w:rsidRPr="00823860">
              <w:rPr>
                <w:rFonts w:cs="Arial"/>
                <w:color w:val="auto"/>
                <w:sz w:val="18"/>
                <w:szCs w:val="18"/>
              </w:rPr>
              <w:t>UKUPNO</w:t>
            </w:r>
          </w:p>
        </w:tc>
        <w:tc>
          <w:tcPr>
            <w:tcW w:w="920" w:type="pct"/>
            <w:noWrap/>
            <w:vAlign w:val="center"/>
          </w:tcPr>
          <w:p w14:paraId="1EA6216F" w14:textId="3F725AC2" w:rsidR="004945F8" w:rsidRPr="00823860" w:rsidRDefault="004945F8" w:rsidP="004945F8">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auto"/>
                <w:sz w:val="18"/>
                <w:szCs w:val="18"/>
              </w:rPr>
              <w:t>4</w:t>
            </w:r>
            <w:r w:rsidRPr="00823860">
              <w:rPr>
                <w:rFonts w:cs="Arial"/>
                <w:color w:val="auto"/>
                <w:sz w:val="18"/>
                <w:szCs w:val="18"/>
              </w:rPr>
              <w:t>80</w:t>
            </w:r>
          </w:p>
        </w:tc>
        <w:tc>
          <w:tcPr>
            <w:tcW w:w="853" w:type="pct"/>
            <w:noWrap/>
            <w:vAlign w:val="center"/>
          </w:tcPr>
          <w:p w14:paraId="665D50A0" w14:textId="21108E0F" w:rsidR="004945F8" w:rsidRDefault="004945F8" w:rsidP="004945F8">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23860">
              <w:rPr>
                <w:rFonts w:cs="Arial"/>
                <w:color w:val="auto"/>
                <w:sz w:val="18"/>
                <w:szCs w:val="18"/>
              </w:rPr>
              <w:t>100</w:t>
            </w:r>
          </w:p>
        </w:tc>
      </w:tr>
    </w:tbl>
    <w:p w14:paraId="6CEF3328" w14:textId="0C6102CD" w:rsidR="009A2BB0" w:rsidRPr="00823860" w:rsidRDefault="00A04541" w:rsidP="009A2BB0">
      <w:pPr>
        <w:spacing w:before="240"/>
        <w:rPr>
          <w:rFonts w:cs="Arial"/>
        </w:rPr>
      </w:pPr>
      <w:r w:rsidRPr="00A04541">
        <w:rPr>
          <w:rFonts w:cs="Arial"/>
        </w:rPr>
        <w:t>Značajan udio u ukupnom broju svih zaprimljenih predstavki u 2025. (114 ili 24%) čine predstavke po kojima nije bilo pravne osnove za postupanje jer se ne radi o kršenju odredbi ZPPI-ja, već o predstavkama koje se odnose na primjenu propisa iz nadležnosti drugih tijela. U tim slučajevima korisnicima je dan obrazloženi odgovor s uputama za daljnje postupanje ili je predstavka dostavljena stvarno nadležnom tijelu uz obavijest korisnicima.</w:t>
      </w:r>
    </w:p>
    <w:p w14:paraId="466E29D1" w14:textId="77777777" w:rsidR="0052400E" w:rsidRDefault="0052400E">
      <w:pPr>
        <w:spacing w:after="0" w:line="240" w:lineRule="auto"/>
        <w:jc w:val="left"/>
        <w:rPr>
          <w:rFonts w:cs="Arial"/>
          <w:sz w:val="18"/>
          <w:szCs w:val="18"/>
        </w:rPr>
      </w:pPr>
      <w:r>
        <w:rPr>
          <w:rFonts w:cs="Arial"/>
          <w:sz w:val="18"/>
          <w:szCs w:val="18"/>
        </w:rPr>
        <w:br w:type="page"/>
      </w:r>
    </w:p>
    <w:p w14:paraId="14165E5B" w14:textId="20E32E26" w:rsidR="00D723BF" w:rsidRDefault="00D723BF" w:rsidP="00AC017F">
      <w:pPr>
        <w:jc w:val="left"/>
        <w:rPr>
          <w:rFonts w:cs="Arial"/>
          <w:sz w:val="18"/>
          <w:szCs w:val="18"/>
        </w:rPr>
      </w:pPr>
      <w:r w:rsidRPr="00F0315E">
        <w:rPr>
          <w:rFonts w:cs="Arial"/>
          <w:sz w:val="18"/>
          <w:szCs w:val="18"/>
        </w:rPr>
        <w:lastRenderedPageBreak/>
        <w:t xml:space="preserve">Slika </w:t>
      </w:r>
      <w:r w:rsidR="001F3C1D" w:rsidRPr="00F0315E">
        <w:rPr>
          <w:rFonts w:cs="Arial"/>
          <w:sz w:val="18"/>
          <w:szCs w:val="18"/>
        </w:rPr>
        <w:t>6</w:t>
      </w:r>
      <w:r w:rsidRPr="00F0315E">
        <w:rPr>
          <w:rFonts w:cs="Arial"/>
          <w:sz w:val="18"/>
          <w:szCs w:val="18"/>
        </w:rPr>
        <w:t>.1. Zaprimljene, prenesene i riješene predstavke u razdoblju 202</w:t>
      </w:r>
      <w:r w:rsidR="009A2BB0">
        <w:rPr>
          <w:rFonts w:cs="Arial"/>
          <w:sz w:val="18"/>
          <w:szCs w:val="18"/>
        </w:rPr>
        <w:t>1</w:t>
      </w:r>
      <w:r w:rsidRPr="00F0315E">
        <w:rPr>
          <w:rFonts w:cs="Arial"/>
          <w:sz w:val="18"/>
          <w:szCs w:val="18"/>
        </w:rPr>
        <w:t>. - 202</w:t>
      </w:r>
      <w:r w:rsidR="009A2BB0">
        <w:rPr>
          <w:rFonts w:cs="Arial"/>
          <w:sz w:val="18"/>
          <w:szCs w:val="18"/>
        </w:rPr>
        <w:t>5</w:t>
      </w:r>
      <w:r w:rsidRPr="00F0315E">
        <w:rPr>
          <w:rFonts w:cs="Arial"/>
          <w:sz w:val="18"/>
          <w:szCs w:val="18"/>
        </w:rPr>
        <w:t>.</w:t>
      </w:r>
    </w:p>
    <w:p w14:paraId="3EFEAFAD" w14:textId="4030F6ED" w:rsidR="009A2BB0" w:rsidRDefault="009A2BB0" w:rsidP="00AC017F">
      <w:pPr>
        <w:jc w:val="left"/>
        <w:rPr>
          <w:rFonts w:cs="Arial"/>
          <w:sz w:val="18"/>
          <w:szCs w:val="18"/>
        </w:rPr>
      </w:pPr>
      <w:r>
        <w:rPr>
          <w:noProof/>
          <w14:ligatures w14:val="standardContextual"/>
        </w:rPr>
        <w:drawing>
          <wp:inline distT="0" distB="0" distL="0" distR="0" wp14:anchorId="317DB87E" wp14:editId="1F39373B">
            <wp:extent cx="5760720" cy="3593465"/>
            <wp:effectExtent l="0" t="0" r="0" b="6985"/>
            <wp:docPr id="704907903" name="Grafikon 1">
              <a:extLst xmlns:a="http://schemas.openxmlformats.org/drawingml/2006/main">
                <a:ext uri="{FF2B5EF4-FFF2-40B4-BE49-F238E27FC236}">
                  <a16:creationId xmlns:a16="http://schemas.microsoft.com/office/drawing/2014/main" id="{51149242-46E4-4D5D-A91C-BE7624F6F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F09394" w14:textId="33E6106F" w:rsidR="009A2BB0" w:rsidRPr="00823860" w:rsidRDefault="00EE44F1" w:rsidP="009A2BB0">
      <w:pPr>
        <w:widowControl w:val="0"/>
        <w:spacing w:before="240"/>
        <w:rPr>
          <w:rFonts w:cs="Arial"/>
          <w:sz w:val="23"/>
          <w:szCs w:val="23"/>
        </w:rPr>
      </w:pPr>
      <w:r w:rsidRPr="00EE44F1">
        <w:rPr>
          <w:rFonts w:cs="Arial"/>
        </w:rPr>
        <w:t>Iz prikaza strukture predstavki po podnositeljima (Slika 6.2.) proizlazi da su u 2025., kao i ranijih godina, najveći broj predstavki podnijeli građani. U ukupnom broju, udio predstavki građana kao i predstavki podnesenih od strane udruga građana i građanskih inicijativa zadržao se na razini prethodnih godina, dok je zabilježen porast predstavki podnesenih od strane predstavnika medija.</w:t>
      </w:r>
    </w:p>
    <w:p w14:paraId="37DEB967" w14:textId="04289932" w:rsidR="00D723BF" w:rsidRDefault="00D723BF" w:rsidP="00DC0397">
      <w:pPr>
        <w:keepNext/>
        <w:widowControl w:val="0"/>
        <w:spacing w:before="240" w:after="0"/>
        <w:rPr>
          <w:rFonts w:cs="Arial"/>
          <w:sz w:val="18"/>
          <w:szCs w:val="18"/>
        </w:rPr>
      </w:pPr>
      <w:r w:rsidRPr="0075748C">
        <w:rPr>
          <w:rFonts w:cs="Arial"/>
          <w:sz w:val="18"/>
          <w:szCs w:val="18"/>
        </w:rPr>
        <w:t xml:space="preserve">Slika </w:t>
      </w:r>
      <w:r w:rsidR="00940359" w:rsidRPr="0075748C">
        <w:rPr>
          <w:rFonts w:cs="Arial"/>
          <w:sz w:val="18"/>
          <w:szCs w:val="18"/>
        </w:rPr>
        <w:t>6</w:t>
      </w:r>
      <w:r w:rsidRPr="0075748C">
        <w:rPr>
          <w:rFonts w:cs="Arial"/>
          <w:sz w:val="18"/>
          <w:szCs w:val="18"/>
        </w:rPr>
        <w:t>.2. Struktura predstavki po podnositeljima</w:t>
      </w:r>
      <w:r w:rsidRPr="00F0315E">
        <w:rPr>
          <w:rFonts w:cs="Arial"/>
          <w:sz w:val="18"/>
          <w:szCs w:val="18"/>
        </w:rPr>
        <w:t xml:space="preserve"> </w:t>
      </w:r>
    </w:p>
    <w:p w14:paraId="109A97E3" w14:textId="505693EE" w:rsidR="009A2BB0" w:rsidRDefault="009369DB" w:rsidP="00DC0397">
      <w:pPr>
        <w:keepNext/>
        <w:widowControl w:val="0"/>
        <w:spacing w:before="240" w:after="0"/>
        <w:rPr>
          <w:rFonts w:cs="Arial"/>
          <w:sz w:val="18"/>
          <w:szCs w:val="18"/>
        </w:rPr>
      </w:pPr>
      <w:r>
        <w:rPr>
          <w:noProof/>
        </w:rPr>
        <w:drawing>
          <wp:inline distT="0" distB="0" distL="0" distR="0" wp14:anchorId="2475E3F6" wp14:editId="63212646">
            <wp:extent cx="5760720" cy="2295394"/>
            <wp:effectExtent l="0" t="0" r="11430" b="10160"/>
            <wp:docPr id="1555768038" name="Chart 1">
              <a:extLst xmlns:a="http://schemas.openxmlformats.org/drawingml/2006/main">
                <a:ext uri="{FF2B5EF4-FFF2-40B4-BE49-F238E27FC236}">
                  <a16:creationId xmlns:a16="http://schemas.microsoft.com/office/drawing/2014/main" id="{8AAAA697-B78C-4C14-8E38-812787914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8C1B24" w14:textId="77777777" w:rsidR="00210C3C" w:rsidRPr="00210C3C" w:rsidRDefault="00210C3C" w:rsidP="009369DB">
      <w:pPr>
        <w:spacing w:before="120"/>
        <w:rPr>
          <w:rFonts w:cs="Arial"/>
        </w:rPr>
      </w:pPr>
      <w:r w:rsidRPr="00210C3C">
        <w:rPr>
          <w:rFonts w:cs="Arial"/>
        </w:rPr>
        <w:t xml:space="preserve">Promatrajući po kategorijama tijela (Tablica 6.3.), najviše se podnesenih predstavki, iako nešto manje nego ranijih godina, odnosilo na rad JLP(R)S (148 predstavki, odnosno 31%). U odnosu na ranije godine, zabilježen je nešto veći broj predstavki na rad tijela državne uprave (101 predstavka, odnosno 21%), kao i na rad agencija, zavoda, centara i fondova (39 predstavki, </w:t>
      </w:r>
      <w:r w:rsidRPr="00210C3C">
        <w:rPr>
          <w:rFonts w:cs="Arial"/>
        </w:rPr>
        <w:lastRenderedPageBreak/>
        <w:t xml:space="preserve">odnosno 8% svih predstavki), dok se, u odnosu na 2024. godinu, udio predstavki na rad tijela javne vlasti iz kategorija ustanova smanjio za gotovo trećinu (80 predstavki odnosno 17% udjela u svim zaprimljenim predstavkama). </w:t>
      </w:r>
    </w:p>
    <w:p w14:paraId="3A195B2F" w14:textId="76F9E288" w:rsidR="00AC017F" w:rsidRDefault="00210C3C" w:rsidP="00210C3C">
      <w:pPr>
        <w:rPr>
          <w:rFonts w:cs="Arial"/>
        </w:rPr>
      </w:pPr>
      <w:r w:rsidRPr="00210C3C">
        <w:rPr>
          <w:rFonts w:cs="Arial"/>
        </w:rPr>
        <w:t>Kao i u ranijim izvještajnim razdobljima, zaprimljen je veći broj predstavki koje se odnose na rad pojedinih tijela javne vlasti: od ukupnog broja predstavki zaprimljenih u 2025. – više od trećine predstavki (172, odnosno 36%) odnosi se na 15 tijela na čiji je rad zaprimljeno pet ili više predstavki. Najveći broj predstavki odnosi se na postupanje Grada Zagreba (20) i Državnog inspektorata (18), a slijede Hrvatski zavod za socijalni rad (15), Ministarstvo unutarnjih poslova (13), Ministarstvo pravosuđa, uprave i digitalne transformacije (12),  Ministarstvo zdravstva (11), Ministarstvo znanosti, obrazovanja i mladih (11), Državno odvjetništvo Republike Hrvatske (10), Općina Lećevica (10), Ministarstvo prostornoga uređenja, graditeljstva i državne imovine (9), Glazbena škola Ivana Matetića Ronjgova (9), Zagrebački holding d.d. (8), Hrvatska elektroprivreda - HEP d.d. (7), Općina Pribislavec (7),  Sveučilište u Zagrebu (6), Agencija za odgoj i obrazovanje (5). Međutim, potrebno je naglasiti da za više od trećine predstavki koje se odnose na rad tih tijela (60 predstavki) nije postojala osnova za postupanje Povjerenika za informiranje.</w:t>
      </w:r>
    </w:p>
    <w:p w14:paraId="79CBFFD3" w14:textId="3AC941D2" w:rsidR="00D723BF" w:rsidRPr="00F0315E" w:rsidRDefault="00D723BF" w:rsidP="002559BF">
      <w:pPr>
        <w:keepNext/>
        <w:widowControl w:val="0"/>
        <w:spacing w:before="240"/>
        <w:rPr>
          <w:rFonts w:cs="Arial"/>
          <w:sz w:val="18"/>
          <w:szCs w:val="18"/>
        </w:rPr>
      </w:pPr>
      <w:r w:rsidRPr="00F0315E">
        <w:rPr>
          <w:rFonts w:cs="Arial"/>
          <w:sz w:val="18"/>
          <w:szCs w:val="18"/>
        </w:rPr>
        <w:t xml:space="preserve">Tablica </w:t>
      </w:r>
      <w:r w:rsidR="00136F2E" w:rsidRPr="00F0315E">
        <w:rPr>
          <w:rFonts w:cs="Arial"/>
          <w:sz w:val="18"/>
          <w:szCs w:val="18"/>
        </w:rPr>
        <w:t>6</w:t>
      </w:r>
      <w:r w:rsidRPr="00F0315E">
        <w:rPr>
          <w:rFonts w:cs="Arial"/>
          <w:sz w:val="18"/>
          <w:szCs w:val="18"/>
        </w:rPr>
        <w:t xml:space="preserve">.3. Predstavke prema skupinama tijela javne vlasti </w:t>
      </w:r>
    </w:p>
    <w:tbl>
      <w:tblPr>
        <w:tblStyle w:val="LightShading-Accent116"/>
        <w:tblW w:w="5012" w:type="pct"/>
        <w:tblLook w:val="04A0" w:firstRow="1" w:lastRow="0" w:firstColumn="1" w:lastColumn="0" w:noHBand="0" w:noVBand="1"/>
      </w:tblPr>
      <w:tblGrid>
        <w:gridCol w:w="6013"/>
        <w:gridCol w:w="1577"/>
        <w:gridCol w:w="1504"/>
      </w:tblGrid>
      <w:tr w:rsidR="00D723BF" w:rsidRPr="00F0315E" w14:paraId="0D65C44D" w14:textId="77777777" w:rsidTr="00946E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2222351E" w14:textId="77777777" w:rsidR="00D723BF" w:rsidRPr="002559BF" w:rsidRDefault="00D723BF" w:rsidP="00946ED9">
            <w:pPr>
              <w:widowControl w:val="0"/>
              <w:spacing w:before="20" w:after="20"/>
              <w:jc w:val="center"/>
              <w:rPr>
                <w:rFonts w:cs="Arial"/>
                <w:color w:val="auto"/>
                <w:sz w:val="18"/>
                <w:szCs w:val="18"/>
              </w:rPr>
            </w:pPr>
            <w:r w:rsidRPr="002559BF">
              <w:rPr>
                <w:rFonts w:cs="Arial"/>
                <w:color w:val="auto"/>
                <w:sz w:val="18"/>
                <w:szCs w:val="18"/>
              </w:rPr>
              <w:t>Tip tijela javne vlasti</w:t>
            </w:r>
          </w:p>
        </w:tc>
        <w:tc>
          <w:tcPr>
            <w:tcW w:w="867" w:type="pct"/>
            <w:vAlign w:val="center"/>
            <w:hideMark/>
          </w:tcPr>
          <w:p w14:paraId="155C964B" w14:textId="77777777" w:rsidR="00D723BF" w:rsidRPr="002559BF" w:rsidRDefault="00D723BF" w:rsidP="00946ED9">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i/>
                <w:color w:val="auto"/>
                <w:sz w:val="18"/>
                <w:szCs w:val="18"/>
              </w:rPr>
            </w:pPr>
            <w:r w:rsidRPr="002559BF">
              <w:rPr>
                <w:rFonts w:cs="Arial"/>
                <w:color w:val="auto"/>
                <w:sz w:val="18"/>
                <w:szCs w:val="18"/>
              </w:rPr>
              <w:t>n</w:t>
            </w:r>
          </w:p>
        </w:tc>
        <w:tc>
          <w:tcPr>
            <w:tcW w:w="827" w:type="pct"/>
            <w:vAlign w:val="center"/>
            <w:hideMark/>
          </w:tcPr>
          <w:p w14:paraId="1BFE7F49" w14:textId="77777777" w:rsidR="00D723BF" w:rsidRPr="002559BF" w:rsidRDefault="00D723BF" w:rsidP="00946ED9">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i/>
                <w:color w:val="auto"/>
                <w:sz w:val="18"/>
                <w:szCs w:val="18"/>
              </w:rPr>
            </w:pPr>
            <w:r w:rsidRPr="002559BF">
              <w:rPr>
                <w:rFonts w:cs="Arial"/>
                <w:color w:val="auto"/>
                <w:sz w:val="18"/>
                <w:szCs w:val="18"/>
              </w:rPr>
              <w:t>%</w:t>
            </w:r>
          </w:p>
        </w:tc>
      </w:tr>
      <w:tr w:rsidR="009A2BB0" w:rsidRPr="00F0315E" w14:paraId="5C3E1499"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06" w:type="pct"/>
            <w:tcBorders>
              <w:top w:val="single" w:sz="8" w:space="0" w:color="4F81BD"/>
              <w:bottom w:val="single" w:sz="4" w:space="0" w:color="8EAADB" w:themeColor="accent1" w:themeTint="99"/>
            </w:tcBorders>
            <w:shd w:val="clear" w:color="auto" w:fill="D9E2F3"/>
            <w:noWrap/>
            <w:vAlign w:val="center"/>
            <w:hideMark/>
          </w:tcPr>
          <w:p w14:paraId="14287AF8" w14:textId="77777777" w:rsidR="009A2BB0" w:rsidRPr="002559BF" w:rsidRDefault="009A2BB0" w:rsidP="00946ED9">
            <w:pPr>
              <w:widowControl w:val="0"/>
              <w:spacing w:before="20" w:after="20"/>
              <w:rPr>
                <w:rFonts w:cs="Arial"/>
                <w:b w:val="0"/>
                <w:bCs w:val="0"/>
                <w:noProof/>
                <w:color w:val="auto"/>
                <w:sz w:val="18"/>
                <w:szCs w:val="18"/>
              </w:rPr>
            </w:pPr>
            <w:r w:rsidRPr="002559BF">
              <w:rPr>
                <w:rFonts w:cs="Arial"/>
                <w:b w:val="0"/>
                <w:bCs w:val="0"/>
                <w:color w:val="auto"/>
                <w:sz w:val="18"/>
                <w:szCs w:val="18"/>
              </w:rPr>
              <w:t>Državna tijela</w:t>
            </w:r>
          </w:p>
        </w:tc>
        <w:tc>
          <w:tcPr>
            <w:tcW w:w="867" w:type="pct"/>
            <w:tcBorders>
              <w:top w:val="single" w:sz="8" w:space="0" w:color="4F81BD"/>
              <w:bottom w:val="single" w:sz="4" w:space="0" w:color="8EAADB" w:themeColor="accent1" w:themeTint="99"/>
            </w:tcBorders>
            <w:shd w:val="clear" w:color="auto" w:fill="D9E2F3"/>
            <w:hideMark/>
          </w:tcPr>
          <w:p w14:paraId="70022A06" w14:textId="66371D2A" w:rsidR="009A2BB0" w:rsidRPr="002559BF" w:rsidRDefault="009A2BB0"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noProof/>
                <w:color w:val="auto"/>
                <w:sz w:val="18"/>
                <w:szCs w:val="18"/>
              </w:rPr>
            </w:pPr>
            <w:r w:rsidRPr="00823860">
              <w:rPr>
                <w:color w:val="auto"/>
                <w:sz w:val="18"/>
                <w:szCs w:val="18"/>
              </w:rPr>
              <w:t>21</w:t>
            </w:r>
          </w:p>
        </w:tc>
        <w:tc>
          <w:tcPr>
            <w:tcW w:w="827" w:type="pct"/>
            <w:tcBorders>
              <w:top w:val="single" w:sz="8" w:space="0" w:color="4F81BD"/>
              <w:bottom w:val="single" w:sz="4" w:space="0" w:color="8EAADB" w:themeColor="accent1" w:themeTint="99"/>
            </w:tcBorders>
            <w:shd w:val="clear" w:color="auto" w:fill="D9E2F3"/>
            <w:vAlign w:val="center"/>
            <w:hideMark/>
          </w:tcPr>
          <w:p w14:paraId="1E130F49" w14:textId="62CC2638" w:rsidR="009A2BB0" w:rsidRPr="002559BF" w:rsidRDefault="009A2BB0"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noProof/>
                <w:color w:val="auto"/>
                <w:sz w:val="18"/>
                <w:szCs w:val="18"/>
              </w:rPr>
            </w:pPr>
            <w:r w:rsidRPr="00823860">
              <w:rPr>
                <w:color w:val="auto"/>
                <w:sz w:val="18"/>
                <w:szCs w:val="18"/>
              </w:rPr>
              <w:t xml:space="preserve">4 </w:t>
            </w:r>
          </w:p>
        </w:tc>
      </w:tr>
      <w:tr w:rsidR="009A2BB0" w:rsidRPr="00F0315E" w14:paraId="5D8AC212" w14:textId="77777777" w:rsidTr="00946ED9">
        <w:trPr>
          <w:trHeight w:val="340"/>
        </w:trPr>
        <w:tc>
          <w:tcPr>
            <w:cnfStyle w:val="001000000000" w:firstRow="0" w:lastRow="0" w:firstColumn="1" w:lastColumn="0" w:oddVBand="0" w:evenVBand="0" w:oddHBand="0" w:evenHBand="0" w:firstRowFirstColumn="0" w:firstRowLastColumn="0" w:lastRowFirstColumn="0" w:lastRowLastColumn="0"/>
            <w:tcW w:w="3306" w:type="pct"/>
            <w:tcBorders>
              <w:top w:val="single" w:sz="4" w:space="0" w:color="8EAADB" w:themeColor="accent1" w:themeTint="99"/>
              <w:bottom w:val="single" w:sz="4" w:space="0" w:color="8EAADB" w:themeColor="accent1" w:themeTint="99"/>
            </w:tcBorders>
            <w:noWrap/>
            <w:vAlign w:val="center"/>
            <w:hideMark/>
          </w:tcPr>
          <w:p w14:paraId="54A90A72" w14:textId="77777777" w:rsidR="009A2BB0" w:rsidRPr="002559BF" w:rsidRDefault="009A2BB0" w:rsidP="00946ED9">
            <w:pPr>
              <w:widowControl w:val="0"/>
              <w:spacing w:before="20" w:after="20"/>
              <w:rPr>
                <w:rFonts w:cs="Arial"/>
                <w:b w:val="0"/>
                <w:bCs w:val="0"/>
                <w:noProof/>
                <w:color w:val="auto"/>
                <w:sz w:val="18"/>
                <w:szCs w:val="18"/>
              </w:rPr>
            </w:pPr>
            <w:r w:rsidRPr="002559BF">
              <w:rPr>
                <w:rFonts w:cs="Arial"/>
                <w:b w:val="0"/>
                <w:bCs w:val="0"/>
                <w:color w:val="auto"/>
                <w:sz w:val="18"/>
                <w:szCs w:val="18"/>
              </w:rPr>
              <w:t>Tijela državne uprave</w:t>
            </w:r>
          </w:p>
        </w:tc>
        <w:tc>
          <w:tcPr>
            <w:tcW w:w="867" w:type="pct"/>
            <w:tcBorders>
              <w:top w:val="single" w:sz="4" w:space="0" w:color="8EAADB" w:themeColor="accent1" w:themeTint="99"/>
              <w:bottom w:val="single" w:sz="4" w:space="0" w:color="8EAADB" w:themeColor="accent1" w:themeTint="99"/>
            </w:tcBorders>
            <w:hideMark/>
          </w:tcPr>
          <w:p w14:paraId="7402A196" w14:textId="3F905F24" w:rsidR="009A2BB0" w:rsidRPr="002559BF" w:rsidRDefault="009A2BB0"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noProof/>
                <w:color w:val="auto"/>
                <w:sz w:val="18"/>
                <w:szCs w:val="18"/>
              </w:rPr>
            </w:pPr>
            <w:r w:rsidRPr="00823860">
              <w:rPr>
                <w:color w:val="auto"/>
                <w:sz w:val="18"/>
                <w:szCs w:val="18"/>
              </w:rPr>
              <w:t>101</w:t>
            </w:r>
          </w:p>
        </w:tc>
        <w:tc>
          <w:tcPr>
            <w:tcW w:w="827" w:type="pct"/>
            <w:tcBorders>
              <w:top w:val="single" w:sz="4" w:space="0" w:color="8EAADB" w:themeColor="accent1" w:themeTint="99"/>
              <w:bottom w:val="single" w:sz="4" w:space="0" w:color="8EAADB" w:themeColor="accent1" w:themeTint="99"/>
            </w:tcBorders>
            <w:vAlign w:val="center"/>
            <w:hideMark/>
          </w:tcPr>
          <w:p w14:paraId="23FDE018" w14:textId="03E438AB" w:rsidR="009A2BB0" w:rsidRPr="002559BF" w:rsidRDefault="009A2BB0"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noProof/>
                <w:color w:val="auto"/>
                <w:sz w:val="18"/>
                <w:szCs w:val="18"/>
              </w:rPr>
            </w:pPr>
            <w:r w:rsidRPr="00823860">
              <w:rPr>
                <w:color w:val="auto"/>
                <w:sz w:val="18"/>
                <w:szCs w:val="18"/>
              </w:rPr>
              <w:t xml:space="preserve">21 </w:t>
            </w:r>
          </w:p>
        </w:tc>
      </w:tr>
      <w:tr w:rsidR="009A2BB0" w:rsidRPr="00F0315E" w14:paraId="2888A944"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06" w:type="pct"/>
            <w:tcBorders>
              <w:top w:val="single" w:sz="4" w:space="0" w:color="8EAADB" w:themeColor="accent1" w:themeTint="99"/>
              <w:bottom w:val="single" w:sz="4" w:space="0" w:color="8EAADB" w:themeColor="accent1" w:themeTint="99"/>
            </w:tcBorders>
            <w:shd w:val="clear" w:color="auto" w:fill="D9E2F3"/>
            <w:noWrap/>
            <w:vAlign w:val="center"/>
            <w:hideMark/>
          </w:tcPr>
          <w:p w14:paraId="2F442613" w14:textId="19FDF6F1" w:rsidR="009A2BB0" w:rsidRPr="0075748C" w:rsidRDefault="0000186D" w:rsidP="00946ED9">
            <w:pPr>
              <w:widowControl w:val="0"/>
              <w:spacing w:before="20" w:after="20"/>
              <w:rPr>
                <w:rFonts w:cs="Arial"/>
                <w:b w:val="0"/>
                <w:bCs w:val="0"/>
                <w:noProof/>
                <w:color w:val="auto"/>
                <w:sz w:val="18"/>
                <w:szCs w:val="18"/>
              </w:rPr>
            </w:pPr>
            <w:bookmarkStart w:id="135" w:name="_Hlk127191901"/>
            <w:r w:rsidRPr="0075748C">
              <w:rPr>
                <w:rFonts w:cs="Arial"/>
                <w:b w:val="0"/>
                <w:bCs w:val="0"/>
                <w:color w:val="auto"/>
                <w:sz w:val="18"/>
                <w:szCs w:val="18"/>
              </w:rPr>
              <w:t>Jedinice lokalne i područne (regionalne) samouprave</w:t>
            </w:r>
          </w:p>
        </w:tc>
        <w:tc>
          <w:tcPr>
            <w:tcW w:w="867" w:type="pct"/>
            <w:tcBorders>
              <w:top w:val="single" w:sz="4" w:space="0" w:color="8EAADB" w:themeColor="accent1" w:themeTint="99"/>
              <w:bottom w:val="single" w:sz="4" w:space="0" w:color="8EAADB" w:themeColor="accent1" w:themeTint="99"/>
            </w:tcBorders>
            <w:shd w:val="clear" w:color="auto" w:fill="D9E2F3"/>
            <w:hideMark/>
          </w:tcPr>
          <w:p w14:paraId="64757234" w14:textId="7E8A7FFD" w:rsidR="009A2BB0" w:rsidRPr="0075748C" w:rsidRDefault="009A2BB0"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noProof/>
                <w:color w:val="auto"/>
                <w:sz w:val="18"/>
                <w:szCs w:val="18"/>
              </w:rPr>
            </w:pPr>
            <w:r w:rsidRPr="0075748C">
              <w:rPr>
                <w:color w:val="auto"/>
                <w:sz w:val="18"/>
                <w:szCs w:val="18"/>
              </w:rPr>
              <w:t>148</w:t>
            </w:r>
          </w:p>
        </w:tc>
        <w:tc>
          <w:tcPr>
            <w:tcW w:w="827" w:type="pct"/>
            <w:tcBorders>
              <w:top w:val="single" w:sz="4" w:space="0" w:color="8EAADB" w:themeColor="accent1" w:themeTint="99"/>
              <w:bottom w:val="single" w:sz="4" w:space="0" w:color="8EAADB" w:themeColor="accent1" w:themeTint="99"/>
            </w:tcBorders>
            <w:shd w:val="clear" w:color="auto" w:fill="D9E2F3"/>
            <w:vAlign w:val="center"/>
            <w:hideMark/>
          </w:tcPr>
          <w:p w14:paraId="08AB23CA" w14:textId="65F26D1C" w:rsidR="009A2BB0" w:rsidRPr="002559BF" w:rsidRDefault="009A2BB0"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noProof/>
                <w:color w:val="auto"/>
                <w:sz w:val="18"/>
                <w:szCs w:val="18"/>
              </w:rPr>
            </w:pPr>
            <w:r w:rsidRPr="0075748C">
              <w:rPr>
                <w:color w:val="auto"/>
                <w:sz w:val="18"/>
                <w:szCs w:val="18"/>
              </w:rPr>
              <w:t>31</w:t>
            </w:r>
            <w:r w:rsidRPr="00823860">
              <w:rPr>
                <w:color w:val="auto"/>
                <w:sz w:val="18"/>
                <w:szCs w:val="18"/>
              </w:rPr>
              <w:t xml:space="preserve"> </w:t>
            </w:r>
          </w:p>
        </w:tc>
      </w:tr>
      <w:bookmarkEnd w:id="135"/>
      <w:tr w:rsidR="009A2BB0" w:rsidRPr="00F0315E" w14:paraId="78E35CD5" w14:textId="77777777" w:rsidTr="00946ED9">
        <w:trPr>
          <w:trHeight w:val="340"/>
        </w:trPr>
        <w:tc>
          <w:tcPr>
            <w:cnfStyle w:val="001000000000" w:firstRow="0" w:lastRow="0" w:firstColumn="1" w:lastColumn="0" w:oddVBand="0" w:evenVBand="0" w:oddHBand="0" w:evenHBand="0" w:firstRowFirstColumn="0" w:firstRowLastColumn="0" w:lastRowFirstColumn="0" w:lastRowLastColumn="0"/>
            <w:tcW w:w="3306" w:type="pct"/>
            <w:tcBorders>
              <w:top w:val="single" w:sz="4" w:space="0" w:color="8EAADB" w:themeColor="accent1" w:themeTint="99"/>
              <w:bottom w:val="single" w:sz="4" w:space="0" w:color="8EAADB" w:themeColor="accent1" w:themeTint="99"/>
            </w:tcBorders>
            <w:noWrap/>
            <w:vAlign w:val="center"/>
            <w:hideMark/>
          </w:tcPr>
          <w:p w14:paraId="1DD267FA" w14:textId="77777777" w:rsidR="009A2BB0" w:rsidRPr="002559BF" w:rsidRDefault="009A2BB0" w:rsidP="00946ED9">
            <w:pPr>
              <w:widowControl w:val="0"/>
              <w:spacing w:before="20" w:after="20"/>
              <w:rPr>
                <w:rFonts w:cs="Arial"/>
                <w:b w:val="0"/>
                <w:bCs w:val="0"/>
                <w:noProof/>
                <w:color w:val="auto"/>
                <w:sz w:val="18"/>
                <w:szCs w:val="18"/>
              </w:rPr>
            </w:pPr>
            <w:r w:rsidRPr="002559BF">
              <w:rPr>
                <w:rFonts w:cs="Arial"/>
                <w:b w:val="0"/>
                <w:bCs w:val="0"/>
                <w:color w:val="auto"/>
                <w:sz w:val="18"/>
                <w:szCs w:val="18"/>
              </w:rPr>
              <w:t>Agencije, zavodi, centri, fondovi</w:t>
            </w:r>
          </w:p>
        </w:tc>
        <w:tc>
          <w:tcPr>
            <w:tcW w:w="867" w:type="pct"/>
            <w:tcBorders>
              <w:top w:val="single" w:sz="4" w:space="0" w:color="8EAADB" w:themeColor="accent1" w:themeTint="99"/>
              <w:bottom w:val="single" w:sz="4" w:space="0" w:color="8EAADB" w:themeColor="accent1" w:themeTint="99"/>
            </w:tcBorders>
            <w:hideMark/>
          </w:tcPr>
          <w:p w14:paraId="2BEBA63B" w14:textId="52C2BFA5" w:rsidR="009A2BB0" w:rsidRPr="002559BF" w:rsidRDefault="009A2BB0"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noProof/>
                <w:color w:val="auto"/>
                <w:sz w:val="18"/>
                <w:szCs w:val="18"/>
              </w:rPr>
            </w:pPr>
            <w:r w:rsidRPr="00823860">
              <w:rPr>
                <w:color w:val="auto"/>
                <w:sz w:val="18"/>
                <w:szCs w:val="18"/>
              </w:rPr>
              <w:t>39</w:t>
            </w:r>
          </w:p>
        </w:tc>
        <w:tc>
          <w:tcPr>
            <w:tcW w:w="827" w:type="pct"/>
            <w:tcBorders>
              <w:top w:val="single" w:sz="4" w:space="0" w:color="8EAADB" w:themeColor="accent1" w:themeTint="99"/>
              <w:bottom w:val="single" w:sz="4" w:space="0" w:color="8EAADB" w:themeColor="accent1" w:themeTint="99"/>
            </w:tcBorders>
            <w:vAlign w:val="center"/>
            <w:hideMark/>
          </w:tcPr>
          <w:p w14:paraId="0A54F90F" w14:textId="521D5F55" w:rsidR="009A2BB0" w:rsidRPr="002559BF" w:rsidRDefault="009A2BB0"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noProof/>
                <w:color w:val="auto"/>
                <w:sz w:val="18"/>
                <w:szCs w:val="18"/>
              </w:rPr>
            </w:pPr>
            <w:r w:rsidRPr="00823860">
              <w:rPr>
                <w:color w:val="auto"/>
                <w:sz w:val="18"/>
                <w:szCs w:val="18"/>
              </w:rPr>
              <w:t xml:space="preserve">8 </w:t>
            </w:r>
          </w:p>
        </w:tc>
      </w:tr>
      <w:tr w:rsidR="009A2BB0" w:rsidRPr="00F0315E" w14:paraId="047CD35C"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06" w:type="pct"/>
            <w:tcBorders>
              <w:top w:val="single" w:sz="4" w:space="0" w:color="8EAADB" w:themeColor="accent1" w:themeTint="99"/>
              <w:bottom w:val="single" w:sz="4" w:space="0" w:color="8EAADB" w:themeColor="accent1" w:themeTint="99"/>
            </w:tcBorders>
            <w:shd w:val="clear" w:color="auto" w:fill="D9E2F3"/>
            <w:noWrap/>
            <w:vAlign w:val="center"/>
          </w:tcPr>
          <w:p w14:paraId="456D53E9" w14:textId="77777777" w:rsidR="009A2BB0" w:rsidRPr="002559BF" w:rsidRDefault="009A2BB0" w:rsidP="00946ED9">
            <w:pPr>
              <w:widowControl w:val="0"/>
              <w:spacing w:before="20" w:after="20"/>
              <w:rPr>
                <w:rFonts w:cs="Arial"/>
                <w:b w:val="0"/>
                <w:bCs w:val="0"/>
                <w:noProof/>
                <w:color w:val="auto"/>
                <w:sz w:val="18"/>
                <w:szCs w:val="18"/>
              </w:rPr>
            </w:pPr>
            <w:r w:rsidRPr="002559BF">
              <w:rPr>
                <w:rFonts w:cs="Arial"/>
                <w:b w:val="0"/>
                <w:bCs w:val="0"/>
                <w:color w:val="auto"/>
                <w:sz w:val="18"/>
                <w:szCs w:val="18"/>
              </w:rPr>
              <w:t>Ustanove</w:t>
            </w:r>
          </w:p>
        </w:tc>
        <w:tc>
          <w:tcPr>
            <w:tcW w:w="867" w:type="pct"/>
            <w:tcBorders>
              <w:top w:val="single" w:sz="4" w:space="0" w:color="8EAADB" w:themeColor="accent1" w:themeTint="99"/>
              <w:bottom w:val="single" w:sz="4" w:space="0" w:color="8EAADB" w:themeColor="accent1" w:themeTint="99"/>
            </w:tcBorders>
            <w:shd w:val="clear" w:color="auto" w:fill="D9E2F3"/>
            <w:hideMark/>
          </w:tcPr>
          <w:p w14:paraId="0E38E74A" w14:textId="488B9DC8" w:rsidR="009A2BB0" w:rsidRPr="002559BF" w:rsidRDefault="009A2BB0"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noProof/>
                <w:color w:val="auto"/>
                <w:sz w:val="18"/>
                <w:szCs w:val="18"/>
              </w:rPr>
            </w:pPr>
            <w:r w:rsidRPr="00823860">
              <w:rPr>
                <w:color w:val="auto"/>
                <w:sz w:val="18"/>
                <w:szCs w:val="18"/>
              </w:rPr>
              <w:t>80</w:t>
            </w:r>
          </w:p>
        </w:tc>
        <w:tc>
          <w:tcPr>
            <w:tcW w:w="827" w:type="pct"/>
            <w:tcBorders>
              <w:top w:val="single" w:sz="4" w:space="0" w:color="8EAADB" w:themeColor="accent1" w:themeTint="99"/>
              <w:bottom w:val="single" w:sz="4" w:space="0" w:color="8EAADB" w:themeColor="accent1" w:themeTint="99"/>
            </w:tcBorders>
            <w:shd w:val="clear" w:color="auto" w:fill="D9E2F3"/>
            <w:vAlign w:val="center"/>
            <w:hideMark/>
          </w:tcPr>
          <w:p w14:paraId="380DCCF6" w14:textId="03722582" w:rsidR="009A2BB0" w:rsidRPr="002559BF" w:rsidRDefault="009A2BB0"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noProof/>
                <w:color w:val="auto"/>
                <w:sz w:val="18"/>
                <w:szCs w:val="18"/>
              </w:rPr>
            </w:pPr>
            <w:r w:rsidRPr="00823860">
              <w:rPr>
                <w:color w:val="auto"/>
                <w:sz w:val="18"/>
                <w:szCs w:val="18"/>
              </w:rPr>
              <w:t xml:space="preserve">17 </w:t>
            </w:r>
          </w:p>
        </w:tc>
      </w:tr>
      <w:tr w:rsidR="009A2BB0" w:rsidRPr="00F0315E" w14:paraId="0998BEDC" w14:textId="77777777" w:rsidTr="00946ED9">
        <w:trPr>
          <w:trHeight w:val="340"/>
        </w:trPr>
        <w:tc>
          <w:tcPr>
            <w:cnfStyle w:val="001000000000" w:firstRow="0" w:lastRow="0" w:firstColumn="1" w:lastColumn="0" w:oddVBand="0" w:evenVBand="0" w:oddHBand="0" w:evenHBand="0" w:firstRowFirstColumn="0" w:firstRowLastColumn="0" w:lastRowFirstColumn="0" w:lastRowLastColumn="0"/>
            <w:tcW w:w="3306" w:type="pct"/>
            <w:tcBorders>
              <w:top w:val="single" w:sz="4" w:space="0" w:color="8EAADB" w:themeColor="accent1" w:themeTint="99"/>
              <w:bottom w:val="single" w:sz="4" w:space="0" w:color="8EAADB" w:themeColor="accent1" w:themeTint="99"/>
            </w:tcBorders>
            <w:noWrap/>
            <w:vAlign w:val="center"/>
          </w:tcPr>
          <w:p w14:paraId="43C529AB" w14:textId="77777777" w:rsidR="009A2BB0" w:rsidRPr="002559BF" w:rsidRDefault="009A2BB0" w:rsidP="00946ED9">
            <w:pPr>
              <w:widowControl w:val="0"/>
              <w:spacing w:before="20" w:after="20"/>
              <w:rPr>
                <w:rFonts w:cs="Arial"/>
                <w:b w:val="0"/>
                <w:bCs w:val="0"/>
                <w:noProof/>
                <w:color w:val="auto"/>
                <w:sz w:val="18"/>
                <w:szCs w:val="18"/>
              </w:rPr>
            </w:pPr>
            <w:r w:rsidRPr="002559BF">
              <w:rPr>
                <w:rFonts w:cs="Arial"/>
                <w:b w:val="0"/>
                <w:bCs w:val="0"/>
                <w:color w:val="auto"/>
                <w:sz w:val="18"/>
                <w:szCs w:val="18"/>
              </w:rPr>
              <w:t>Trgovačka društva</w:t>
            </w:r>
          </w:p>
        </w:tc>
        <w:tc>
          <w:tcPr>
            <w:tcW w:w="867" w:type="pct"/>
            <w:tcBorders>
              <w:top w:val="single" w:sz="4" w:space="0" w:color="8EAADB" w:themeColor="accent1" w:themeTint="99"/>
              <w:bottom w:val="single" w:sz="4" w:space="0" w:color="8EAADB" w:themeColor="accent1" w:themeTint="99"/>
            </w:tcBorders>
            <w:hideMark/>
          </w:tcPr>
          <w:p w14:paraId="7DDC5644" w14:textId="4FAB446F" w:rsidR="009A2BB0" w:rsidRPr="002559BF" w:rsidRDefault="009A2BB0"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noProof/>
                <w:color w:val="auto"/>
                <w:sz w:val="18"/>
                <w:szCs w:val="18"/>
              </w:rPr>
            </w:pPr>
            <w:r w:rsidRPr="00823860">
              <w:rPr>
                <w:color w:val="auto"/>
                <w:sz w:val="18"/>
                <w:szCs w:val="18"/>
              </w:rPr>
              <w:t>43</w:t>
            </w:r>
          </w:p>
        </w:tc>
        <w:tc>
          <w:tcPr>
            <w:tcW w:w="827" w:type="pct"/>
            <w:tcBorders>
              <w:top w:val="single" w:sz="4" w:space="0" w:color="8EAADB" w:themeColor="accent1" w:themeTint="99"/>
              <w:bottom w:val="single" w:sz="4" w:space="0" w:color="8EAADB" w:themeColor="accent1" w:themeTint="99"/>
            </w:tcBorders>
            <w:vAlign w:val="center"/>
            <w:hideMark/>
          </w:tcPr>
          <w:p w14:paraId="08E6640B" w14:textId="1327C70A" w:rsidR="009A2BB0" w:rsidRPr="002559BF" w:rsidRDefault="009A2BB0"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noProof/>
                <w:color w:val="auto"/>
                <w:sz w:val="18"/>
                <w:szCs w:val="18"/>
              </w:rPr>
            </w:pPr>
            <w:r w:rsidRPr="00823860">
              <w:rPr>
                <w:color w:val="auto"/>
                <w:sz w:val="18"/>
                <w:szCs w:val="18"/>
              </w:rPr>
              <w:t xml:space="preserve">9 </w:t>
            </w:r>
          </w:p>
        </w:tc>
      </w:tr>
      <w:tr w:rsidR="009A2BB0" w:rsidRPr="00F0315E" w14:paraId="2928CB17"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06" w:type="pct"/>
            <w:tcBorders>
              <w:top w:val="single" w:sz="4" w:space="0" w:color="8EAADB" w:themeColor="accent1" w:themeTint="99"/>
              <w:bottom w:val="single" w:sz="4" w:space="0" w:color="8EAADB" w:themeColor="accent1" w:themeTint="99"/>
            </w:tcBorders>
            <w:shd w:val="clear" w:color="auto" w:fill="D9E2F3"/>
            <w:noWrap/>
            <w:vAlign w:val="center"/>
          </w:tcPr>
          <w:p w14:paraId="43DEAEA0" w14:textId="77777777" w:rsidR="009A2BB0" w:rsidRPr="002559BF" w:rsidRDefault="009A2BB0" w:rsidP="00946ED9">
            <w:pPr>
              <w:widowControl w:val="0"/>
              <w:spacing w:before="20" w:after="20"/>
              <w:rPr>
                <w:rFonts w:cs="Arial"/>
                <w:b w:val="0"/>
                <w:bCs w:val="0"/>
                <w:noProof/>
                <w:color w:val="auto"/>
                <w:sz w:val="18"/>
                <w:szCs w:val="18"/>
              </w:rPr>
            </w:pPr>
            <w:r w:rsidRPr="002559BF">
              <w:rPr>
                <w:rFonts w:cs="Arial"/>
                <w:b w:val="0"/>
                <w:bCs w:val="0"/>
                <w:color w:val="auto"/>
                <w:sz w:val="18"/>
                <w:szCs w:val="18"/>
              </w:rPr>
              <w:t>Udruge</w:t>
            </w:r>
          </w:p>
        </w:tc>
        <w:tc>
          <w:tcPr>
            <w:tcW w:w="867" w:type="pct"/>
            <w:tcBorders>
              <w:top w:val="single" w:sz="4" w:space="0" w:color="8EAADB" w:themeColor="accent1" w:themeTint="99"/>
              <w:bottom w:val="single" w:sz="4" w:space="0" w:color="8EAADB" w:themeColor="accent1" w:themeTint="99"/>
            </w:tcBorders>
            <w:shd w:val="clear" w:color="auto" w:fill="D9E2F3"/>
            <w:hideMark/>
          </w:tcPr>
          <w:p w14:paraId="50DE0C83" w14:textId="6EE8A7B3" w:rsidR="009A2BB0" w:rsidRPr="002559BF" w:rsidRDefault="009A2BB0"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noProof/>
                <w:color w:val="auto"/>
                <w:sz w:val="18"/>
                <w:szCs w:val="18"/>
              </w:rPr>
            </w:pPr>
            <w:r w:rsidRPr="00823860">
              <w:rPr>
                <w:color w:val="auto"/>
                <w:sz w:val="18"/>
                <w:szCs w:val="18"/>
              </w:rPr>
              <w:t>5</w:t>
            </w:r>
          </w:p>
        </w:tc>
        <w:tc>
          <w:tcPr>
            <w:tcW w:w="827" w:type="pct"/>
            <w:tcBorders>
              <w:top w:val="single" w:sz="4" w:space="0" w:color="8EAADB" w:themeColor="accent1" w:themeTint="99"/>
              <w:bottom w:val="single" w:sz="4" w:space="0" w:color="8EAADB" w:themeColor="accent1" w:themeTint="99"/>
            </w:tcBorders>
            <w:shd w:val="clear" w:color="auto" w:fill="D9E2F3"/>
            <w:vAlign w:val="center"/>
            <w:hideMark/>
          </w:tcPr>
          <w:p w14:paraId="7192D601" w14:textId="50B347C0" w:rsidR="009A2BB0" w:rsidRPr="002559BF" w:rsidRDefault="009A2BB0"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noProof/>
                <w:color w:val="auto"/>
                <w:sz w:val="18"/>
                <w:szCs w:val="18"/>
              </w:rPr>
            </w:pPr>
            <w:r w:rsidRPr="00823860">
              <w:rPr>
                <w:color w:val="auto"/>
                <w:sz w:val="18"/>
                <w:szCs w:val="18"/>
              </w:rPr>
              <w:t xml:space="preserve">1 </w:t>
            </w:r>
          </w:p>
        </w:tc>
      </w:tr>
      <w:tr w:rsidR="009A2BB0" w:rsidRPr="00F0315E" w14:paraId="56FB86D2" w14:textId="77777777" w:rsidTr="00946ED9">
        <w:trPr>
          <w:trHeight w:val="340"/>
        </w:trPr>
        <w:tc>
          <w:tcPr>
            <w:cnfStyle w:val="001000000000" w:firstRow="0" w:lastRow="0" w:firstColumn="1" w:lastColumn="0" w:oddVBand="0" w:evenVBand="0" w:oddHBand="0" w:evenHBand="0" w:firstRowFirstColumn="0" w:firstRowLastColumn="0" w:lastRowFirstColumn="0" w:lastRowLastColumn="0"/>
            <w:tcW w:w="3306" w:type="pct"/>
            <w:tcBorders>
              <w:top w:val="single" w:sz="4" w:space="0" w:color="8EAADB" w:themeColor="accent1" w:themeTint="99"/>
              <w:bottom w:val="single" w:sz="4" w:space="0" w:color="8EAADB" w:themeColor="accent1" w:themeTint="99"/>
            </w:tcBorders>
            <w:noWrap/>
            <w:vAlign w:val="center"/>
          </w:tcPr>
          <w:p w14:paraId="1D040C65" w14:textId="77777777" w:rsidR="009A2BB0" w:rsidRPr="002559BF" w:rsidRDefault="009A2BB0" w:rsidP="00946ED9">
            <w:pPr>
              <w:widowControl w:val="0"/>
              <w:spacing w:before="20" w:after="20"/>
              <w:rPr>
                <w:rFonts w:cs="Arial"/>
                <w:b w:val="0"/>
                <w:bCs w:val="0"/>
                <w:noProof/>
                <w:color w:val="auto"/>
                <w:sz w:val="18"/>
                <w:szCs w:val="18"/>
              </w:rPr>
            </w:pPr>
            <w:r w:rsidRPr="002559BF">
              <w:rPr>
                <w:rFonts w:cs="Arial"/>
                <w:b w:val="0"/>
                <w:bCs w:val="0"/>
                <w:color w:val="auto"/>
                <w:sz w:val="18"/>
                <w:szCs w:val="18"/>
              </w:rPr>
              <w:t>Ostala TJV</w:t>
            </w:r>
          </w:p>
        </w:tc>
        <w:tc>
          <w:tcPr>
            <w:tcW w:w="867" w:type="pct"/>
            <w:tcBorders>
              <w:top w:val="single" w:sz="4" w:space="0" w:color="8EAADB" w:themeColor="accent1" w:themeTint="99"/>
              <w:bottom w:val="single" w:sz="4" w:space="0" w:color="8EAADB" w:themeColor="accent1" w:themeTint="99"/>
            </w:tcBorders>
            <w:hideMark/>
          </w:tcPr>
          <w:p w14:paraId="3F5C4CC4" w14:textId="5B628DFD" w:rsidR="009A2BB0" w:rsidRPr="002559BF" w:rsidRDefault="009A2BB0"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noProof/>
                <w:color w:val="auto"/>
                <w:sz w:val="18"/>
                <w:szCs w:val="18"/>
              </w:rPr>
            </w:pPr>
            <w:r w:rsidRPr="00823860">
              <w:rPr>
                <w:color w:val="auto"/>
                <w:sz w:val="18"/>
                <w:szCs w:val="18"/>
              </w:rPr>
              <w:t>43</w:t>
            </w:r>
          </w:p>
        </w:tc>
        <w:tc>
          <w:tcPr>
            <w:tcW w:w="827" w:type="pct"/>
            <w:tcBorders>
              <w:top w:val="single" w:sz="4" w:space="0" w:color="8EAADB" w:themeColor="accent1" w:themeTint="99"/>
              <w:bottom w:val="single" w:sz="4" w:space="0" w:color="8EAADB" w:themeColor="accent1" w:themeTint="99"/>
            </w:tcBorders>
            <w:vAlign w:val="center"/>
            <w:hideMark/>
          </w:tcPr>
          <w:p w14:paraId="52F9DF62" w14:textId="3AE3A4F9" w:rsidR="009A2BB0" w:rsidRPr="002559BF" w:rsidRDefault="009A2BB0"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noProof/>
                <w:color w:val="auto"/>
                <w:sz w:val="18"/>
                <w:szCs w:val="18"/>
              </w:rPr>
            </w:pPr>
            <w:r w:rsidRPr="00823860">
              <w:rPr>
                <w:color w:val="auto"/>
                <w:sz w:val="18"/>
                <w:szCs w:val="18"/>
              </w:rPr>
              <w:t xml:space="preserve">9 </w:t>
            </w:r>
          </w:p>
        </w:tc>
      </w:tr>
      <w:tr w:rsidR="009A2BB0" w:rsidRPr="00F0315E" w14:paraId="46B45547"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06" w:type="pct"/>
            <w:tcBorders>
              <w:top w:val="single" w:sz="4" w:space="0" w:color="8EAADB" w:themeColor="accent1" w:themeTint="99"/>
            </w:tcBorders>
            <w:noWrap/>
            <w:vAlign w:val="center"/>
            <w:hideMark/>
          </w:tcPr>
          <w:p w14:paraId="0A70066D" w14:textId="77777777" w:rsidR="009A2BB0" w:rsidRPr="002559BF" w:rsidRDefault="009A2BB0" w:rsidP="00946ED9">
            <w:pPr>
              <w:widowControl w:val="0"/>
              <w:spacing w:before="20" w:after="20"/>
              <w:jc w:val="left"/>
              <w:rPr>
                <w:rFonts w:cs="Arial"/>
                <w:noProof/>
                <w:color w:val="auto"/>
                <w:sz w:val="18"/>
                <w:szCs w:val="18"/>
              </w:rPr>
            </w:pPr>
            <w:r w:rsidRPr="002559BF">
              <w:rPr>
                <w:rFonts w:cs="Arial"/>
                <w:color w:val="auto"/>
                <w:sz w:val="18"/>
                <w:szCs w:val="18"/>
              </w:rPr>
              <w:t>UKUPNO</w:t>
            </w:r>
          </w:p>
        </w:tc>
        <w:tc>
          <w:tcPr>
            <w:tcW w:w="867" w:type="pct"/>
            <w:tcBorders>
              <w:top w:val="single" w:sz="4" w:space="0" w:color="8EAADB" w:themeColor="accent1" w:themeTint="99"/>
            </w:tcBorders>
            <w:vAlign w:val="center"/>
            <w:hideMark/>
          </w:tcPr>
          <w:p w14:paraId="06B338CD" w14:textId="18F568EB" w:rsidR="009A2BB0" w:rsidRPr="002559BF" w:rsidRDefault="009A2BB0"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rPr>
            </w:pPr>
            <w:r w:rsidRPr="00823860">
              <w:rPr>
                <w:color w:val="auto"/>
                <w:sz w:val="18"/>
                <w:szCs w:val="18"/>
              </w:rPr>
              <w:t>480</w:t>
            </w:r>
          </w:p>
        </w:tc>
        <w:tc>
          <w:tcPr>
            <w:tcW w:w="827" w:type="pct"/>
            <w:tcBorders>
              <w:top w:val="single" w:sz="4" w:space="0" w:color="8EAADB" w:themeColor="accent1" w:themeTint="99"/>
            </w:tcBorders>
            <w:vAlign w:val="center"/>
            <w:hideMark/>
          </w:tcPr>
          <w:p w14:paraId="2496C29A" w14:textId="7B00CFE0" w:rsidR="009A2BB0" w:rsidRPr="002559BF" w:rsidRDefault="009A2BB0"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noProof/>
                <w:color w:val="auto"/>
                <w:sz w:val="18"/>
                <w:szCs w:val="18"/>
              </w:rPr>
            </w:pPr>
            <w:r w:rsidRPr="00823860">
              <w:rPr>
                <w:color w:val="auto"/>
                <w:sz w:val="18"/>
                <w:szCs w:val="18"/>
              </w:rPr>
              <w:t>100</w:t>
            </w:r>
          </w:p>
        </w:tc>
      </w:tr>
    </w:tbl>
    <w:p w14:paraId="7FB90E26" w14:textId="22AB33C9" w:rsidR="009A2BB0" w:rsidRPr="00823860" w:rsidRDefault="00EB298F" w:rsidP="009A2BB0">
      <w:pPr>
        <w:spacing w:before="240"/>
        <w:rPr>
          <w:rFonts w:cs="Arial"/>
        </w:rPr>
      </w:pPr>
      <w:r w:rsidRPr="00EB298F">
        <w:rPr>
          <w:rFonts w:cs="Arial"/>
        </w:rPr>
        <w:t>Promatrajući prema pojedinim razlozima podnošenja u ukupnom broju podnesenih predstavki (Slika 6.3.), primjetan je značajan pad u udjelu predstavki koje se odnose na propuste i nepravilnosti u rješavanju zahtjeva za pristup informacijama, odnosno na nerješavanje zahtjeva u zakonskom roku (sa 74% u 2024. na 57% u 2025. godini), dok je udio predstavki zbog ostalih nedostataka u primjeni ZPPI-ja (proaktivna objava, savjetovanje s javnošću, javnost rada tijela javne vlasti) u blagom porastu u odnosu na ranije godine.</w:t>
      </w:r>
    </w:p>
    <w:p w14:paraId="002043B3" w14:textId="79CFB524" w:rsidR="00D723BF" w:rsidRDefault="00D723BF" w:rsidP="00DC0397">
      <w:pPr>
        <w:keepNext/>
        <w:widowControl w:val="0"/>
        <w:spacing w:before="240" w:after="0"/>
        <w:rPr>
          <w:rFonts w:cs="Arial"/>
          <w:sz w:val="18"/>
          <w:szCs w:val="18"/>
        </w:rPr>
      </w:pPr>
      <w:r w:rsidRPr="00F0315E">
        <w:rPr>
          <w:rFonts w:cs="Arial"/>
          <w:sz w:val="18"/>
          <w:szCs w:val="18"/>
        </w:rPr>
        <w:lastRenderedPageBreak/>
        <w:t xml:space="preserve">Slika </w:t>
      </w:r>
      <w:r w:rsidR="005D780B" w:rsidRPr="00F0315E">
        <w:rPr>
          <w:rFonts w:cs="Arial"/>
          <w:sz w:val="18"/>
          <w:szCs w:val="18"/>
        </w:rPr>
        <w:t>6</w:t>
      </w:r>
      <w:r w:rsidRPr="00F0315E">
        <w:rPr>
          <w:rFonts w:cs="Arial"/>
          <w:sz w:val="18"/>
          <w:szCs w:val="18"/>
        </w:rPr>
        <w:t>.3. Struktura predstavki prema razlozima podnošenja predstavki</w:t>
      </w:r>
      <w:r w:rsidR="00F4748F" w:rsidRPr="00F0315E">
        <w:rPr>
          <w:rFonts w:cs="Arial"/>
          <w:sz w:val="18"/>
          <w:szCs w:val="18"/>
        </w:rPr>
        <w:t xml:space="preserve"> </w:t>
      </w:r>
    </w:p>
    <w:p w14:paraId="5C0400A6" w14:textId="1955E66B" w:rsidR="009A2BB0" w:rsidRDefault="009A2BB0" w:rsidP="00DC0397">
      <w:pPr>
        <w:keepNext/>
        <w:widowControl w:val="0"/>
        <w:spacing w:before="240" w:after="0"/>
        <w:rPr>
          <w:rFonts w:cs="Arial"/>
          <w:sz w:val="18"/>
          <w:szCs w:val="18"/>
        </w:rPr>
      </w:pPr>
      <w:r>
        <w:rPr>
          <w:noProof/>
          <w14:ligatures w14:val="standardContextual"/>
        </w:rPr>
        <w:drawing>
          <wp:inline distT="0" distB="0" distL="0" distR="0" wp14:anchorId="0F7558E3" wp14:editId="7CF26AB0">
            <wp:extent cx="5760720" cy="2389505"/>
            <wp:effectExtent l="0" t="0" r="11430" b="10795"/>
            <wp:docPr id="26848400" name="Grafikon 1">
              <a:extLst xmlns:a="http://schemas.openxmlformats.org/drawingml/2006/main">
                <a:ext uri="{FF2B5EF4-FFF2-40B4-BE49-F238E27FC236}">
                  <a16:creationId xmlns:a16="http://schemas.microsoft.com/office/drawing/2014/main" id="{9E8BE47E-1F04-4434-96C8-0C97F3687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0AD0A4" w14:textId="29E2BACD" w:rsidR="009A2BB0" w:rsidRPr="00BD71EE" w:rsidRDefault="00BD71EE" w:rsidP="00946ED9">
      <w:pPr>
        <w:spacing w:before="240"/>
        <w:rPr>
          <w:noProof/>
          <w14:ligatures w14:val="standardContextual"/>
        </w:rPr>
      </w:pPr>
      <w:r w:rsidRPr="00BD71EE">
        <w:rPr>
          <w:noProof/>
          <w14:ligatures w14:val="standardContextual"/>
        </w:rPr>
        <w:t>Za naglasiti je kako je tijekom 2025. godine zaprimljena i jedna predstavka vezana uz način rješavanja zahtjeva za pristup informacijama u kojoj je utvrđeno, imajući u vidu sadržaj postavljenog zahtjeva, da je moguće riječ o informacijama o okolišu. Stoga je od tijela javne vlastu zatraženo postupanje na način da ako se utvrdi da je riječ o zahtjevu za pristup informacijama o okolišu da ga treba riješiti na jedan od načina propisan u Zakonu o zaštiti okoliša, a ako se utvrdi da je riječ o zahtjevu za pristup informacijama, da ga treba riješiti sukladno odredbama ZPPI-ja. Tijelo javne vlasti na kraju je riješilo zahtjev prema ZPPI-ju, dostavom tražene informacije.</w:t>
      </w:r>
    </w:p>
    <w:p w14:paraId="0A614558" w14:textId="372BAF59" w:rsidR="00052EB6" w:rsidRPr="00F0315E" w:rsidRDefault="00926489" w:rsidP="00EB4FDB">
      <w:pPr>
        <w:pStyle w:val="Naslov2"/>
        <w:ind w:left="1276" w:hanging="567"/>
      </w:pPr>
      <w:bookmarkStart w:id="136" w:name="_Toc66103155"/>
      <w:bookmarkStart w:id="137" w:name="_Toc225865606"/>
      <w:r w:rsidRPr="7D481D26">
        <w:t>Inspekcijski</w:t>
      </w:r>
      <w:r w:rsidR="00052EB6" w:rsidRPr="7D481D26">
        <w:t xml:space="preserve"> nadzor</w:t>
      </w:r>
      <w:bookmarkEnd w:id="136"/>
      <w:bookmarkEnd w:id="137"/>
    </w:p>
    <w:p w14:paraId="1282E02F" w14:textId="77777777" w:rsidR="0071638E" w:rsidRPr="0071638E" w:rsidRDefault="0071638E" w:rsidP="0071638E">
      <w:pPr>
        <w:rPr>
          <w:rFonts w:cs="Arial"/>
        </w:rPr>
      </w:pPr>
      <w:bookmarkStart w:id="138" w:name="_Toc36308953"/>
      <w:bookmarkStart w:id="139" w:name="_Toc66103156"/>
      <w:r w:rsidRPr="0071638E">
        <w:rPr>
          <w:rFonts w:cs="Arial"/>
        </w:rPr>
        <w:t xml:space="preserve">Provedba inspekcijskih nadzora tijekom kalendarske godine ovisi o broju zaprimljenih predstavki (tzv. predinspekcijski postupak) te o administrativnim mogućnostima ovlaštenih službenika Službe za praćenje i promicanje prava na pristup informacijama koji uz inspekcijske poslove i rad po predstavkama odgovaraju na stručne upite, izrađuju analitička praćenja, osmišljavaju edukativne programe i provode edukacije iz područja primjene ZPPI-ja, pripremaju i objavljuju odluke i mišljenja u Tražilici TOM i u internetskoj rubrici „Iz prakse Povjerenika“ te sudjeluju u provedbi međuinstitucionalne i međunarodne suradnje. </w:t>
      </w:r>
    </w:p>
    <w:p w14:paraId="41DF1E1A" w14:textId="77777777" w:rsidR="0071638E" w:rsidRPr="0071638E" w:rsidRDefault="0071638E" w:rsidP="0071638E">
      <w:pPr>
        <w:rPr>
          <w:rFonts w:cs="Arial"/>
        </w:rPr>
      </w:pPr>
      <w:r w:rsidRPr="0071638E">
        <w:rPr>
          <w:rFonts w:cs="Arial"/>
        </w:rPr>
        <w:t xml:space="preserve">Za naglasiti je kako su odredbe ZPPI-ja o nadzoru (članci 41.-59. ZPPI-ja) preuzete iz ranije važećeg Zakona o upravnoj inspekciji („Narodne novine“, br. 63/08) i nisu mijenjane od 2013. godine niti su bile obuhvaćene radom evaluacijskog tima za provedbu projekta vrednovanja učinaka ZPPI-ja koji je realiziran u okviru mjere iz Nacionalnog plana oporavka i otpornosti 2021.-2026., C2.6.R2 „Unaprjeđenje provedbe Zakona o pravu na pristup informacijama“, dok praksa ukazuje na potrebu redefiniranja propisanog načina rada u svrhu bržih i efikasnijih provedbi inspekcijskih nadzora.  </w:t>
      </w:r>
    </w:p>
    <w:p w14:paraId="279299AC" w14:textId="77777777" w:rsidR="0071638E" w:rsidRPr="0071638E" w:rsidRDefault="0071638E" w:rsidP="0071638E">
      <w:pPr>
        <w:rPr>
          <w:rFonts w:cs="Arial"/>
        </w:rPr>
      </w:pPr>
      <w:r w:rsidRPr="0071638E">
        <w:rPr>
          <w:rFonts w:cs="Arial"/>
        </w:rPr>
        <w:t>U 2025. godini proveden je ukupno 31 inspekcijski nadzor.</w:t>
      </w:r>
    </w:p>
    <w:p w14:paraId="10A9EFD1" w14:textId="3E1E273D" w:rsidR="00A95A34" w:rsidRDefault="0071638E" w:rsidP="0071638E">
      <w:pPr>
        <w:rPr>
          <w:rFonts w:cs="Arial"/>
        </w:rPr>
      </w:pPr>
      <w:r w:rsidRPr="0071638E">
        <w:rPr>
          <w:rFonts w:cs="Arial"/>
        </w:rPr>
        <w:lastRenderedPageBreak/>
        <w:t>Tijekom izvještajnog razdoblja Ured povjerenika je provodio neposredne (ciljane) inspekcijske nadzore (izravnim uvidom u podatke, dokumentaciju, uvjete i način rada u nadziranom tijelu) i posredne ciljane inspekcijske nadzore (izravnim uvidom u dostavljene podatke i dokumentaciju s fokusom na neispunjavanje zakonske obveze ili predmet predstavke). Većina inspekcijskih nadzora provedena je u određenom ciljanom segmentu primjene ZPPI-ja (ispunjavanje obveze proaktivne objave informacija iz članka 10. stavka 1. točaka 3., 7. i 12. ZPPI-ja, ispunjavanje obveze objave dokumenata u svrhu savjetovanja s javnošću prema članku 11. ZPPI-ja i obveze javnosti rada prema članku 12. ZPPI-ja).</w:t>
      </w:r>
    </w:p>
    <w:p w14:paraId="1CC82C0C" w14:textId="77777777" w:rsidR="00A062E1" w:rsidRPr="001326F5" w:rsidRDefault="00A062E1" w:rsidP="009032D7">
      <w:pPr>
        <w:pStyle w:val="Naslov3"/>
        <w:ind w:left="1985"/>
      </w:pPr>
      <w:bookmarkStart w:id="140" w:name="_Toc162445764"/>
      <w:bookmarkStart w:id="141" w:name="_Toc225511716"/>
      <w:bookmarkStart w:id="142" w:name="_Toc225865607"/>
      <w:r>
        <w:t>Neposredni inspekcijski nadzor</w:t>
      </w:r>
      <w:bookmarkEnd w:id="140"/>
      <w:bookmarkEnd w:id="141"/>
      <w:bookmarkEnd w:id="142"/>
    </w:p>
    <w:p w14:paraId="751B1677" w14:textId="77777777" w:rsidR="00A062E1" w:rsidRPr="001719CB" w:rsidRDefault="00A062E1" w:rsidP="00A062E1">
      <w:pPr>
        <w:rPr>
          <w:rFonts w:cs="Arial"/>
        </w:rPr>
      </w:pPr>
      <w:r w:rsidRPr="001719CB">
        <w:rPr>
          <w:rFonts w:cs="Arial"/>
        </w:rPr>
        <w:t xml:space="preserve">U 2025. je provedeno 8 neposrednih ciljanih inspekcijskih nadzora po službenoj dužnosti. Nijedno od nadziranih tijela nije iskoristilo mogućnost prigovora na zapisnik. </w:t>
      </w:r>
    </w:p>
    <w:p w14:paraId="2B39C62C" w14:textId="35FE0007" w:rsidR="00A062E1" w:rsidRPr="001719CB" w:rsidRDefault="00A062E1" w:rsidP="00A062E1">
      <w:pPr>
        <w:keepNext/>
        <w:widowControl w:val="0"/>
        <w:spacing w:line="240" w:lineRule="auto"/>
        <w:rPr>
          <w:rFonts w:cs="Arial"/>
          <w:sz w:val="18"/>
          <w:szCs w:val="18"/>
        </w:rPr>
      </w:pPr>
      <w:r w:rsidRPr="0075748C">
        <w:rPr>
          <w:rFonts w:cs="Arial"/>
          <w:sz w:val="18"/>
          <w:szCs w:val="18"/>
        </w:rPr>
        <w:t xml:space="preserve">Tablica </w:t>
      </w:r>
      <w:r w:rsidR="007E6411" w:rsidRPr="0075748C">
        <w:rPr>
          <w:rFonts w:cs="Arial"/>
          <w:sz w:val="18"/>
          <w:szCs w:val="18"/>
        </w:rPr>
        <w:t>6.4.</w:t>
      </w:r>
      <w:r w:rsidRPr="0075748C">
        <w:rPr>
          <w:rFonts w:cs="Arial"/>
          <w:sz w:val="18"/>
          <w:szCs w:val="18"/>
        </w:rPr>
        <w:t xml:space="preserve"> Tijela javne vlasti nad kojima je proveden neposredni inspekcijski nadzor u 2025.</w:t>
      </w:r>
    </w:p>
    <w:tbl>
      <w:tblPr>
        <w:tblW w:w="5000" w:type="pct"/>
        <w:tblBorders>
          <w:top w:val="single" w:sz="8" w:space="0" w:color="4F81BD"/>
          <w:bottom w:val="single" w:sz="8" w:space="0" w:color="4F81BD"/>
        </w:tblBorders>
        <w:tblLayout w:type="fixed"/>
        <w:tblLook w:val="04A0" w:firstRow="1" w:lastRow="0" w:firstColumn="1" w:lastColumn="0" w:noHBand="0" w:noVBand="1"/>
      </w:tblPr>
      <w:tblGrid>
        <w:gridCol w:w="2224"/>
        <w:gridCol w:w="1274"/>
        <w:gridCol w:w="3732"/>
        <w:gridCol w:w="1842"/>
      </w:tblGrid>
      <w:tr w:rsidR="00A062E1" w:rsidRPr="001719CB" w14:paraId="2EE7F454" w14:textId="77777777" w:rsidTr="00946ED9">
        <w:trPr>
          <w:trHeight w:val="340"/>
        </w:trPr>
        <w:tc>
          <w:tcPr>
            <w:tcW w:w="1226" w:type="pct"/>
            <w:tcBorders>
              <w:top w:val="single" w:sz="8" w:space="0" w:color="4F81BD"/>
              <w:left w:val="nil"/>
              <w:bottom w:val="single" w:sz="8" w:space="0" w:color="4F81BD"/>
              <w:right w:val="nil"/>
            </w:tcBorders>
            <w:noWrap/>
            <w:vAlign w:val="center"/>
            <w:hideMark/>
          </w:tcPr>
          <w:p w14:paraId="627451E3" w14:textId="77777777" w:rsidR="00A062E1" w:rsidRPr="001719CB" w:rsidRDefault="00A062E1" w:rsidP="00946ED9">
            <w:pPr>
              <w:spacing w:before="20" w:after="20"/>
              <w:jc w:val="center"/>
              <w:rPr>
                <w:rFonts w:cs="Arial"/>
                <w:b/>
                <w:bCs/>
                <w:sz w:val="18"/>
                <w:szCs w:val="18"/>
              </w:rPr>
            </w:pPr>
            <w:r w:rsidRPr="001719CB">
              <w:rPr>
                <w:rFonts w:cs="Arial"/>
                <w:b/>
                <w:bCs/>
                <w:sz w:val="18"/>
                <w:szCs w:val="18"/>
              </w:rPr>
              <w:t>Vrsta tijela</w:t>
            </w:r>
          </w:p>
        </w:tc>
        <w:tc>
          <w:tcPr>
            <w:tcW w:w="702" w:type="pct"/>
            <w:tcBorders>
              <w:top w:val="single" w:sz="8" w:space="0" w:color="4F81BD"/>
              <w:left w:val="nil"/>
              <w:bottom w:val="single" w:sz="8" w:space="0" w:color="4F81BD"/>
              <w:right w:val="nil"/>
            </w:tcBorders>
            <w:vAlign w:val="center"/>
            <w:hideMark/>
          </w:tcPr>
          <w:p w14:paraId="23764B62" w14:textId="77777777" w:rsidR="00A062E1" w:rsidRPr="001719CB" w:rsidRDefault="00A062E1" w:rsidP="00946ED9">
            <w:pPr>
              <w:spacing w:before="20" w:after="20"/>
              <w:jc w:val="center"/>
              <w:rPr>
                <w:rFonts w:cs="Arial"/>
                <w:b/>
                <w:bCs/>
                <w:sz w:val="18"/>
                <w:szCs w:val="18"/>
              </w:rPr>
            </w:pPr>
            <w:r w:rsidRPr="001719CB">
              <w:rPr>
                <w:rFonts w:cs="Arial"/>
                <w:b/>
                <w:bCs/>
                <w:sz w:val="18"/>
                <w:szCs w:val="18"/>
              </w:rPr>
              <w:t>Broj nadzora</w:t>
            </w:r>
          </w:p>
        </w:tc>
        <w:tc>
          <w:tcPr>
            <w:tcW w:w="2057" w:type="pct"/>
            <w:tcBorders>
              <w:top w:val="single" w:sz="8" w:space="0" w:color="4F81BD"/>
              <w:left w:val="nil"/>
              <w:bottom w:val="single" w:sz="8" w:space="0" w:color="4F81BD"/>
              <w:right w:val="nil"/>
            </w:tcBorders>
            <w:vAlign w:val="center"/>
            <w:hideMark/>
          </w:tcPr>
          <w:p w14:paraId="0C36A0E2" w14:textId="77777777" w:rsidR="00A062E1" w:rsidRPr="001719CB" w:rsidRDefault="00A062E1" w:rsidP="00946ED9">
            <w:pPr>
              <w:spacing w:before="20" w:after="20"/>
              <w:jc w:val="center"/>
              <w:rPr>
                <w:rFonts w:cs="Arial"/>
                <w:b/>
                <w:bCs/>
                <w:sz w:val="18"/>
                <w:szCs w:val="18"/>
              </w:rPr>
            </w:pPr>
            <w:r w:rsidRPr="001719CB">
              <w:rPr>
                <w:rFonts w:cs="Arial"/>
                <w:b/>
                <w:bCs/>
                <w:sz w:val="18"/>
                <w:szCs w:val="18"/>
              </w:rPr>
              <w:t>Tijela javne vlasti</w:t>
            </w:r>
          </w:p>
        </w:tc>
        <w:tc>
          <w:tcPr>
            <w:tcW w:w="1015" w:type="pct"/>
            <w:tcBorders>
              <w:top w:val="single" w:sz="8" w:space="0" w:color="4F81BD"/>
              <w:left w:val="nil"/>
              <w:bottom w:val="single" w:sz="8" w:space="0" w:color="4F81BD"/>
              <w:right w:val="nil"/>
            </w:tcBorders>
            <w:vAlign w:val="center"/>
            <w:hideMark/>
          </w:tcPr>
          <w:p w14:paraId="26C6AD02" w14:textId="77777777" w:rsidR="00A062E1" w:rsidRPr="001719CB" w:rsidRDefault="00A062E1" w:rsidP="00946ED9">
            <w:pPr>
              <w:spacing w:before="20" w:after="20"/>
              <w:jc w:val="center"/>
              <w:rPr>
                <w:rFonts w:cs="Arial"/>
                <w:b/>
                <w:bCs/>
                <w:sz w:val="18"/>
                <w:szCs w:val="18"/>
              </w:rPr>
            </w:pPr>
            <w:r w:rsidRPr="001719CB">
              <w:rPr>
                <w:rFonts w:cs="Arial"/>
                <w:b/>
                <w:bCs/>
                <w:sz w:val="18"/>
                <w:szCs w:val="18"/>
              </w:rPr>
              <w:t>Broj izrečenih mjera</w:t>
            </w:r>
          </w:p>
        </w:tc>
      </w:tr>
      <w:tr w:rsidR="00A062E1" w:rsidRPr="001719CB" w14:paraId="63EEDD32" w14:textId="77777777" w:rsidTr="00946ED9">
        <w:trPr>
          <w:trHeight w:val="340"/>
        </w:trPr>
        <w:tc>
          <w:tcPr>
            <w:tcW w:w="1226" w:type="pct"/>
            <w:tcBorders>
              <w:top w:val="nil"/>
              <w:left w:val="nil"/>
              <w:bottom w:val="nil"/>
              <w:right w:val="nil"/>
            </w:tcBorders>
            <w:shd w:val="clear" w:color="auto" w:fill="FFFFFF"/>
            <w:noWrap/>
            <w:vAlign w:val="center"/>
          </w:tcPr>
          <w:p w14:paraId="744D4D3D" w14:textId="77777777" w:rsidR="00A062E1" w:rsidRPr="001719CB" w:rsidRDefault="00A062E1" w:rsidP="00946ED9">
            <w:pPr>
              <w:spacing w:before="20" w:after="20"/>
              <w:jc w:val="left"/>
              <w:rPr>
                <w:rFonts w:cs="Arial"/>
                <w:sz w:val="18"/>
                <w:szCs w:val="18"/>
              </w:rPr>
            </w:pPr>
            <w:r w:rsidRPr="001719CB">
              <w:rPr>
                <w:rFonts w:cs="Arial"/>
                <w:sz w:val="18"/>
                <w:szCs w:val="18"/>
              </w:rPr>
              <w:t>JLP(R)S</w:t>
            </w:r>
          </w:p>
        </w:tc>
        <w:tc>
          <w:tcPr>
            <w:tcW w:w="702" w:type="pct"/>
            <w:tcBorders>
              <w:top w:val="nil"/>
              <w:left w:val="nil"/>
              <w:bottom w:val="nil"/>
              <w:right w:val="nil"/>
            </w:tcBorders>
            <w:shd w:val="clear" w:color="auto" w:fill="FFFFFF"/>
            <w:vAlign w:val="center"/>
          </w:tcPr>
          <w:p w14:paraId="54990922" w14:textId="77777777" w:rsidR="00A062E1" w:rsidRPr="001719CB" w:rsidRDefault="00A062E1" w:rsidP="00946ED9">
            <w:pPr>
              <w:spacing w:before="20" w:after="20"/>
              <w:jc w:val="center"/>
              <w:rPr>
                <w:rFonts w:cs="Arial"/>
                <w:sz w:val="18"/>
                <w:szCs w:val="18"/>
              </w:rPr>
            </w:pPr>
            <w:r w:rsidRPr="001719CB">
              <w:rPr>
                <w:rFonts w:cs="Arial"/>
                <w:sz w:val="18"/>
                <w:szCs w:val="18"/>
              </w:rPr>
              <w:t>6</w:t>
            </w:r>
          </w:p>
        </w:tc>
        <w:tc>
          <w:tcPr>
            <w:tcW w:w="2057" w:type="pct"/>
            <w:tcBorders>
              <w:top w:val="nil"/>
              <w:left w:val="nil"/>
              <w:bottom w:val="nil"/>
              <w:right w:val="nil"/>
            </w:tcBorders>
            <w:shd w:val="clear" w:color="auto" w:fill="FFFFFF"/>
            <w:vAlign w:val="center"/>
          </w:tcPr>
          <w:p w14:paraId="0E002D74" w14:textId="77777777" w:rsidR="00A062E1" w:rsidRPr="001719CB" w:rsidRDefault="00A062E1" w:rsidP="00946ED9">
            <w:pPr>
              <w:spacing w:before="20" w:after="20"/>
              <w:jc w:val="left"/>
              <w:rPr>
                <w:rFonts w:cs="Arial"/>
                <w:sz w:val="18"/>
                <w:szCs w:val="18"/>
              </w:rPr>
            </w:pPr>
            <w:r w:rsidRPr="001719CB">
              <w:rPr>
                <w:rFonts w:cs="Arial"/>
                <w:sz w:val="18"/>
                <w:szCs w:val="18"/>
              </w:rPr>
              <w:t xml:space="preserve">Gradovi: Jastrebarsko, Sveta Nedelja, Novska, Popovača, Hrvatska Kostajnica </w:t>
            </w:r>
          </w:p>
          <w:p w14:paraId="37DC7549" w14:textId="77777777" w:rsidR="00A062E1" w:rsidRPr="001719CB" w:rsidRDefault="00A062E1" w:rsidP="00946ED9">
            <w:pPr>
              <w:spacing w:before="20" w:after="20"/>
              <w:jc w:val="left"/>
              <w:rPr>
                <w:rFonts w:cs="Arial"/>
                <w:sz w:val="18"/>
                <w:szCs w:val="18"/>
              </w:rPr>
            </w:pPr>
            <w:r w:rsidRPr="001719CB">
              <w:rPr>
                <w:rFonts w:cs="Arial"/>
                <w:sz w:val="18"/>
                <w:szCs w:val="18"/>
              </w:rPr>
              <w:t>Općine: Klinča Sela</w:t>
            </w:r>
          </w:p>
        </w:tc>
        <w:tc>
          <w:tcPr>
            <w:tcW w:w="1015" w:type="pct"/>
            <w:tcBorders>
              <w:top w:val="nil"/>
              <w:left w:val="nil"/>
              <w:bottom w:val="nil"/>
              <w:right w:val="nil"/>
            </w:tcBorders>
            <w:shd w:val="clear" w:color="auto" w:fill="FFFFFF"/>
            <w:vAlign w:val="center"/>
          </w:tcPr>
          <w:p w14:paraId="1F8C4990" w14:textId="77777777" w:rsidR="00A062E1" w:rsidRPr="001719CB" w:rsidRDefault="00A062E1" w:rsidP="00946ED9">
            <w:pPr>
              <w:spacing w:before="20" w:after="20"/>
              <w:jc w:val="center"/>
              <w:rPr>
                <w:rFonts w:cs="Arial"/>
                <w:sz w:val="18"/>
                <w:szCs w:val="18"/>
              </w:rPr>
            </w:pPr>
            <w:r w:rsidRPr="001719CB">
              <w:rPr>
                <w:rFonts w:cs="Arial"/>
                <w:sz w:val="18"/>
                <w:szCs w:val="18"/>
              </w:rPr>
              <w:t>18</w:t>
            </w:r>
          </w:p>
        </w:tc>
      </w:tr>
      <w:tr w:rsidR="00A062E1" w:rsidRPr="001719CB" w14:paraId="2A9B2086" w14:textId="77777777" w:rsidTr="00946ED9">
        <w:trPr>
          <w:trHeight w:val="340"/>
        </w:trPr>
        <w:tc>
          <w:tcPr>
            <w:tcW w:w="1226" w:type="pct"/>
            <w:tcBorders>
              <w:top w:val="nil"/>
              <w:left w:val="nil"/>
              <w:bottom w:val="nil"/>
              <w:right w:val="nil"/>
            </w:tcBorders>
            <w:shd w:val="clear" w:color="auto" w:fill="DEEAF6"/>
            <w:noWrap/>
            <w:vAlign w:val="center"/>
            <w:hideMark/>
          </w:tcPr>
          <w:p w14:paraId="5DA8B6BB" w14:textId="77777777" w:rsidR="00A062E1" w:rsidRPr="001719CB" w:rsidRDefault="00A062E1" w:rsidP="00946ED9">
            <w:pPr>
              <w:spacing w:before="20" w:after="20"/>
              <w:jc w:val="left"/>
              <w:rPr>
                <w:rFonts w:cs="Arial"/>
                <w:sz w:val="18"/>
                <w:szCs w:val="18"/>
              </w:rPr>
            </w:pPr>
            <w:r w:rsidRPr="001719CB">
              <w:rPr>
                <w:rStyle w:val="infos"/>
                <w:rFonts w:eastAsiaTheme="majorEastAsia"/>
                <w:sz w:val="18"/>
                <w:szCs w:val="18"/>
              </w:rPr>
              <w:t>Ustanove</w:t>
            </w:r>
          </w:p>
        </w:tc>
        <w:tc>
          <w:tcPr>
            <w:tcW w:w="702" w:type="pct"/>
            <w:tcBorders>
              <w:top w:val="nil"/>
              <w:left w:val="nil"/>
              <w:bottom w:val="nil"/>
              <w:right w:val="nil"/>
            </w:tcBorders>
            <w:shd w:val="clear" w:color="auto" w:fill="DEEAF6"/>
            <w:vAlign w:val="center"/>
            <w:hideMark/>
          </w:tcPr>
          <w:p w14:paraId="2C770F88" w14:textId="77777777" w:rsidR="00A062E1" w:rsidRPr="001719CB" w:rsidRDefault="00A062E1" w:rsidP="00946ED9">
            <w:pPr>
              <w:spacing w:before="20" w:after="20"/>
              <w:jc w:val="center"/>
              <w:rPr>
                <w:rFonts w:cs="Arial"/>
                <w:sz w:val="18"/>
                <w:szCs w:val="18"/>
              </w:rPr>
            </w:pPr>
            <w:r w:rsidRPr="001719CB">
              <w:rPr>
                <w:rFonts w:cs="Arial"/>
                <w:sz w:val="18"/>
                <w:szCs w:val="18"/>
              </w:rPr>
              <w:t>2</w:t>
            </w:r>
          </w:p>
        </w:tc>
        <w:tc>
          <w:tcPr>
            <w:tcW w:w="2057" w:type="pct"/>
            <w:tcBorders>
              <w:top w:val="nil"/>
              <w:left w:val="nil"/>
              <w:bottom w:val="nil"/>
              <w:right w:val="nil"/>
            </w:tcBorders>
            <w:shd w:val="clear" w:color="auto" w:fill="DEEAF6"/>
            <w:vAlign w:val="center"/>
            <w:hideMark/>
          </w:tcPr>
          <w:p w14:paraId="6E9BA7F3" w14:textId="77777777" w:rsidR="00A062E1" w:rsidRPr="001719CB" w:rsidRDefault="00A062E1" w:rsidP="00946ED9">
            <w:pPr>
              <w:spacing w:before="20" w:after="20"/>
              <w:jc w:val="left"/>
              <w:rPr>
                <w:rFonts w:cs="Arial"/>
                <w:sz w:val="18"/>
                <w:szCs w:val="18"/>
              </w:rPr>
            </w:pPr>
            <w:r w:rsidRPr="001719CB">
              <w:rPr>
                <w:rFonts w:cs="Arial"/>
                <w:sz w:val="18"/>
                <w:szCs w:val="18"/>
              </w:rPr>
              <w:t>Sveučilište u Zagrebu, Pučko otvoreno učilište Samobor</w:t>
            </w:r>
          </w:p>
        </w:tc>
        <w:tc>
          <w:tcPr>
            <w:tcW w:w="1015" w:type="pct"/>
            <w:tcBorders>
              <w:top w:val="nil"/>
              <w:left w:val="nil"/>
              <w:bottom w:val="nil"/>
              <w:right w:val="nil"/>
            </w:tcBorders>
            <w:shd w:val="clear" w:color="auto" w:fill="DEEAF6"/>
            <w:vAlign w:val="center"/>
            <w:hideMark/>
          </w:tcPr>
          <w:p w14:paraId="6487036C" w14:textId="77777777" w:rsidR="00A062E1" w:rsidRPr="001719CB" w:rsidRDefault="00A062E1" w:rsidP="00946ED9">
            <w:pPr>
              <w:spacing w:before="20" w:after="20"/>
              <w:jc w:val="center"/>
              <w:rPr>
                <w:rFonts w:cs="Arial"/>
                <w:sz w:val="18"/>
                <w:szCs w:val="18"/>
              </w:rPr>
            </w:pPr>
            <w:r w:rsidRPr="001719CB">
              <w:rPr>
                <w:rFonts w:cs="Arial"/>
                <w:sz w:val="18"/>
                <w:szCs w:val="18"/>
              </w:rPr>
              <w:t>11</w:t>
            </w:r>
          </w:p>
        </w:tc>
      </w:tr>
      <w:tr w:rsidR="00A062E1" w:rsidRPr="001719CB" w14:paraId="0CD62C09" w14:textId="77777777" w:rsidTr="00946ED9">
        <w:trPr>
          <w:trHeight w:val="340"/>
        </w:trPr>
        <w:tc>
          <w:tcPr>
            <w:tcW w:w="1226" w:type="pct"/>
            <w:tcBorders>
              <w:top w:val="nil"/>
              <w:left w:val="nil"/>
              <w:bottom w:val="single" w:sz="8" w:space="0" w:color="4F81BD"/>
              <w:right w:val="nil"/>
            </w:tcBorders>
            <w:shd w:val="clear" w:color="auto" w:fill="FFFFFF"/>
            <w:noWrap/>
            <w:vAlign w:val="center"/>
          </w:tcPr>
          <w:p w14:paraId="1C3B89CD" w14:textId="77777777" w:rsidR="00A062E1" w:rsidRPr="001719CB" w:rsidRDefault="00A062E1" w:rsidP="00946ED9">
            <w:pPr>
              <w:spacing w:before="20" w:after="20"/>
              <w:jc w:val="left"/>
              <w:rPr>
                <w:rFonts w:cs="Arial"/>
                <w:b/>
                <w:bCs/>
                <w:sz w:val="18"/>
                <w:szCs w:val="18"/>
              </w:rPr>
            </w:pPr>
            <w:r w:rsidRPr="001719CB">
              <w:rPr>
                <w:rFonts w:cs="Arial"/>
                <w:b/>
                <w:bCs/>
                <w:sz w:val="18"/>
                <w:szCs w:val="18"/>
              </w:rPr>
              <w:t>UKUPNO:</w:t>
            </w:r>
          </w:p>
        </w:tc>
        <w:tc>
          <w:tcPr>
            <w:tcW w:w="702" w:type="pct"/>
            <w:tcBorders>
              <w:top w:val="nil"/>
              <w:left w:val="nil"/>
              <w:bottom w:val="single" w:sz="8" w:space="0" w:color="4F81BD"/>
              <w:right w:val="nil"/>
            </w:tcBorders>
            <w:shd w:val="clear" w:color="auto" w:fill="FFFFFF"/>
            <w:vAlign w:val="center"/>
          </w:tcPr>
          <w:p w14:paraId="33223E23" w14:textId="77777777" w:rsidR="00A062E1" w:rsidRPr="001719CB" w:rsidRDefault="00A062E1" w:rsidP="00946ED9">
            <w:pPr>
              <w:spacing w:before="20" w:after="20"/>
              <w:jc w:val="center"/>
              <w:rPr>
                <w:rFonts w:cs="Arial"/>
                <w:b/>
                <w:sz w:val="18"/>
                <w:szCs w:val="18"/>
              </w:rPr>
            </w:pPr>
            <w:r w:rsidRPr="001719CB">
              <w:rPr>
                <w:rFonts w:cs="Arial"/>
                <w:b/>
                <w:sz w:val="18"/>
                <w:szCs w:val="18"/>
              </w:rPr>
              <w:t>8</w:t>
            </w:r>
          </w:p>
        </w:tc>
        <w:tc>
          <w:tcPr>
            <w:tcW w:w="2057" w:type="pct"/>
            <w:tcBorders>
              <w:top w:val="nil"/>
              <w:left w:val="nil"/>
              <w:bottom w:val="single" w:sz="8" w:space="0" w:color="4F81BD"/>
              <w:right w:val="nil"/>
            </w:tcBorders>
            <w:shd w:val="clear" w:color="auto" w:fill="FFFFFF"/>
            <w:vAlign w:val="center"/>
          </w:tcPr>
          <w:p w14:paraId="43B69530" w14:textId="77777777" w:rsidR="00A062E1" w:rsidRPr="001719CB" w:rsidRDefault="00A062E1" w:rsidP="00946ED9">
            <w:pPr>
              <w:spacing w:before="20" w:after="20"/>
              <w:jc w:val="center"/>
              <w:rPr>
                <w:rFonts w:cs="Arial"/>
                <w:b/>
                <w:sz w:val="18"/>
                <w:szCs w:val="18"/>
              </w:rPr>
            </w:pPr>
          </w:p>
        </w:tc>
        <w:tc>
          <w:tcPr>
            <w:tcW w:w="1015" w:type="pct"/>
            <w:tcBorders>
              <w:top w:val="nil"/>
              <w:left w:val="nil"/>
              <w:bottom w:val="single" w:sz="8" w:space="0" w:color="4F81BD"/>
              <w:right w:val="nil"/>
            </w:tcBorders>
            <w:shd w:val="clear" w:color="auto" w:fill="FFFFFF"/>
            <w:vAlign w:val="center"/>
          </w:tcPr>
          <w:p w14:paraId="4E862F6C" w14:textId="77777777" w:rsidR="00A062E1" w:rsidRPr="001719CB" w:rsidRDefault="00A062E1" w:rsidP="00946ED9">
            <w:pPr>
              <w:spacing w:before="20" w:after="20"/>
              <w:jc w:val="center"/>
              <w:rPr>
                <w:rFonts w:cs="Arial"/>
                <w:b/>
                <w:sz w:val="18"/>
                <w:szCs w:val="18"/>
              </w:rPr>
            </w:pPr>
            <w:r w:rsidRPr="001719CB">
              <w:rPr>
                <w:rFonts w:cs="Arial"/>
                <w:b/>
                <w:sz w:val="18"/>
                <w:szCs w:val="18"/>
              </w:rPr>
              <w:t>29</w:t>
            </w:r>
          </w:p>
        </w:tc>
      </w:tr>
    </w:tbl>
    <w:p w14:paraId="2FD53942" w14:textId="77777777" w:rsidR="00D754C1" w:rsidRPr="00D754C1" w:rsidRDefault="00D754C1" w:rsidP="00946ED9">
      <w:pPr>
        <w:spacing w:before="240"/>
        <w:rPr>
          <w:rFonts w:cs="Arial"/>
        </w:rPr>
      </w:pPr>
      <w:r w:rsidRPr="00D754C1">
        <w:rPr>
          <w:rFonts w:cs="Arial"/>
        </w:rPr>
        <w:t xml:space="preserve">Provedeni neposredni ciljani inspekcijski nadzori pokazali su da nadzirana tijela u pravilu ne ispunjavaju u potpunosti obvezu objave informacija u svrhu provedbe savjetovanja s javnošću prema članku 11. ZPPI-ja (najčešće kroz neobjavu plana savjetovanja s javnošću i izvješća o provedenim savjetovanjima). Pučko otvoreno učilište Samobor, iako je obveznik predmetne zakonske obveze jer pripada u kategoriju pravne osobe s javnim ovlastima, do provedbe inspekcijskog nadzora nije provodilo predmetnu zakonsku obvezu. </w:t>
      </w:r>
    </w:p>
    <w:p w14:paraId="220271EB" w14:textId="77777777" w:rsidR="00D754C1" w:rsidRPr="00D754C1" w:rsidRDefault="00D754C1" w:rsidP="00D754C1">
      <w:pPr>
        <w:rPr>
          <w:rFonts w:cs="Arial"/>
        </w:rPr>
      </w:pPr>
      <w:r w:rsidRPr="00D754C1">
        <w:rPr>
          <w:rFonts w:cs="Arial"/>
        </w:rPr>
        <w:t xml:space="preserve">U odnosu na obvezu javnosti rada, provedeni neposredni ciljani inspekcijski nadzori pokazali su da nadzirana tijela u pravilu ne objavljuju obavijest o mogućnosti neposrednog uvida u rad tijela javne vlasti te o broju osoba kojima se može istodobno osigurati neposredan uvid u rad, pri čemu se mora voditi računa o redoslijedu prijavljivanja. </w:t>
      </w:r>
    </w:p>
    <w:p w14:paraId="7D208D1D" w14:textId="6C924839" w:rsidR="009A2BB0" w:rsidRDefault="00D754C1" w:rsidP="00D754C1">
      <w:pPr>
        <w:rPr>
          <w:rFonts w:cs="Arial"/>
        </w:rPr>
      </w:pPr>
      <w:r w:rsidRPr="00D754C1">
        <w:rPr>
          <w:rFonts w:cs="Arial"/>
        </w:rPr>
        <w:t>Najmanju razinu neusklađenosti sa ZPPI-jem nadzirana tijela pokazala su u ispunjavanju obveze objave informacija iz članka 10. stavka 1. točke 7. ZPPI-ja koja se odnosi na objavu proračuna, financijskog plana ili drugog dokumenta kojim se utvrđuju prihodi i rashodi tijela javne vlasti te podataka i izvješća o izvršenju proračuna, financijskog plana ili drugog odgovarajućeg dokumenta.</w:t>
      </w:r>
    </w:p>
    <w:p w14:paraId="660356FE" w14:textId="1169C5CF" w:rsidR="006D30F8" w:rsidRPr="001326F5" w:rsidRDefault="006D30F8" w:rsidP="009032D7">
      <w:pPr>
        <w:pStyle w:val="Naslov3"/>
        <w:ind w:left="1985"/>
      </w:pPr>
      <w:bookmarkStart w:id="143" w:name="_Toc225865608"/>
      <w:r>
        <w:t>Posredni inspekcijski nadzor</w:t>
      </w:r>
      <w:bookmarkEnd w:id="143"/>
    </w:p>
    <w:p w14:paraId="7C44FBCE" w14:textId="2D06CD89" w:rsidR="009A2BB0" w:rsidRDefault="007E6411" w:rsidP="009A2BB0">
      <w:pPr>
        <w:rPr>
          <w:rFonts w:cs="Arial"/>
        </w:rPr>
      </w:pPr>
      <w:r w:rsidRPr="007E6411">
        <w:rPr>
          <w:rFonts w:cs="Arial"/>
        </w:rPr>
        <w:t xml:space="preserve">U 2025. godini provedena su ukupno 23 posredna ciljana inspekcijska nadzora. (18 po službenoj dužnosti, 1 posredni inspekcijski nadzor obavljen je po prijedlogu Općinskog državnog odvjetništva u Čakovcu a 4 su inicirana predstavkama i nepostupanjem TJV po </w:t>
      </w:r>
      <w:r w:rsidRPr="007E6411">
        <w:rPr>
          <w:rFonts w:cs="Arial"/>
        </w:rPr>
        <w:lastRenderedPageBreak/>
        <w:t>aktima upozorenja Povjerenika za informiranje). Nijedno od nadziranih tijela nije iskoristilo mogućnost prigovora na zapisnik.</w:t>
      </w:r>
    </w:p>
    <w:p w14:paraId="6261F22D" w14:textId="65D1BC47" w:rsidR="00A95A34" w:rsidRPr="00F0315E" w:rsidRDefault="00A95A34" w:rsidP="00540BF5">
      <w:pPr>
        <w:keepNext/>
        <w:widowControl w:val="0"/>
        <w:spacing w:before="240"/>
        <w:rPr>
          <w:rFonts w:cs="Arial"/>
          <w:sz w:val="18"/>
          <w:szCs w:val="18"/>
        </w:rPr>
      </w:pPr>
      <w:r w:rsidRPr="0075748C">
        <w:rPr>
          <w:rFonts w:cs="Arial"/>
          <w:sz w:val="18"/>
          <w:szCs w:val="18"/>
        </w:rPr>
        <w:t xml:space="preserve">Tablica </w:t>
      </w:r>
      <w:r w:rsidR="00CE559A" w:rsidRPr="0075748C">
        <w:rPr>
          <w:rFonts w:cs="Arial"/>
          <w:sz w:val="18"/>
          <w:szCs w:val="18"/>
        </w:rPr>
        <w:t>6.</w:t>
      </w:r>
      <w:r w:rsidR="007E6411" w:rsidRPr="0075748C">
        <w:rPr>
          <w:rFonts w:cs="Arial"/>
          <w:sz w:val="18"/>
          <w:szCs w:val="18"/>
        </w:rPr>
        <w:t>5</w:t>
      </w:r>
      <w:r w:rsidR="00CE559A" w:rsidRPr="0075748C">
        <w:rPr>
          <w:rFonts w:cs="Arial"/>
          <w:sz w:val="18"/>
          <w:szCs w:val="18"/>
        </w:rPr>
        <w:t>.</w:t>
      </w:r>
      <w:r w:rsidRPr="0075748C">
        <w:rPr>
          <w:rFonts w:cs="Arial"/>
          <w:sz w:val="18"/>
          <w:szCs w:val="18"/>
        </w:rPr>
        <w:t xml:space="preserve"> </w:t>
      </w:r>
      <w:r w:rsidR="00CE559A" w:rsidRPr="0075748C">
        <w:rPr>
          <w:rFonts w:cs="Arial"/>
          <w:sz w:val="18"/>
          <w:szCs w:val="18"/>
        </w:rPr>
        <w:t>T</w:t>
      </w:r>
      <w:r w:rsidRPr="0075748C">
        <w:rPr>
          <w:rFonts w:cs="Arial"/>
          <w:sz w:val="18"/>
          <w:szCs w:val="18"/>
        </w:rPr>
        <w:t>ijela javne vlasti nad kojima je proveden posredni ciljani inspekcijski nadzor u 202</w:t>
      </w:r>
      <w:r w:rsidR="006D30F8" w:rsidRPr="0075748C">
        <w:rPr>
          <w:rFonts w:cs="Arial"/>
          <w:sz w:val="18"/>
          <w:szCs w:val="18"/>
        </w:rPr>
        <w:t>5</w:t>
      </w:r>
      <w:r w:rsidRPr="0075748C">
        <w:rPr>
          <w:rFonts w:cs="Arial"/>
          <w:sz w:val="18"/>
          <w:szCs w:val="18"/>
        </w:rPr>
        <w:t>.</w:t>
      </w:r>
    </w:p>
    <w:tbl>
      <w:tblPr>
        <w:tblW w:w="4996" w:type="pct"/>
        <w:tblBorders>
          <w:top w:val="single" w:sz="8" w:space="0" w:color="4F81BD"/>
          <w:bottom w:val="single" w:sz="8" w:space="0" w:color="4F81BD"/>
        </w:tblBorders>
        <w:tblLayout w:type="fixed"/>
        <w:tblLook w:val="04A0" w:firstRow="1" w:lastRow="0" w:firstColumn="1" w:lastColumn="0" w:noHBand="0" w:noVBand="1"/>
      </w:tblPr>
      <w:tblGrid>
        <w:gridCol w:w="2641"/>
        <w:gridCol w:w="930"/>
        <w:gridCol w:w="3766"/>
        <w:gridCol w:w="1728"/>
      </w:tblGrid>
      <w:tr w:rsidR="00A960B0" w:rsidRPr="00A960B0" w14:paraId="5348D82D" w14:textId="77777777" w:rsidTr="00946ED9">
        <w:trPr>
          <w:trHeight w:val="340"/>
        </w:trPr>
        <w:tc>
          <w:tcPr>
            <w:tcW w:w="1457" w:type="pct"/>
            <w:tcBorders>
              <w:top w:val="single" w:sz="8" w:space="0" w:color="4F81BD"/>
              <w:left w:val="nil"/>
              <w:bottom w:val="single" w:sz="8" w:space="0" w:color="4F81BD"/>
              <w:right w:val="nil"/>
            </w:tcBorders>
            <w:noWrap/>
            <w:vAlign w:val="center"/>
            <w:hideMark/>
          </w:tcPr>
          <w:p w14:paraId="62948C9A" w14:textId="77777777" w:rsidR="00A95A34" w:rsidRPr="00A960B0" w:rsidRDefault="00A95A34" w:rsidP="00946ED9">
            <w:pPr>
              <w:spacing w:before="20" w:after="20"/>
              <w:jc w:val="center"/>
              <w:rPr>
                <w:rFonts w:cs="Arial"/>
                <w:b/>
                <w:bCs/>
                <w:sz w:val="18"/>
                <w:szCs w:val="18"/>
              </w:rPr>
            </w:pPr>
            <w:r w:rsidRPr="00A960B0">
              <w:rPr>
                <w:rFonts w:cs="Arial"/>
                <w:b/>
                <w:bCs/>
                <w:sz w:val="18"/>
                <w:szCs w:val="18"/>
              </w:rPr>
              <w:t>Vrsta tijela</w:t>
            </w:r>
          </w:p>
        </w:tc>
        <w:tc>
          <w:tcPr>
            <w:tcW w:w="513" w:type="pct"/>
            <w:tcBorders>
              <w:top w:val="single" w:sz="8" w:space="0" w:color="4F81BD"/>
              <w:left w:val="nil"/>
              <w:bottom w:val="single" w:sz="8" w:space="0" w:color="4F81BD"/>
              <w:right w:val="nil"/>
            </w:tcBorders>
            <w:vAlign w:val="center"/>
            <w:hideMark/>
          </w:tcPr>
          <w:p w14:paraId="77E2CB21" w14:textId="77777777" w:rsidR="00A95A34" w:rsidRPr="00A960B0" w:rsidRDefault="00A95A34" w:rsidP="00946ED9">
            <w:pPr>
              <w:spacing w:before="20" w:after="20"/>
              <w:jc w:val="center"/>
              <w:rPr>
                <w:rFonts w:cs="Arial"/>
                <w:b/>
                <w:bCs/>
                <w:sz w:val="18"/>
                <w:szCs w:val="18"/>
              </w:rPr>
            </w:pPr>
            <w:r w:rsidRPr="00A960B0">
              <w:rPr>
                <w:rFonts w:cs="Arial"/>
                <w:b/>
                <w:bCs/>
                <w:sz w:val="18"/>
                <w:szCs w:val="18"/>
              </w:rPr>
              <w:t>Broj nadzora</w:t>
            </w:r>
          </w:p>
        </w:tc>
        <w:tc>
          <w:tcPr>
            <w:tcW w:w="2077" w:type="pct"/>
            <w:tcBorders>
              <w:top w:val="single" w:sz="8" w:space="0" w:color="4F81BD"/>
              <w:left w:val="nil"/>
              <w:bottom w:val="single" w:sz="8" w:space="0" w:color="4F81BD"/>
              <w:right w:val="nil"/>
            </w:tcBorders>
            <w:vAlign w:val="center"/>
            <w:hideMark/>
          </w:tcPr>
          <w:p w14:paraId="5297B35D" w14:textId="77777777" w:rsidR="00A95A34" w:rsidRPr="00A960B0" w:rsidRDefault="00A95A34" w:rsidP="00946ED9">
            <w:pPr>
              <w:spacing w:before="20" w:after="20"/>
              <w:jc w:val="center"/>
              <w:rPr>
                <w:rFonts w:cs="Arial"/>
                <w:b/>
                <w:bCs/>
                <w:sz w:val="18"/>
                <w:szCs w:val="18"/>
              </w:rPr>
            </w:pPr>
            <w:r w:rsidRPr="00A960B0">
              <w:rPr>
                <w:rFonts w:cs="Arial"/>
                <w:b/>
                <w:bCs/>
                <w:sz w:val="18"/>
                <w:szCs w:val="18"/>
              </w:rPr>
              <w:t>Tijela javne vlasti</w:t>
            </w:r>
          </w:p>
        </w:tc>
        <w:tc>
          <w:tcPr>
            <w:tcW w:w="953" w:type="pct"/>
            <w:tcBorders>
              <w:top w:val="single" w:sz="8" w:space="0" w:color="4F81BD"/>
              <w:left w:val="nil"/>
              <w:bottom w:val="single" w:sz="8" w:space="0" w:color="4F81BD"/>
              <w:right w:val="nil"/>
            </w:tcBorders>
            <w:vAlign w:val="center"/>
            <w:hideMark/>
          </w:tcPr>
          <w:p w14:paraId="20C8D2B9" w14:textId="77777777" w:rsidR="00A95A34" w:rsidRPr="00A960B0" w:rsidRDefault="00A95A34" w:rsidP="00946ED9">
            <w:pPr>
              <w:spacing w:before="20" w:after="20"/>
              <w:jc w:val="center"/>
              <w:rPr>
                <w:rFonts w:cs="Arial"/>
                <w:b/>
                <w:bCs/>
                <w:sz w:val="18"/>
                <w:szCs w:val="18"/>
              </w:rPr>
            </w:pPr>
            <w:r w:rsidRPr="00A960B0">
              <w:rPr>
                <w:rFonts w:cs="Arial"/>
                <w:b/>
                <w:bCs/>
                <w:sz w:val="18"/>
                <w:szCs w:val="18"/>
              </w:rPr>
              <w:t>Broj izrečenih mjera</w:t>
            </w:r>
          </w:p>
        </w:tc>
      </w:tr>
      <w:tr w:rsidR="006D30F8" w:rsidRPr="00540BF5" w14:paraId="62566C32" w14:textId="77777777" w:rsidTr="00946ED9">
        <w:trPr>
          <w:trHeight w:val="340"/>
        </w:trPr>
        <w:tc>
          <w:tcPr>
            <w:tcW w:w="1457" w:type="pct"/>
            <w:tcBorders>
              <w:top w:val="single" w:sz="8" w:space="0" w:color="4F81BD"/>
              <w:left w:val="nil"/>
              <w:bottom w:val="single" w:sz="4" w:space="0" w:color="8EAADB" w:themeColor="accent1" w:themeTint="99"/>
              <w:right w:val="nil"/>
            </w:tcBorders>
            <w:shd w:val="clear" w:color="auto" w:fill="D9E2F3" w:themeFill="accent1" w:themeFillTint="33"/>
            <w:noWrap/>
            <w:vAlign w:val="center"/>
          </w:tcPr>
          <w:p w14:paraId="2C9A0F70" w14:textId="39A7ED7B" w:rsidR="006D30F8" w:rsidRPr="00540BF5" w:rsidRDefault="006D30F8" w:rsidP="00946ED9">
            <w:pPr>
              <w:spacing w:before="20" w:after="20"/>
              <w:jc w:val="left"/>
              <w:rPr>
                <w:rFonts w:cs="Arial"/>
                <w:sz w:val="18"/>
                <w:szCs w:val="18"/>
              </w:rPr>
            </w:pPr>
            <w:r w:rsidRPr="001719CB">
              <w:rPr>
                <w:rFonts w:cs="Arial"/>
                <w:sz w:val="18"/>
                <w:szCs w:val="18"/>
              </w:rPr>
              <w:t>JLP(R)S</w:t>
            </w:r>
          </w:p>
        </w:tc>
        <w:tc>
          <w:tcPr>
            <w:tcW w:w="513" w:type="pct"/>
            <w:tcBorders>
              <w:top w:val="single" w:sz="8" w:space="0" w:color="4F81BD"/>
              <w:left w:val="nil"/>
              <w:bottom w:val="single" w:sz="4" w:space="0" w:color="8EAADB" w:themeColor="accent1" w:themeTint="99"/>
              <w:right w:val="nil"/>
            </w:tcBorders>
            <w:shd w:val="clear" w:color="auto" w:fill="D9E2F3" w:themeFill="accent1" w:themeFillTint="33"/>
            <w:vAlign w:val="center"/>
          </w:tcPr>
          <w:p w14:paraId="2D4F1467" w14:textId="2A0ED9BA" w:rsidR="006D30F8" w:rsidRPr="00540BF5" w:rsidRDefault="006D30F8" w:rsidP="00946ED9">
            <w:pPr>
              <w:spacing w:before="20" w:after="20"/>
              <w:jc w:val="center"/>
              <w:rPr>
                <w:rFonts w:cs="Arial"/>
                <w:sz w:val="18"/>
                <w:szCs w:val="18"/>
              </w:rPr>
            </w:pPr>
            <w:r w:rsidRPr="001719CB">
              <w:rPr>
                <w:rFonts w:cs="Arial"/>
                <w:sz w:val="18"/>
                <w:szCs w:val="18"/>
              </w:rPr>
              <w:t>2</w:t>
            </w:r>
          </w:p>
        </w:tc>
        <w:tc>
          <w:tcPr>
            <w:tcW w:w="2077" w:type="pct"/>
            <w:tcBorders>
              <w:top w:val="single" w:sz="8" w:space="0" w:color="4F81BD"/>
              <w:left w:val="nil"/>
              <w:bottom w:val="single" w:sz="4" w:space="0" w:color="8EAADB" w:themeColor="accent1" w:themeTint="99"/>
              <w:right w:val="nil"/>
            </w:tcBorders>
            <w:shd w:val="clear" w:color="auto" w:fill="D9E2F3" w:themeFill="accent1" w:themeFillTint="33"/>
            <w:vAlign w:val="center"/>
          </w:tcPr>
          <w:p w14:paraId="64C88002" w14:textId="77777777" w:rsidR="006D30F8" w:rsidRPr="001719CB" w:rsidRDefault="006D30F8" w:rsidP="00946ED9">
            <w:pPr>
              <w:spacing w:before="20" w:after="20"/>
              <w:jc w:val="left"/>
              <w:rPr>
                <w:rFonts w:cs="Arial"/>
                <w:sz w:val="18"/>
                <w:szCs w:val="18"/>
              </w:rPr>
            </w:pPr>
            <w:r w:rsidRPr="001719CB">
              <w:rPr>
                <w:rFonts w:cs="Arial"/>
                <w:sz w:val="18"/>
                <w:szCs w:val="18"/>
              </w:rPr>
              <w:t>Gradovi: Split</w:t>
            </w:r>
          </w:p>
          <w:p w14:paraId="4DCE8FA7" w14:textId="7AE3B626" w:rsidR="006D30F8" w:rsidRPr="00540BF5" w:rsidRDefault="006D30F8" w:rsidP="00946ED9">
            <w:pPr>
              <w:spacing w:before="20" w:after="20"/>
              <w:jc w:val="left"/>
              <w:rPr>
                <w:rFonts w:cs="Arial"/>
                <w:sz w:val="18"/>
                <w:szCs w:val="18"/>
              </w:rPr>
            </w:pPr>
            <w:r w:rsidRPr="001719CB">
              <w:rPr>
                <w:rFonts w:cs="Arial"/>
                <w:sz w:val="18"/>
                <w:szCs w:val="18"/>
              </w:rPr>
              <w:t>Općine: Pribislavec</w:t>
            </w:r>
          </w:p>
        </w:tc>
        <w:tc>
          <w:tcPr>
            <w:tcW w:w="953" w:type="pct"/>
            <w:tcBorders>
              <w:top w:val="single" w:sz="8" w:space="0" w:color="4F81BD"/>
              <w:left w:val="nil"/>
              <w:bottom w:val="single" w:sz="4" w:space="0" w:color="8EAADB" w:themeColor="accent1" w:themeTint="99"/>
              <w:right w:val="nil"/>
            </w:tcBorders>
            <w:shd w:val="clear" w:color="auto" w:fill="D9E2F3" w:themeFill="accent1" w:themeFillTint="33"/>
            <w:vAlign w:val="center"/>
          </w:tcPr>
          <w:p w14:paraId="0869EA84" w14:textId="18F06AFB" w:rsidR="006D30F8" w:rsidRPr="00540BF5" w:rsidRDefault="006D30F8" w:rsidP="00946ED9">
            <w:pPr>
              <w:spacing w:before="20" w:after="20"/>
              <w:jc w:val="center"/>
              <w:rPr>
                <w:rFonts w:cs="Arial"/>
                <w:sz w:val="18"/>
                <w:szCs w:val="18"/>
              </w:rPr>
            </w:pPr>
            <w:r w:rsidRPr="001719CB">
              <w:rPr>
                <w:rFonts w:cs="Arial"/>
                <w:sz w:val="18"/>
                <w:szCs w:val="18"/>
              </w:rPr>
              <w:t>3</w:t>
            </w:r>
          </w:p>
        </w:tc>
      </w:tr>
      <w:tr w:rsidR="006D30F8" w:rsidRPr="00540BF5" w14:paraId="0E6EBF5D" w14:textId="77777777" w:rsidTr="00946ED9">
        <w:trPr>
          <w:trHeight w:val="340"/>
        </w:trPr>
        <w:tc>
          <w:tcPr>
            <w:tcW w:w="1457" w:type="pct"/>
            <w:tcBorders>
              <w:top w:val="single" w:sz="4" w:space="0" w:color="8EAADB" w:themeColor="accent1" w:themeTint="99"/>
              <w:left w:val="nil"/>
              <w:bottom w:val="single" w:sz="4" w:space="0" w:color="8EAADB" w:themeColor="accent1" w:themeTint="99"/>
              <w:right w:val="nil"/>
            </w:tcBorders>
            <w:shd w:val="clear" w:color="auto" w:fill="FFFFFF"/>
            <w:noWrap/>
            <w:vAlign w:val="center"/>
          </w:tcPr>
          <w:p w14:paraId="28819461" w14:textId="5D5EC3A4" w:rsidR="006D30F8" w:rsidRPr="00540BF5" w:rsidRDefault="006D30F8" w:rsidP="00946ED9">
            <w:pPr>
              <w:spacing w:before="20" w:after="20"/>
              <w:jc w:val="left"/>
              <w:rPr>
                <w:rFonts w:cs="Arial"/>
                <w:sz w:val="18"/>
                <w:szCs w:val="18"/>
              </w:rPr>
            </w:pPr>
            <w:r w:rsidRPr="00540BF5">
              <w:rPr>
                <w:sz w:val="18"/>
                <w:szCs w:val="18"/>
              </w:rPr>
              <w:t>Ustanove</w:t>
            </w:r>
          </w:p>
        </w:tc>
        <w:tc>
          <w:tcPr>
            <w:tcW w:w="513" w:type="pct"/>
            <w:tcBorders>
              <w:top w:val="single" w:sz="4" w:space="0" w:color="8EAADB" w:themeColor="accent1" w:themeTint="99"/>
              <w:left w:val="nil"/>
              <w:bottom w:val="single" w:sz="4" w:space="0" w:color="8EAADB" w:themeColor="accent1" w:themeTint="99"/>
              <w:right w:val="nil"/>
            </w:tcBorders>
            <w:shd w:val="clear" w:color="auto" w:fill="FFFFFF"/>
            <w:vAlign w:val="center"/>
          </w:tcPr>
          <w:p w14:paraId="0E261B64" w14:textId="5723AA26" w:rsidR="006D30F8" w:rsidRPr="00540BF5" w:rsidRDefault="006D30F8" w:rsidP="00946ED9">
            <w:pPr>
              <w:spacing w:before="20" w:after="20"/>
              <w:jc w:val="center"/>
              <w:rPr>
                <w:rFonts w:cs="Arial"/>
                <w:sz w:val="18"/>
                <w:szCs w:val="18"/>
              </w:rPr>
            </w:pPr>
            <w:r w:rsidRPr="001719CB">
              <w:rPr>
                <w:rFonts w:cs="Arial"/>
                <w:sz w:val="18"/>
                <w:szCs w:val="18"/>
              </w:rPr>
              <w:t>19</w:t>
            </w:r>
          </w:p>
        </w:tc>
        <w:tc>
          <w:tcPr>
            <w:tcW w:w="2077" w:type="pct"/>
            <w:tcBorders>
              <w:top w:val="single" w:sz="4" w:space="0" w:color="8EAADB" w:themeColor="accent1" w:themeTint="99"/>
              <w:left w:val="nil"/>
              <w:bottom w:val="single" w:sz="4" w:space="0" w:color="8EAADB" w:themeColor="accent1" w:themeTint="99"/>
              <w:right w:val="nil"/>
            </w:tcBorders>
            <w:shd w:val="clear" w:color="auto" w:fill="FFFFFF"/>
            <w:vAlign w:val="center"/>
          </w:tcPr>
          <w:p w14:paraId="66F5901C" w14:textId="4A146170" w:rsidR="006D30F8" w:rsidRPr="00540BF5" w:rsidRDefault="006D30F8" w:rsidP="00946ED9">
            <w:pPr>
              <w:spacing w:before="20" w:after="20"/>
              <w:jc w:val="left"/>
              <w:rPr>
                <w:rFonts w:cs="Arial"/>
                <w:sz w:val="18"/>
                <w:szCs w:val="18"/>
              </w:rPr>
            </w:pPr>
            <w:r w:rsidRPr="001719CB">
              <w:rPr>
                <w:rFonts w:cs="Arial"/>
                <w:sz w:val="18"/>
                <w:szCs w:val="18"/>
              </w:rPr>
              <w:t xml:space="preserve">Gradska knjižnica Samobor, Gradska knjižnica Zadar, Gradska knjižnica Županja, Gradska knjižnica i čitaonica Metel Ožegović, Gradska knjižnica Mato Lovrak Grubišno Polje, Narodna knjižnica i čitaonica Lipovljani, Narodna knjižnica i čitaonica Murter, Narodna knjižnica Knin, Narodna knjižnica u Supetru, Općinska knjižnica Hrvatska čitaonica Bol, Općinska narodna knjižnica Drenovci, Kulturno-informativni centar, Gradski muzej Bjelovar, Suvremeno učilište u Splitu, Gradski muzej Makarska, Hrvatski pomorski muzej Split, Lošinjski muzej, Pomorski muzej Orebić, Prirodoslovni muzej Metković </w:t>
            </w:r>
          </w:p>
        </w:tc>
        <w:tc>
          <w:tcPr>
            <w:tcW w:w="953" w:type="pct"/>
            <w:tcBorders>
              <w:top w:val="single" w:sz="4" w:space="0" w:color="8EAADB" w:themeColor="accent1" w:themeTint="99"/>
              <w:left w:val="nil"/>
              <w:bottom w:val="single" w:sz="4" w:space="0" w:color="8EAADB" w:themeColor="accent1" w:themeTint="99"/>
              <w:right w:val="nil"/>
            </w:tcBorders>
            <w:shd w:val="clear" w:color="auto" w:fill="FFFFFF"/>
            <w:vAlign w:val="center"/>
          </w:tcPr>
          <w:p w14:paraId="75A678A1" w14:textId="6E3ADEF9" w:rsidR="006D30F8" w:rsidRPr="00540BF5" w:rsidRDefault="006D30F8" w:rsidP="00946ED9">
            <w:pPr>
              <w:spacing w:before="20" w:after="20"/>
              <w:jc w:val="center"/>
              <w:rPr>
                <w:rFonts w:cs="Arial"/>
                <w:sz w:val="18"/>
                <w:szCs w:val="18"/>
              </w:rPr>
            </w:pPr>
            <w:r w:rsidRPr="001719CB">
              <w:rPr>
                <w:rFonts w:cs="Arial"/>
                <w:sz w:val="18"/>
                <w:szCs w:val="18"/>
              </w:rPr>
              <w:t>20</w:t>
            </w:r>
          </w:p>
        </w:tc>
      </w:tr>
      <w:tr w:rsidR="006D30F8" w:rsidRPr="00540BF5" w14:paraId="2E5A3B02" w14:textId="77777777" w:rsidTr="00946ED9">
        <w:trPr>
          <w:trHeight w:val="340"/>
        </w:trPr>
        <w:tc>
          <w:tcPr>
            <w:tcW w:w="1457"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noWrap/>
            <w:vAlign w:val="center"/>
            <w:hideMark/>
          </w:tcPr>
          <w:p w14:paraId="49B00476" w14:textId="4B742DD4" w:rsidR="006D30F8" w:rsidRPr="00540BF5" w:rsidRDefault="006D30F8" w:rsidP="00946ED9">
            <w:pPr>
              <w:spacing w:before="20" w:after="20"/>
              <w:jc w:val="left"/>
              <w:rPr>
                <w:rFonts w:cs="Arial"/>
                <w:sz w:val="18"/>
                <w:szCs w:val="18"/>
              </w:rPr>
            </w:pPr>
            <w:r w:rsidRPr="001719CB">
              <w:rPr>
                <w:rFonts w:cs="Arial"/>
                <w:sz w:val="18"/>
                <w:szCs w:val="18"/>
              </w:rPr>
              <w:t xml:space="preserve">Ostale pravne osobe i tijela s javnim ovlastima </w:t>
            </w:r>
          </w:p>
        </w:tc>
        <w:tc>
          <w:tcPr>
            <w:tcW w:w="513"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vAlign w:val="center"/>
            <w:hideMark/>
          </w:tcPr>
          <w:p w14:paraId="00A80D1F" w14:textId="3371F9C3" w:rsidR="006D30F8" w:rsidRPr="00540BF5" w:rsidRDefault="006D30F8" w:rsidP="00946ED9">
            <w:pPr>
              <w:spacing w:before="20" w:after="20"/>
              <w:jc w:val="center"/>
              <w:rPr>
                <w:rFonts w:cs="Arial"/>
                <w:sz w:val="18"/>
                <w:szCs w:val="18"/>
              </w:rPr>
            </w:pPr>
            <w:r w:rsidRPr="001719CB">
              <w:rPr>
                <w:rFonts w:cs="Arial"/>
                <w:sz w:val="18"/>
                <w:szCs w:val="18"/>
              </w:rPr>
              <w:t>1</w:t>
            </w:r>
          </w:p>
        </w:tc>
        <w:tc>
          <w:tcPr>
            <w:tcW w:w="2077"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vAlign w:val="center"/>
            <w:hideMark/>
          </w:tcPr>
          <w:p w14:paraId="4A0C011A" w14:textId="06AC8410" w:rsidR="006D30F8" w:rsidRPr="00540BF5" w:rsidRDefault="006D30F8" w:rsidP="00946ED9">
            <w:pPr>
              <w:spacing w:before="20" w:after="20"/>
              <w:jc w:val="left"/>
              <w:rPr>
                <w:rFonts w:cs="Arial"/>
                <w:sz w:val="18"/>
                <w:szCs w:val="18"/>
              </w:rPr>
            </w:pPr>
            <w:r w:rsidRPr="001719CB">
              <w:rPr>
                <w:rFonts w:cs="Arial"/>
                <w:sz w:val="18"/>
                <w:szCs w:val="18"/>
              </w:rPr>
              <w:t xml:space="preserve">Turistička zajednica mjesta Ičići </w:t>
            </w:r>
          </w:p>
        </w:tc>
        <w:tc>
          <w:tcPr>
            <w:tcW w:w="953" w:type="pct"/>
            <w:tcBorders>
              <w:top w:val="single" w:sz="4" w:space="0" w:color="8EAADB" w:themeColor="accent1" w:themeTint="99"/>
              <w:left w:val="nil"/>
              <w:bottom w:val="single" w:sz="4" w:space="0" w:color="8EAADB" w:themeColor="accent1" w:themeTint="99"/>
              <w:right w:val="nil"/>
            </w:tcBorders>
            <w:shd w:val="clear" w:color="auto" w:fill="D9E2F3" w:themeFill="accent1" w:themeFillTint="33"/>
            <w:vAlign w:val="center"/>
            <w:hideMark/>
          </w:tcPr>
          <w:p w14:paraId="49932E0B" w14:textId="42BBF25E" w:rsidR="006D30F8" w:rsidRPr="00540BF5" w:rsidRDefault="006D30F8" w:rsidP="00946ED9">
            <w:pPr>
              <w:spacing w:before="20" w:after="20"/>
              <w:jc w:val="center"/>
              <w:rPr>
                <w:rFonts w:cs="Arial"/>
                <w:sz w:val="18"/>
                <w:szCs w:val="18"/>
              </w:rPr>
            </w:pPr>
            <w:r w:rsidRPr="001719CB">
              <w:rPr>
                <w:rFonts w:cs="Arial"/>
                <w:sz w:val="18"/>
                <w:szCs w:val="18"/>
              </w:rPr>
              <w:t>2</w:t>
            </w:r>
          </w:p>
        </w:tc>
      </w:tr>
      <w:tr w:rsidR="006D30F8" w:rsidRPr="00540BF5" w14:paraId="5C429165" w14:textId="77777777" w:rsidTr="00946ED9">
        <w:trPr>
          <w:trHeight w:val="340"/>
        </w:trPr>
        <w:tc>
          <w:tcPr>
            <w:tcW w:w="1457" w:type="pct"/>
            <w:tcBorders>
              <w:top w:val="single" w:sz="4" w:space="0" w:color="8EAADB" w:themeColor="accent1" w:themeTint="99"/>
              <w:left w:val="nil"/>
              <w:bottom w:val="single" w:sz="4" w:space="0" w:color="8EAADB" w:themeColor="accent1" w:themeTint="99"/>
              <w:right w:val="nil"/>
            </w:tcBorders>
            <w:shd w:val="clear" w:color="auto" w:fill="FFFFFF"/>
            <w:noWrap/>
            <w:vAlign w:val="center"/>
            <w:hideMark/>
          </w:tcPr>
          <w:p w14:paraId="1CFF9C53" w14:textId="688B8C23" w:rsidR="006D30F8" w:rsidRPr="00540BF5" w:rsidRDefault="006D30F8" w:rsidP="00946ED9">
            <w:pPr>
              <w:spacing w:before="20" w:after="20"/>
              <w:jc w:val="left"/>
              <w:rPr>
                <w:rFonts w:cs="Arial"/>
                <w:sz w:val="18"/>
                <w:szCs w:val="18"/>
              </w:rPr>
            </w:pPr>
            <w:r w:rsidRPr="001719CB">
              <w:rPr>
                <w:rFonts w:cs="Arial"/>
                <w:sz w:val="18"/>
                <w:szCs w:val="18"/>
              </w:rPr>
              <w:t>Udruge</w:t>
            </w:r>
          </w:p>
        </w:tc>
        <w:tc>
          <w:tcPr>
            <w:tcW w:w="513" w:type="pct"/>
            <w:tcBorders>
              <w:top w:val="single" w:sz="4" w:space="0" w:color="8EAADB" w:themeColor="accent1" w:themeTint="99"/>
              <w:left w:val="nil"/>
              <w:bottom w:val="single" w:sz="4" w:space="0" w:color="8EAADB" w:themeColor="accent1" w:themeTint="99"/>
              <w:right w:val="nil"/>
            </w:tcBorders>
            <w:shd w:val="clear" w:color="auto" w:fill="FFFFFF"/>
            <w:vAlign w:val="center"/>
            <w:hideMark/>
          </w:tcPr>
          <w:p w14:paraId="151CDA92" w14:textId="318AADBD" w:rsidR="006D30F8" w:rsidRPr="00540BF5" w:rsidRDefault="006D30F8" w:rsidP="00946ED9">
            <w:pPr>
              <w:spacing w:before="20" w:after="20"/>
              <w:jc w:val="center"/>
              <w:rPr>
                <w:rFonts w:cs="Arial"/>
                <w:sz w:val="18"/>
                <w:szCs w:val="18"/>
              </w:rPr>
            </w:pPr>
            <w:r w:rsidRPr="001719CB">
              <w:rPr>
                <w:rFonts w:cs="Arial"/>
                <w:sz w:val="18"/>
                <w:szCs w:val="18"/>
              </w:rPr>
              <w:t>1</w:t>
            </w:r>
          </w:p>
        </w:tc>
        <w:tc>
          <w:tcPr>
            <w:tcW w:w="2077" w:type="pct"/>
            <w:tcBorders>
              <w:top w:val="single" w:sz="4" w:space="0" w:color="8EAADB" w:themeColor="accent1" w:themeTint="99"/>
              <w:left w:val="nil"/>
              <w:bottom w:val="single" w:sz="4" w:space="0" w:color="8EAADB" w:themeColor="accent1" w:themeTint="99"/>
              <w:right w:val="nil"/>
            </w:tcBorders>
            <w:shd w:val="clear" w:color="auto" w:fill="FFFFFF"/>
            <w:vAlign w:val="center"/>
            <w:hideMark/>
          </w:tcPr>
          <w:p w14:paraId="512BCF59" w14:textId="70C78AB4" w:rsidR="006D30F8" w:rsidRPr="00540BF5" w:rsidRDefault="006D30F8" w:rsidP="00946ED9">
            <w:pPr>
              <w:spacing w:before="20" w:after="20"/>
              <w:jc w:val="left"/>
              <w:rPr>
                <w:rFonts w:cs="Arial"/>
                <w:sz w:val="18"/>
                <w:szCs w:val="18"/>
              </w:rPr>
            </w:pPr>
            <w:r w:rsidRPr="001719CB">
              <w:rPr>
                <w:rFonts w:cs="Arial"/>
                <w:sz w:val="18"/>
                <w:szCs w:val="18"/>
              </w:rPr>
              <w:t xml:space="preserve">Dobrovoljno vatrogasno društvo Pribislavec </w:t>
            </w:r>
          </w:p>
        </w:tc>
        <w:tc>
          <w:tcPr>
            <w:tcW w:w="953" w:type="pct"/>
            <w:tcBorders>
              <w:top w:val="single" w:sz="4" w:space="0" w:color="8EAADB" w:themeColor="accent1" w:themeTint="99"/>
              <w:left w:val="nil"/>
              <w:bottom w:val="single" w:sz="4" w:space="0" w:color="8EAADB" w:themeColor="accent1" w:themeTint="99"/>
              <w:right w:val="nil"/>
            </w:tcBorders>
            <w:shd w:val="clear" w:color="auto" w:fill="FFFFFF"/>
            <w:vAlign w:val="center"/>
            <w:hideMark/>
          </w:tcPr>
          <w:p w14:paraId="18BE6C04" w14:textId="38F90150" w:rsidR="006D30F8" w:rsidRPr="00540BF5" w:rsidRDefault="006D30F8" w:rsidP="00946ED9">
            <w:pPr>
              <w:spacing w:before="20" w:after="20"/>
              <w:jc w:val="center"/>
              <w:rPr>
                <w:rFonts w:cs="Arial"/>
                <w:sz w:val="18"/>
                <w:szCs w:val="18"/>
              </w:rPr>
            </w:pPr>
            <w:r w:rsidRPr="001719CB">
              <w:rPr>
                <w:rFonts w:cs="Arial"/>
                <w:sz w:val="18"/>
                <w:szCs w:val="18"/>
              </w:rPr>
              <w:t>3</w:t>
            </w:r>
          </w:p>
        </w:tc>
      </w:tr>
      <w:tr w:rsidR="00A960B0" w:rsidRPr="00184C27" w14:paraId="4E17EFB3" w14:textId="77777777" w:rsidTr="00946ED9">
        <w:trPr>
          <w:trHeight w:val="340"/>
        </w:trPr>
        <w:tc>
          <w:tcPr>
            <w:tcW w:w="1457" w:type="pct"/>
            <w:tcBorders>
              <w:top w:val="single" w:sz="4" w:space="0" w:color="8EAADB" w:themeColor="accent1" w:themeTint="99"/>
              <w:left w:val="nil"/>
              <w:bottom w:val="single" w:sz="8" w:space="0" w:color="4F81BD"/>
              <w:right w:val="nil"/>
            </w:tcBorders>
            <w:shd w:val="clear" w:color="auto" w:fill="FFFFFF"/>
            <w:noWrap/>
            <w:vAlign w:val="center"/>
          </w:tcPr>
          <w:p w14:paraId="0B62D101" w14:textId="77777777" w:rsidR="00A95A34" w:rsidRPr="00184C27" w:rsidRDefault="00A95A34" w:rsidP="00946ED9">
            <w:pPr>
              <w:spacing w:before="20" w:after="20"/>
              <w:jc w:val="left"/>
              <w:rPr>
                <w:rFonts w:cs="Arial"/>
                <w:b/>
                <w:bCs/>
                <w:sz w:val="18"/>
                <w:szCs w:val="18"/>
              </w:rPr>
            </w:pPr>
            <w:r w:rsidRPr="00184C27">
              <w:rPr>
                <w:rFonts w:cs="Arial"/>
                <w:b/>
                <w:bCs/>
                <w:sz w:val="18"/>
                <w:szCs w:val="18"/>
              </w:rPr>
              <w:t>UKUPNO:</w:t>
            </w:r>
          </w:p>
        </w:tc>
        <w:tc>
          <w:tcPr>
            <w:tcW w:w="513" w:type="pct"/>
            <w:tcBorders>
              <w:top w:val="single" w:sz="4" w:space="0" w:color="8EAADB" w:themeColor="accent1" w:themeTint="99"/>
              <w:left w:val="nil"/>
              <w:bottom w:val="single" w:sz="8" w:space="0" w:color="4F81BD"/>
              <w:right w:val="nil"/>
            </w:tcBorders>
            <w:shd w:val="clear" w:color="auto" w:fill="FFFFFF"/>
            <w:vAlign w:val="center"/>
          </w:tcPr>
          <w:p w14:paraId="68F8BEAB" w14:textId="4E9D69AC" w:rsidR="00A95A34" w:rsidRPr="00184C27" w:rsidRDefault="006D30F8" w:rsidP="00946ED9">
            <w:pPr>
              <w:spacing w:before="20" w:after="20"/>
              <w:jc w:val="center"/>
              <w:rPr>
                <w:rFonts w:cs="Arial"/>
                <w:b/>
                <w:bCs/>
                <w:sz w:val="18"/>
                <w:szCs w:val="18"/>
              </w:rPr>
            </w:pPr>
            <w:r>
              <w:rPr>
                <w:rFonts w:cs="Arial"/>
                <w:b/>
                <w:bCs/>
                <w:sz w:val="18"/>
                <w:szCs w:val="18"/>
              </w:rPr>
              <w:t>23</w:t>
            </w:r>
          </w:p>
        </w:tc>
        <w:tc>
          <w:tcPr>
            <w:tcW w:w="2077" w:type="pct"/>
            <w:tcBorders>
              <w:top w:val="single" w:sz="4" w:space="0" w:color="8EAADB" w:themeColor="accent1" w:themeTint="99"/>
              <w:left w:val="nil"/>
              <w:bottom w:val="single" w:sz="8" w:space="0" w:color="4F81BD"/>
              <w:right w:val="nil"/>
            </w:tcBorders>
            <w:shd w:val="clear" w:color="auto" w:fill="FFFFFF"/>
            <w:vAlign w:val="center"/>
          </w:tcPr>
          <w:p w14:paraId="29B7A5E0" w14:textId="77777777" w:rsidR="00A95A34" w:rsidRPr="00184C27" w:rsidRDefault="00A95A34" w:rsidP="00946ED9">
            <w:pPr>
              <w:spacing w:before="20" w:after="20"/>
              <w:jc w:val="center"/>
              <w:rPr>
                <w:rFonts w:cs="Arial"/>
                <w:b/>
                <w:bCs/>
                <w:sz w:val="18"/>
                <w:szCs w:val="18"/>
              </w:rPr>
            </w:pPr>
          </w:p>
        </w:tc>
        <w:tc>
          <w:tcPr>
            <w:tcW w:w="953" w:type="pct"/>
            <w:tcBorders>
              <w:top w:val="single" w:sz="4" w:space="0" w:color="8EAADB" w:themeColor="accent1" w:themeTint="99"/>
              <w:left w:val="nil"/>
              <w:bottom w:val="single" w:sz="8" w:space="0" w:color="4F81BD"/>
              <w:right w:val="nil"/>
            </w:tcBorders>
            <w:shd w:val="clear" w:color="auto" w:fill="FFFFFF"/>
            <w:vAlign w:val="center"/>
          </w:tcPr>
          <w:p w14:paraId="0563509B" w14:textId="553FB41A" w:rsidR="00A95A34" w:rsidRPr="00184C27" w:rsidRDefault="006D30F8" w:rsidP="00946ED9">
            <w:pPr>
              <w:spacing w:before="20" w:after="20"/>
              <w:jc w:val="center"/>
              <w:rPr>
                <w:rFonts w:cs="Arial"/>
                <w:b/>
                <w:bCs/>
                <w:sz w:val="18"/>
                <w:szCs w:val="18"/>
              </w:rPr>
            </w:pPr>
            <w:r>
              <w:rPr>
                <w:rFonts w:cs="Arial"/>
                <w:b/>
                <w:bCs/>
                <w:sz w:val="18"/>
                <w:szCs w:val="18"/>
              </w:rPr>
              <w:t>28</w:t>
            </w:r>
          </w:p>
        </w:tc>
      </w:tr>
    </w:tbl>
    <w:p w14:paraId="682C65AC" w14:textId="77777777" w:rsidR="00D27336" w:rsidRPr="00D27336" w:rsidRDefault="00D27336" w:rsidP="00D27336">
      <w:pPr>
        <w:spacing w:before="360"/>
        <w:rPr>
          <w:rFonts w:cs="Arial"/>
        </w:rPr>
      </w:pPr>
      <w:r w:rsidRPr="00D27336">
        <w:rPr>
          <w:rFonts w:cs="Arial"/>
        </w:rPr>
        <w:t xml:space="preserve">Najveći broj ciljanih posrednih inspekcijskih nadzora u 2025. godini proveden je nad narodnim knjižnicama, muzejima i drugim ustanovama u području kulture i obrazovanja. </w:t>
      </w:r>
    </w:p>
    <w:p w14:paraId="0A456987" w14:textId="4BF69F0B" w:rsidR="00D27336" w:rsidRPr="00D27336" w:rsidRDefault="00D27336" w:rsidP="00D27336">
      <w:pPr>
        <w:spacing w:before="360"/>
        <w:rPr>
          <w:rFonts w:cs="Arial"/>
        </w:rPr>
      </w:pPr>
      <w:r w:rsidRPr="00D27336">
        <w:rPr>
          <w:rFonts w:cs="Arial"/>
        </w:rPr>
        <w:t xml:space="preserve">Naime, tijekom kolovoza i rujna  2025. godine provedeno je analitičko praćenje proaktivne objave informacija na internetskim stranicama narodnih knjižnica, muzeja i centara za kulturu (članak 10. stavak 1. točka 13. Zakona), objavljeno na poveznici: </w:t>
      </w:r>
      <w:hyperlink r:id="rId29" w:history="1">
        <w:r w:rsidRPr="00366BDF">
          <w:rPr>
            <w:rStyle w:val="Hiperveza"/>
            <w:rFonts w:cs="Arial"/>
          </w:rPr>
          <w:t>https://pristupinfo.hr/dokumenti-i-publikacije-izvjesca-o-provedbi-zppi/analiticka-izvjesca/</w:t>
        </w:r>
      </w:hyperlink>
      <w:r w:rsidRPr="00D27336">
        <w:rPr>
          <w:rFonts w:cs="Arial"/>
        </w:rPr>
        <w:t>.</w:t>
      </w:r>
    </w:p>
    <w:p w14:paraId="15521A7E" w14:textId="23EE250E" w:rsidR="006D30F8" w:rsidRDefault="00D27336" w:rsidP="00D27336">
      <w:pPr>
        <w:spacing w:before="360"/>
        <w:rPr>
          <w:rFonts w:cs="Arial"/>
        </w:rPr>
      </w:pPr>
      <w:r w:rsidRPr="00D27336">
        <w:rPr>
          <w:rFonts w:cs="Arial"/>
        </w:rPr>
        <w:t>Rezultati provedenog analitičkog praćenja pokazali su da 18 narodnih knjižnica, muzeja i centara za kulturu nije na internetskim stranicama uspostavilo funkcionalnu i dostupnu rubriku o pravu na pristup informacijama te time nije ispunilo zakonsku obvezu objave informacija o načinu i uvjetima ostvarivanja prava na pristup informacijama. Stoga su nad tim TJV izvršeni posredni inspekcijski nadzori radi neispunjavanja obveze proaktivne objave informacija iz članka 10. stavka 1. točke 13. Zakona.</w:t>
      </w:r>
    </w:p>
    <w:p w14:paraId="2C736660" w14:textId="77777777" w:rsidR="0077697D" w:rsidRPr="00F0315E" w:rsidRDefault="0077697D" w:rsidP="00EB4FDB">
      <w:pPr>
        <w:pStyle w:val="Naslov2"/>
        <w:ind w:left="1276" w:hanging="567"/>
      </w:pPr>
      <w:bookmarkStart w:id="144" w:name="_Toc225865609"/>
      <w:r w:rsidRPr="7D481D26">
        <w:lastRenderedPageBreak/>
        <w:t>Mišljenja o primjeni Zakona</w:t>
      </w:r>
      <w:bookmarkEnd w:id="144"/>
    </w:p>
    <w:p w14:paraId="353F562D" w14:textId="77777777" w:rsidR="00CA4105" w:rsidRPr="00CA4105" w:rsidRDefault="00CA4105" w:rsidP="00CA4105">
      <w:bookmarkStart w:id="145" w:name="_Hlk193957363"/>
      <w:r w:rsidRPr="00CA4105">
        <w:t xml:space="preserve">Davanje mišljenja vezanih uz primjenu ZPPI-ja te odgovora na upite korisnika o načinu ostvarivanja prava i službenika za informiranje tijela javne vlasti o načinu postupanja sa zahtjevom, predstavlja značajnu aktivnost Povjerenika kojom se doprinosi pravilnoj primjeni Zakona. Aktivnost Ureda bazira se na pisanim odgovorima (uglavnom elektroničkom poštom) te u manjoj mjeri i sastancima s predstavnicima tijela javne vlasti. </w:t>
      </w:r>
    </w:p>
    <w:p w14:paraId="59D9C301" w14:textId="77777777" w:rsidR="00CA4105" w:rsidRPr="00CA4105" w:rsidRDefault="00CA4105" w:rsidP="00CA4105">
      <w:r w:rsidRPr="00CA4105">
        <w:t>U namjeri da se na jednostavniji i pristupačniji način omogući korištenje dugogodišnje prakse postupanja Povjerenika, nastavljena je objava kratkih prikaza pravnih standarda, mišljenja i komentara u odnosu na primjenu Zakona na mrežnim stranicama Povjerenika te je u rubrici „Iz prakse povjerenika“ u 2025. godini objavljeno 16 takvih tekstova (ukupno 58).</w:t>
      </w:r>
    </w:p>
    <w:p w14:paraId="121AE238" w14:textId="24474395" w:rsidR="00CA4105" w:rsidRPr="00CA4105" w:rsidRDefault="00CA4105" w:rsidP="00CA4105">
      <w:r w:rsidRPr="00CA4105">
        <w:t xml:space="preserve">U 2025. godini zaprimljeno je ukupno 344 pisanih upita korisnika i tijela javne vlasti, odnosno traženja mišljenja o provedbi Zakona, što predstavlja nastavak trenda smanjenja broja upita u </w:t>
      </w:r>
      <w:r w:rsidRPr="0075748C">
        <w:t>odnosu na ranije godine (Tablica 6.</w:t>
      </w:r>
      <w:r w:rsidR="0075748C">
        <w:t>6</w:t>
      </w:r>
      <w:r w:rsidRPr="0075748C">
        <w:t>.).</w:t>
      </w:r>
      <w:r w:rsidRPr="00CA4105">
        <w:t xml:space="preserve"> </w:t>
      </w:r>
    </w:p>
    <w:p w14:paraId="4D38C3E8" w14:textId="2C65448E" w:rsidR="006D30F8" w:rsidRPr="00CA4105" w:rsidRDefault="00CA4105" w:rsidP="00CA4105">
      <w:r w:rsidRPr="00CA4105">
        <w:t>Korisnici upitima u najvećoj mjeri traže mišljenje o primjeni pojedinih zakonskih odredbi i uputu o načinu ostvarivanja prava na informaciju, dok službenici za informiranje traže mišljenje i pomoć oko načina rješavanja zahtjeva za pristup informacijama ili potrebi i načinu proaktivnog objavljivanja pojedinih informacija na internetskoj stranici.</w:t>
      </w:r>
    </w:p>
    <w:p w14:paraId="5F12E5E3" w14:textId="5DDE21EC" w:rsidR="0077697D" w:rsidRPr="00F0315E" w:rsidRDefault="0077697D" w:rsidP="006D30F8">
      <w:pPr>
        <w:keepNext/>
        <w:widowControl w:val="0"/>
        <w:spacing w:before="240"/>
        <w:rPr>
          <w:rFonts w:cs="Arial"/>
          <w:sz w:val="18"/>
          <w:szCs w:val="18"/>
        </w:rPr>
      </w:pPr>
      <w:r w:rsidRPr="0075748C">
        <w:rPr>
          <w:rFonts w:cs="Arial"/>
          <w:sz w:val="18"/>
          <w:szCs w:val="18"/>
        </w:rPr>
        <w:t xml:space="preserve">Tablica </w:t>
      </w:r>
      <w:r w:rsidR="00704C6C" w:rsidRPr="0075748C">
        <w:rPr>
          <w:rFonts w:cs="Arial"/>
          <w:sz w:val="18"/>
          <w:szCs w:val="18"/>
        </w:rPr>
        <w:t>6</w:t>
      </w:r>
      <w:r w:rsidRPr="0075748C">
        <w:rPr>
          <w:rFonts w:cs="Arial"/>
          <w:sz w:val="18"/>
          <w:szCs w:val="18"/>
        </w:rPr>
        <w:t>.</w:t>
      </w:r>
      <w:r w:rsidR="00CA4105" w:rsidRPr="0075748C">
        <w:rPr>
          <w:rFonts w:cs="Arial"/>
          <w:sz w:val="18"/>
          <w:szCs w:val="18"/>
        </w:rPr>
        <w:t>6</w:t>
      </w:r>
      <w:r w:rsidRPr="0075748C">
        <w:rPr>
          <w:rFonts w:cs="Arial"/>
          <w:sz w:val="18"/>
          <w:szCs w:val="18"/>
        </w:rPr>
        <w:t>. Broj zaprimljenih upita u razdoblju 20</w:t>
      </w:r>
      <w:r w:rsidR="00966788" w:rsidRPr="0075748C">
        <w:rPr>
          <w:rFonts w:cs="Arial"/>
          <w:sz w:val="18"/>
          <w:szCs w:val="18"/>
        </w:rPr>
        <w:t>2</w:t>
      </w:r>
      <w:r w:rsidR="006D30F8" w:rsidRPr="0075748C">
        <w:rPr>
          <w:rFonts w:cs="Arial"/>
          <w:sz w:val="18"/>
          <w:szCs w:val="18"/>
        </w:rPr>
        <w:t>1</w:t>
      </w:r>
      <w:r w:rsidRPr="0075748C">
        <w:rPr>
          <w:rFonts w:cs="Arial"/>
          <w:sz w:val="18"/>
          <w:szCs w:val="18"/>
        </w:rPr>
        <w:t>. - 202</w:t>
      </w:r>
      <w:r w:rsidR="006D30F8" w:rsidRPr="0075748C">
        <w:rPr>
          <w:rFonts w:cs="Arial"/>
          <w:sz w:val="18"/>
          <w:szCs w:val="18"/>
        </w:rPr>
        <w:t>5</w:t>
      </w:r>
      <w:r w:rsidRPr="0075748C">
        <w:rPr>
          <w:rFonts w:cs="Arial"/>
          <w:sz w:val="18"/>
          <w:szCs w:val="18"/>
        </w:rPr>
        <w:t>.</w:t>
      </w:r>
      <w:r w:rsidRPr="00F0315E">
        <w:rPr>
          <w:rFonts w:cs="Arial"/>
          <w:sz w:val="18"/>
          <w:szCs w:val="18"/>
        </w:rPr>
        <w:t xml:space="preserve"> </w:t>
      </w:r>
    </w:p>
    <w:tbl>
      <w:tblPr>
        <w:tblW w:w="5013" w:type="pct"/>
        <w:tblLook w:val="04A0" w:firstRow="1" w:lastRow="0" w:firstColumn="1" w:lastColumn="0" w:noHBand="0" w:noVBand="1"/>
      </w:tblPr>
      <w:tblGrid>
        <w:gridCol w:w="3032"/>
        <w:gridCol w:w="3033"/>
        <w:gridCol w:w="3031"/>
      </w:tblGrid>
      <w:tr w:rsidR="0077697D" w:rsidRPr="00F0315E" w14:paraId="78698383" w14:textId="77777777" w:rsidTr="00946ED9">
        <w:trPr>
          <w:trHeight w:val="340"/>
        </w:trPr>
        <w:tc>
          <w:tcPr>
            <w:tcW w:w="1667" w:type="pct"/>
            <w:tcBorders>
              <w:top w:val="single" w:sz="8" w:space="0" w:color="4F81BD"/>
              <w:left w:val="nil"/>
              <w:bottom w:val="single" w:sz="8" w:space="0" w:color="4F81BD"/>
              <w:right w:val="nil"/>
            </w:tcBorders>
            <w:noWrap/>
            <w:vAlign w:val="center"/>
            <w:hideMark/>
          </w:tcPr>
          <w:p w14:paraId="730A1F56" w14:textId="77777777" w:rsidR="0077697D" w:rsidRPr="00184C27" w:rsidRDefault="0077697D" w:rsidP="00946ED9">
            <w:pPr>
              <w:snapToGrid w:val="0"/>
              <w:spacing w:before="20" w:after="20"/>
              <w:jc w:val="center"/>
              <w:rPr>
                <w:rFonts w:cs="Arial"/>
                <w:b/>
                <w:sz w:val="18"/>
                <w:szCs w:val="18"/>
              </w:rPr>
            </w:pPr>
            <w:r w:rsidRPr="00184C27">
              <w:rPr>
                <w:rFonts w:cs="Arial"/>
                <w:b/>
                <w:sz w:val="18"/>
                <w:szCs w:val="18"/>
              </w:rPr>
              <w:t>Godina</w:t>
            </w:r>
          </w:p>
        </w:tc>
        <w:tc>
          <w:tcPr>
            <w:tcW w:w="1667" w:type="pct"/>
            <w:tcBorders>
              <w:top w:val="single" w:sz="8" w:space="0" w:color="4F81BD"/>
              <w:left w:val="nil"/>
              <w:bottom w:val="single" w:sz="8" w:space="0" w:color="4F81BD"/>
              <w:right w:val="nil"/>
            </w:tcBorders>
            <w:noWrap/>
            <w:vAlign w:val="center"/>
            <w:hideMark/>
          </w:tcPr>
          <w:p w14:paraId="66611954" w14:textId="77777777" w:rsidR="0077697D" w:rsidRPr="00184C27" w:rsidRDefault="0077697D" w:rsidP="00946ED9">
            <w:pPr>
              <w:snapToGrid w:val="0"/>
              <w:spacing w:before="20" w:after="20"/>
              <w:jc w:val="center"/>
              <w:rPr>
                <w:rFonts w:cs="Arial"/>
                <w:b/>
                <w:sz w:val="18"/>
                <w:szCs w:val="18"/>
              </w:rPr>
            </w:pPr>
            <w:r w:rsidRPr="00184C27">
              <w:rPr>
                <w:rFonts w:cs="Arial"/>
                <w:b/>
                <w:sz w:val="18"/>
                <w:szCs w:val="18"/>
              </w:rPr>
              <w:t>Broj upita</w:t>
            </w:r>
          </w:p>
        </w:tc>
        <w:tc>
          <w:tcPr>
            <w:tcW w:w="1666" w:type="pct"/>
            <w:tcBorders>
              <w:top w:val="single" w:sz="8" w:space="0" w:color="4F81BD"/>
              <w:left w:val="nil"/>
              <w:bottom w:val="single" w:sz="8" w:space="0" w:color="4F81BD"/>
              <w:right w:val="nil"/>
            </w:tcBorders>
            <w:noWrap/>
            <w:vAlign w:val="center"/>
            <w:hideMark/>
          </w:tcPr>
          <w:p w14:paraId="3615ABB8" w14:textId="6E258F80" w:rsidR="0077697D" w:rsidRPr="00184C27" w:rsidRDefault="0077697D" w:rsidP="00946ED9">
            <w:pPr>
              <w:snapToGrid w:val="0"/>
              <w:spacing w:before="20" w:after="20"/>
              <w:jc w:val="center"/>
              <w:rPr>
                <w:rFonts w:cs="Arial"/>
                <w:b/>
                <w:sz w:val="18"/>
                <w:szCs w:val="18"/>
              </w:rPr>
            </w:pPr>
            <w:r w:rsidRPr="00184C27">
              <w:rPr>
                <w:rFonts w:cs="Arial"/>
                <w:b/>
                <w:sz w:val="18"/>
                <w:szCs w:val="18"/>
              </w:rPr>
              <w:t>+/- (%)</w:t>
            </w:r>
          </w:p>
        </w:tc>
      </w:tr>
      <w:tr w:rsidR="006D30F8" w:rsidRPr="00F0315E" w14:paraId="38A2C759" w14:textId="77777777" w:rsidTr="00946ED9">
        <w:trPr>
          <w:trHeight w:val="340"/>
        </w:trPr>
        <w:tc>
          <w:tcPr>
            <w:tcW w:w="1667" w:type="pct"/>
            <w:tcBorders>
              <w:top w:val="nil"/>
              <w:left w:val="nil"/>
              <w:bottom w:val="nil"/>
              <w:right w:val="nil"/>
            </w:tcBorders>
            <w:shd w:val="clear" w:color="auto" w:fill="D9E2F3" w:themeFill="accent1" w:themeFillTint="33"/>
            <w:noWrap/>
            <w:vAlign w:val="center"/>
          </w:tcPr>
          <w:p w14:paraId="14AE1B2E" w14:textId="3C5B3D2D" w:rsidR="006D30F8" w:rsidRPr="00184C27" w:rsidRDefault="006D30F8" w:rsidP="006D30F8">
            <w:pPr>
              <w:spacing w:before="20" w:after="20"/>
              <w:jc w:val="center"/>
              <w:rPr>
                <w:rFonts w:cs="Arial"/>
                <w:sz w:val="18"/>
                <w:szCs w:val="18"/>
              </w:rPr>
            </w:pPr>
            <w:r w:rsidRPr="00823860">
              <w:rPr>
                <w:rFonts w:cs="Arial"/>
                <w:sz w:val="18"/>
                <w:szCs w:val="18"/>
              </w:rPr>
              <w:t>2021.</w:t>
            </w:r>
          </w:p>
        </w:tc>
        <w:tc>
          <w:tcPr>
            <w:tcW w:w="1667" w:type="pct"/>
            <w:tcBorders>
              <w:top w:val="nil"/>
              <w:left w:val="nil"/>
              <w:bottom w:val="nil"/>
              <w:right w:val="nil"/>
            </w:tcBorders>
            <w:shd w:val="clear" w:color="auto" w:fill="D9E2F3" w:themeFill="accent1" w:themeFillTint="33"/>
            <w:noWrap/>
            <w:vAlign w:val="center"/>
            <w:hideMark/>
          </w:tcPr>
          <w:p w14:paraId="765570ED" w14:textId="6DE808E5" w:rsidR="006D30F8" w:rsidRPr="00184C27" w:rsidRDefault="006D30F8" w:rsidP="006D30F8">
            <w:pPr>
              <w:spacing w:before="20" w:after="20"/>
              <w:jc w:val="center"/>
              <w:rPr>
                <w:rFonts w:cs="Arial"/>
                <w:sz w:val="18"/>
                <w:szCs w:val="18"/>
              </w:rPr>
            </w:pPr>
            <w:r w:rsidRPr="00823860">
              <w:rPr>
                <w:sz w:val="18"/>
                <w:szCs w:val="18"/>
              </w:rPr>
              <w:t>500</w:t>
            </w:r>
          </w:p>
        </w:tc>
        <w:tc>
          <w:tcPr>
            <w:tcW w:w="1666" w:type="pct"/>
            <w:tcBorders>
              <w:top w:val="nil"/>
              <w:left w:val="nil"/>
              <w:bottom w:val="nil"/>
              <w:right w:val="nil"/>
            </w:tcBorders>
            <w:shd w:val="clear" w:color="auto" w:fill="D9E2F3" w:themeFill="accent1" w:themeFillTint="33"/>
            <w:noWrap/>
            <w:vAlign w:val="center"/>
          </w:tcPr>
          <w:p w14:paraId="46DA1D4C" w14:textId="1296A75F" w:rsidR="006D30F8" w:rsidRPr="00184C27" w:rsidRDefault="006D30F8" w:rsidP="006D30F8">
            <w:pPr>
              <w:spacing w:before="20" w:after="20"/>
              <w:jc w:val="center"/>
              <w:rPr>
                <w:rFonts w:cs="Arial"/>
                <w:sz w:val="18"/>
                <w:szCs w:val="18"/>
              </w:rPr>
            </w:pPr>
            <w:r w:rsidRPr="00823860">
              <w:rPr>
                <w:sz w:val="18"/>
                <w:szCs w:val="18"/>
              </w:rPr>
              <w:t>-</w:t>
            </w:r>
          </w:p>
        </w:tc>
      </w:tr>
      <w:tr w:rsidR="006D30F8" w:rsidRPr="00F0315E" w14:paraId="7A7AB002" w14:textId="77777777" w:rsidTr="00946ED9">
        <w:trPr>
          <w:trHeight w:val="340"/>
        </w:trPr>
        <w:tc>
          <w:tcPr>
            <w:tcW w:w="1667" w:type="pct"/>
            <w:tcBorders>
              <w:top w:val="nil"/>
              <w:left w:val="nil"/>
              <w:bottom w:val="nil"/>
              <w:right w:val="nil"/>
            </w:tcBorders>
            <w:noWrap/>
            <w:vAlign w:val="center"/>
          </w:tcPr>
          <w:p w14:paraId="57C679E5" w14:textId="1DE3CF4D" w:rsidR="006D30F8" w:rsidRPr="00184C27" w:rsidRDefault="006D30F8" w:rsidP="006D30F8">
            <w:pPr>
              <w:spacing w:before="20" w:after="20"/>
              <w:jc w:val="center"/>
              <w:rPr>
                <w:rFonts w:cs="Arial"/>
                <w:sz w:val="18"/>
                <w:szCs w:val="18"/>
              </w:rPr>
            </w:pPr>
            <w:r w:rsidRPr="00823860">
              <w:rPr>
                <w:rFonts w:cs="Arial"/>
                <w:sz w:val="18"/>
                <w:szCs w:val="18"/>
              </w:rPr>
              <w:t>2022.</w:t>
            </w:r>
          </w:p>
        </w:tc>
        <w:tc>
          <w:tcPr>
            <w:tcW w:w="1667" w:type="pct"/>
            <w:tcBorders>
              <w:top w:val="nil"/>
              <w:left w:val="nil"/>
              <w:bottom w:val="nil"/>
              <w:right w:val="nil"/>
            </w:tcBorders>
            <w:noWrap/>
            <w:vAlign w:val="center"/>
            <w:hideMark/>
          </w:tcPr>
          <w:p w14:paraId="743F3ADA" w14:textId="60A48F94" w:rsidR="006D30F8" w:rsidRPr="00184C27" w:rsidRDefault="006D30F8" w:rsidP="006D30F8">
            <w:pPr>
              <w:spacing w:before="20" w:after="20"/>
              <w:jc w:val="center"/>
              <w:rPr>
                <w:rFonts w:cs="Arial"/>
                <w:sz w:val="18"/>
                <w:szCs w:val="18"/>
              </w:rPr>
            </w:pPr>
            <w:r w:rsidRPr="00823860">
              <w:rPr>
                <w:sz w:val="18"/>
                <w:szCs w:val="18"/>
              </w:rPr>
              <w:t>484</w:t>
            </w:r>
          </w:p>
        </w:tc>
        <w:tc>
          <w:tcPr>
            <w:tcW w:w="1666" w:type="pct"/>
            <w:tcBorders>
              <w:top w:val="nil"/>
              <w:left w:val="nil"/>
              <w:bottom w:val="nil"/>
              <w:right w:val="nil"/>
            </w:tcBorders>
            <w:noWrap/>
            <w:vAlign w:val="center"/>
          </w:tcPr>
          <w:p w14:paraId="38C1B648" w14:textId="3A109996" w:rsidR="006D30F8" w:rsidRPr="00184C27" w:rsidRDefault="006D30F8" w:rsidP="006D30F8">
            <w:pPr>
              <w:spacing w:before="20" w:after="20"/>
              <w:jc w:val="center"/>
              <w:rPr>
                <w:rFonts w:cs="Arial"/>
                <w:sz w:val="18"/>
                <w:szCs w:val="18"/>
              </w:rPr>
            </w:pPr>
            <w:r w:rsidRPr="00823860">
              <w:rPr>
                <w:sz w:val="18"/>
                <w:szCs w:val="18"/>
              </w:rPr>
              <w:t>-3</w:t>
            </w:r>
          </w:p>
        </w:tc>
      </w:tr>
      <w:tr w:rsidR="006D30F8" w:rsidRPr="00F0315E" w14:paraId="4FBD3441" w14:textId="77777777" w:rsidTr="00946ED9">
        <w:trPr>
          <w:trHeight w:val="340"/>
        </w:trPr>
        <w:tc>
          <w:tcPr>
            <w:tcW w:w="1667" w:type="pct"/>
            <w:tcBorders>
              <w:top w:val="nil"/>
              <w:left w:val="nil"/>
              <w:bottom w:val="nil"/>
              <w:right w:val="nil"/>
            </w:tcBorders>
            <w:shd w:val="clear" w:color="auto" w:fill="D9E2F3" w:themeFill="accent1" w:themeFillTint="33"/>
            <w:noWrap/>
            <w:vAlign w:val="center"/>
          </w:tcPr>
          <w:p w14:paraId="4FBF4459" w14:textId="24CD3BE6" w:rsidR="006D30F8" w:rsidRPr="00184C27" w:rsidRDefault="006D30F8" w:rsidP="006D30F8">
            <w:pPr>
              <w:spacing w:before="20" w:after="20"/>
              <w:jc w:val="center"/>
              <w:rPr>
                <w:rFonts w:cs="Arial"/>
                <w:sz w:val="18"/>
                <w:szCs w:val="18"/>
              </w:rPr>
            </w:pPr>
            <w:r w:rsidRPr="00823860">
              <w:rPr>
                <w:rFonts w:cs="Arial"/>
                <w:sz w:val="18"/>
                <w:szCs w:val="18"/>
              </w:rPr>
              <w:t>2023.</w:t>
            </w:r>
          </w:p>
        </w:tc>
        <w:tc>
          <w:tcPr>
            <w:tcW w:w="1667" w:type="pct"/>
            <w:tcBorders>
              <w:top w:val="nil"/>
              <w:left w:val="nil"/>
              <w:bottom w:val="nil"/>
              <w:right w:val="nil"/>
            </w:tcBorders>
            <w:shd w:val="clear" w:color="auto" w:fill="D9E2F3" w:themeFill="accent1" w:themeFillTint="33"/>
            <w:noWrap/>
            <w:vAlign w:val="center"/>
            <w:hideMark/>
          </w:tcPr>
          <w:p w14:paraId="77ADDB7A" w14:textId="3092DF86" w:rsidR="006D30F8" w:rsidRPr="00184C27" w:rsidRDefault="006D30F8" w:rsidP="006D30F8">
            <w:pPr>
              <w:spacing w:before="20" w:after="20"/>
              <w:jc w:val="center"/>
              <w:rPr>
                <w:rFonts w:cs="Arial"/>
                <w:sz w:val="18"/>
                <w:szCs w:val="18"/>
              </w:rPr>
            </w:pPr>
            <w:r w:rsidRPr="00823860">
              <w:rPr>
                <w:sz w:val="18"/>
                <w:szCs w:val="18"/>
              </w:rPr>
              <w:t>445</w:t>
            </w:r>
          </w:p>
        </w:tc>
        <w:tc>
          <w:tcPr>
            <w:tcW w:w="1666" w:type="pct"/>
            <w:tcBorders>
              <w:top w:val="nil"/>
              <w:left w:val="nil"/>
              <w:bottom w:val="nil"/>
              <w:right w:val="nil"/>
            </w:tcBorders>
            <w:shd w:val="clear" w:color="auto" w:fill="D9E2F3" w:themeFill="accent1" w:themeFillTint="33"/>
            <w:noWrap/>
            <w:vAlign w:val="center"/>
          </w:tcPr>
          <w:p w14:paraId="63C9CCA8" w14:textId="4990AD52" w:rsidR="006D30F8" w:rsidRPr="00184C27" w:rsidRDefault="006D30F8" w:rsidP="006D30F8">
            <w:pPr>
              <w:spacing w:before="20" w:after="20"/>
              <w:jc w:val="center"/>
              <w:rPr>
                <w:rFonts w:cs="Arial"/>
                <w:sz w:val="18"/>
                <w:szCs w:val="18"/>
              </w:rPr>
            </w:pPr>
            <w:r w:rsidRPr="00823860">
              <w:rPr>
                <w:sz w:val="18"/>
                <w:szCs w:val="18"/>
              </w:rPr>
              <w:t>-8</w:t>
            </w:r>
          </w:p>
        </w:tc>
      </w:tr>
      <w:tr w:rsidR="006D30F8" w:rsidRPr="00F0315E" w14:paraId="07E8AD5E" w14:textId="77777777" w:rsidTr="00946ED9">
        <w:trPr>
          <w:trHeight w:val="340"/>
        </w:trPr>
        <w:tc>
          <w:tcPr>
            <w:tcW w:w="1667" w:type="pct"/>
            <w:tcBorders>
              <w:top w:val="nil"/>
              <w:left w:val="nil"/>
              <w:bottom w:val="nil"/>
              <w:right w:val="nil"/>
            </w:tcBorders>
            <w:noWrap/>
            <w:vAlign w:val="center"/>
          </w:tcPr>
          <w:p w14:paraId="288A78AF" w14:textId="6E4A0847" w:rsidR="006D30F8" w:rsidRPr="00184C27" w:rsidRDefault="006D30F8" w:rsidP="006D30F8">
            <w:pPr>
              <w:spacing w:before="20" w:after="20"/>
              <w:jc w:val="center"/>
              <w:rPr>
                <w:rFonts w:cs="Arial"/>
                <w:sz w:val="18"/>
                <w:szCs w:val="18"/>
              </w:rPr>
            </w:pPr>
            <w:r w:rsidRPr="00823860">
              <w:rPr>
                <w:rFonts w:cs="Arial"/>
                <w:sz w:val="18"/>
                <w:szCs w:val="18"/>
              </w:rPr>
              <w:t>2024.</w:t>
            </w:r>
          </w:p>
        </w:tc>
        <w:tc>
          <w:tcPr>
            <w:tcW w:w="1667" w:type="pct"/>
            <w:tcBorders>
              <w:top w:val="nil"/>
              <w:left w:val="nil"/>
              <w:bottom w:val="nil"/>
              <w:right w:val="nil"/>
            </w:tcBorders>
            <w:noWrap/>
            <w:vAlign w:val="center"/>
            <w:hideMark/>
          </w:tcPr>
          <w:p w14:paraId="63448798" w14:textId="52E38881" w:rsidR="006D30F8" w:rsidRPr="00184C27" w:rsidRDefault="006D30F8" w:rsidP="006D30F8">
            <w:pPr>
              <w:spacing w:before="20" w:after="20"/>
              <w:jc w:val="center"/>
              <w:rPr>
                <w:rFonts w:cs="Arial"/>
                <w:sz w:val="18"/>
                <w:szCs w:val="18"/>
              </w:rPr>
            </w:pPr>
            <w:r w:rsidRPr="00823860">
              <w:rPr>
                <w:sz w:val="18"/>
                <w:szCs w:val="18"/>
              </w:rPr>
              <w:t>385</w:t>
            </w:r>
          </w:p>
        </w:tc>
        <w:tc>
          <w:tcPr>
            <w:tcW w:w="1666" w:type="pct"/>
            <w:tcBorders>
              <w:top w:val="nil"/>
              <w:left w:val="nil"/>
              <w:bottom w:val="nil"/>
              <w:right w:val="nil"/>
            </w:tcBorders>
            <w:noWrap/>
            <w:vAlign w:val="center"/>
          </w:tcPr>
          <w:p w14:paraId="5712D0FF" w14:textId="4812E286" w:rsidR="006D30F8" w:rsidRPr="00184C27" w:rsidRDefault="006D30F8" w:rsidP="006D30F8">
            <w:pPr>
              <w:spacing w:before="20" w:after="20"/>
              <w:jc w:val="center"/>
              <w:rPr>
                <w:rFonts w:cs="Arial"/>
                <w:sz w:val="18"/>
                <w:szCs w:val="18"/>
              </w:rPr>
            </w:pPr>
            <w:r w:rsidRPr="00823860">
              <w:rPr>
                <w:sz w:val="18"/>
                <w:szCs w:val="18"/>
              </w:rPr>
              <w:t>-20</w:t>
            </w:r>
          </w:p>
        </w:tc>
      </w:tr>
      <w:tr w:rsidR="006D30F8" w:rsidRPr="00F0315E" w14:paraId="5E211BC4" w14:textId="77777777" w:rsidTr="00946ED9">
        <w:trPr>
          <w:trHeight w:val="340"/>
        </w:trPr>
        <w:tc>
          <w:tcPr>
            <w:tcW w:w="1667" w:type="pct"/>
            <w:tcBorders>
              <w:top w:val="nil"/>
              <w:left w:val="nil"/>
              <w:bottom w:val="single" w:sz="8" w:space="0" w:color="4F81BD"/>
              <w:right w:val="nil"/>
            </w:tcBorders>
            <w:shd w:val="clear" w:color="auto" w:fill="D9E2F3" w:themeFill="accent1" w:themeFillTint="33"/>
            <w:noWrap/>
            <w:vAlign w:val="center"/>
          </w:tcPr>
          <w:p w14:paraId="044FA3C1" w14:textId="2A51A66C" w:rsidR="006D30F8" w:rsidRPr="00184C27" w:rsidRDefault="006D30F8" w:rsidP="006D30F8">
            <w:pPr>
              <w:spacing w:before="20" w:after="20"/>
              <w:jc w:val="center"/>
              <w:rPr>
                <w:rFonts w:cs="Arial"/>
                <w:sz w:val="18"/>
                <w:szCs w:val="18"/>
              </w:rPr>
            </w:pPr>
            <w:r w:rsidRPr="00823860">
              <w:rPr>
                <w:rFonts w:cs="Arial"/>
                <w:sz w:val="18"/>
                <w:szCs w:val="18"/>
              </w:rPr>
              <w:t>2025.</w:t>
            </w:r>
          </w:p>
        </w:tc>
        <w:tc>
          <w:tcPr>
            <w:tcW w:w="1667" w:type="pct"/>
            <w:tcBorders>
              <w:top w:val="nil"/>
              <w:left w:val="nil"/>
              <w:bottom w:val="single" w:sz="8" w:space="0" w:color="4F81BD"/>
              <w:right w:val="nil"/>
            </w:tcBorders>
            <w:shd w:val="clear" w:color="auto" w:fill="D9E2F3" w:themeFill="accent1" w:themeFillTint="33"/>
            <w:noWrap/>
          </w:tcPr>
          <w:p w14:paraId="7E49C3DA" w14:textId="77777777" w:rsidR="006D30F8" w:rsidRPr="00184C27" w:rsidRDefault="006D30F8" w:rsidP="006D30F8">
            <w:pPr>
              <w:spacing w:before="20" w:after="20"/>
              <w:jc w:val="center"/>
              <w:rPr>
                <w:rFonts w:cs="Arial"/>
                <w:sz w:val="18"/>
                <w:szCs w:val="18"/>
              </w:rPr>
            </w:pPr>
            <w:r w:rsidRPr="00184C27">
              <w:rPr>
                <w:rFonts w:cs="Arial"/>
                <w:sz w:val="18"/>
                <w:szCs w:val="18"/>
              </w:rPr>
              <w:t>385</w:t>
            </w:r>
          </w:p>
        </w:tc>
        <w:tc>
          <w:tcPr>
            <w:tcW w:w="1666" w:type="pct"/>
            <w:tcBorders>
              <w:top w:val="nil"/>
              <w:left w:val="nil"/>
              <w:bottom w:val="single" w:sz="8" w:space="0" w:color="4F81BD"/>
              <w:right w:val="nil"/>
            </w:tcBorders>
            <w:shd w:val="clear" w:color="auto" w:fill="D9E2F3" w:themeFill="accent1" w:themeFillTint="33"/>
            <w:noWrap/>
          </w:tcPr>
          <w:p w14:paraId="6EEB90DB" w14:textId="069A7274" w:rsidR="006D30F8" w:rsidRPr="00184C27" w:rsidRDefault="006D30F8" w:rsidP="006D30F8">
            <w:pPr>
              <w:spacing w:before="20" w:after="20"/>
              <w:jc w:val="center"/>
              <w:rPr>
                <w:rFonts w:cs="Arial"/>
                <w:sz w:val="18"/>
                <w:szCs w:val="18"/>
              </w:rPr>
            </w:pPr>
            <w:r w:rsidRPr="00184C27">
              <w:rPr>
                <w:rFonts w:cs="Arial"/>
                <w:sz w:val="18"/>
                <w:szCs w:val="18"/>
              </w:rPr>
              <w:t>-13,</w:t>
            </w:r>
            <w:r>
              <w:rPr>
                <w:rFonts w:cs="Arial"/>
                <w:sz w:val="18"/>
                <w:szCs w:val="18"/>
              </w:rPr>
              <w:t>5</w:t>
            </w:r>
          </w:p>
        </w:tc>
      </w:tr>
    </w:tbl>
    <w:bookmarkEnd w:id="145"/>
    <w:p w14:paraId="442481E3" w14:textId="77777777" w:rsidR="006C2632" w:rsidRPr="006C2632" w:rsidRDefault="006C2632" w:rsidP="7D481D26">
      <w:pPr>
        <w:spacing w:before="120"/>
        <w:rPr>
          <w:rFonts w:cs="Arial"/>
        </w:rPr>
      </w:pPr>
      <w:r w:rsidRPr="7D481D26">
        <w:rPr>
          <w:rFonts w:cs="Arial"/>
        </w:rPr>
        <w:t>S pet prenesenih neodgovorenih upita iz 2024., Ured je imao na rješavanju ukupno 349 upita, a do kraja 2025. odgovoreno je i dano mišljenje na 347 (99,4%) svih upita u radu, dok su dva upita preneseno u rad u 2026. godinu.</w:t>
      </w:r>
    </w:p>
    <w:p w14:paraId="748D8BD6" w14:textId="54DFD03E" w:rsidR="0052400E" w:rsidRDefault="006C2632" w:rsidP="006C2632">
      <w:pPr>
        <w:rPr>
          <w:rFonts w:cs="Arial"/>
        </w:rPr>
      </w:pPr>
      <w:r w:rsidRPr="0075748C">
        <w:rPr>
          <w:rFonts w:cs="Arial"/>
        </w:rPr>
        <w:t>Iz analize upita zaprimljenih u 2025. po podnositeljima (Tablica 6.</w:t>
      </w:r>
      <w:r w:rsidR="0075748C" w:rsidRPr="0075748C">
        <w:rPr>
          <w:rFonts w:cs="Arial"/>
        </w:rPr>
        <w:t>7</w:t>
      </w:r>
      <w:r w:rsidRPr="0075748C">
        <w:rPr>
          <w:rFonts w:cs="Arial"/>
        </w:rPr>
        <w:t>.), vidljivo je da se, kao i</w:t>
      </w:r>
      <w:r w:rsidRPr="006C2632">
        <w:rPr>
          <w:rFonts w:cs="Arial"/>
        </w:rPr>
        <w:t xml:space="preserve"> prethodnih godina, Povjereniku za informiranje s upitima obraćao podjednak broj tijela javne vlasti i korisnika.</w:t>
      </w:r>
    </w:p>
    <w:p w14:paraId="2944AD65" w14:textId="77777777" w:rsidR="0052400E" w:rsidRDefault="0052400E">
      <w:pPr>
        <w:spacing w:after="0" w:line="240" w:lineRule="auto"/>
        <w:jc w:val="left"/>
        <w:rPr>
          <w:rFonts w:cs="Arial"/>
        </w:rPr>
      </w:pPr>
      <w:r>
        <w:rPr>
          <w:rFonts w:cs="Arial"/>
        </w:rPr>
        <w:br w:type="page"/>
      </w:r>
    </w:p>
    <w:p w14:paraId="6D599613" w14:textId="63BD39E9" w:rsidR="0077697D" w:rsidRPr="00F0315E" w:rsidRDefault="0077697D" w:rsidP="00540BF5">
      <w:pPr>
        <w:keepNext/>
        <w:widowControl w:val="0"/>
        <w:spacing w:before="240"/>
        <w:rPr>
          <w:rFonts w:cs="Arial"/>
          <w:sz w:val="18"/>
          <w:szCs w:val="18"/>
        </w:rPr>
      </w:pPr>
      <w:r w:rsidRPr="0075748C">
        <w:rPr>
          <w:rFonts w:cs="Arial"/>
          <w:sz w:val="18"/>
          <w:szCs w:val="18"/>
        </w:rPr>
        <w:lastRenderedPageBreak/>
        <w:t xml:space="preserve">Tablica </w:t>
      </w:r>
      <w:r w:rsidR="00274E05" w:rsidRPr="0075748C">
        <w:rPr>
          <w:rFonts w:cs="Arial"/>
          <w:sz w:val="18"/>
          <w:szCs w:val="18"/>
        </w:rPr>
        <w:t>6.</w:t>
      </w:r>
      <w:r w:rsidR="006C2632" w:rsidRPr="0075748C">
        <w:rPr>
          <w:rFonts w:cs="Arial"/>
          <w:sz w:val="18"/>
          <w:szCs w:val="18"/>
        </w:rPr>
        <w:t>7</w:t>
      </w:r>
      <w:r w:rsidR="00274E05" w:rsidRPr="0075748C">
        <w:rPr>
          <w:rFonts w:cs="Arial"/>
          <w:sz w:val="18"/>
          <w:szCs w:val="18"/>
        </w:rPr>
        <w:t>.</w:t>
      </w:r>
      <w:r w:rsidRPr="0075748C">
        <w:rPr>
          <w:rFonts w:cs="Arial"/>
          <w:sz w:val="18"/>
          <w:szCs w:val="18"/>
        </w:rPr>
        <w:t xml:space="preserve"> Struktura upita prema podnositeljima</w:t>
      </w:r>
      <w:r w:rsidRPr="00F0315E">
        <w:rPr>
          <w:rFonts w:cs="Arial"/>
          <w:sz w:val="18"/>
          <w:szCs w:val="18"/>
        </w:rPr>
        <w:t xml:space="preserve"> </w:t>
      </w:r>
    </w:p>
    <w:tbl>
      <w:tblPr>
        <w:tblStyle w:val="LightShading-Accent116"/>
        <w:tblW w:w="5045" w:type="pct"/>
        <w:tblLook w:val="04A0" w:firstRow="1" w:lastRow="0" w:firstColumn="1" w:lastColumn="0" w:noHBand="0" w:noVBand="1"/>
      </w:tblPr>
      <w:tblGrid>
        <w:gridCol w:w="3422"/>
        <w:gridCol w:w="2995"/>
        <w:gridCol w:w="2737"/>
      </w:tblGrid>
      <w:tr w:rsidR="0077697D" w:rsidRPr="00F0315E" w14:paraId="6EC1D5B5" w14:textId="77777777" w:rsidTr="00946E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9" w:type="pct"/>
            <w:noWrap/>
            <w:vAlign w:val="center"/>
          </w:tcPr>
          <w:p w14:paraId="20DF5695" w14:textId="77777777" w:rsidR="0077697D" w:rsidRPr="00184C27" w:rsidRDefault="0077697D" w:rsidP="00946ED9">
            <w:pPr>
              <w:widowControl w:val="0"/>
              <w:snapToGrid w:val="0"/>
              <w:spacing w:before="20" w:after="20"/>
              <w:jc w:val="center"/>
              <w:rPr>
                <w:rFonts w:cs="Arial"/>
                <w:color w:val="000000" w:themeColor="text1"/>
                <w:sz w:val="18"/>
                <w:szCs w:val="18"/>
              </w:rPr>
            </w:pPr>
            <w:r w:rsidRPr="00184C27">
              <w:rPr>
                <w:rFonts w:cs="Arial"/>
                <w:color w:val="000000" w:themeColor="text1"/>
                <w:sz w:val="18"/>
                <w:szCs w:val="18"/>
              </w:rPr>
              <w:t>Podnositelj</w:t>
            </w:r>
          </w:p>
        </w:tc>
        <w:tc>
          <w:tcPr>
            <w:tcW w:w="1636" w:type="pct"/>
            <w:noWrap/>
            <w:vAlign w:val="center"/>
          </w:tcPr>
          <w:p w14:paraId="33095963" w14:textId="77777777" w:rsidR="0077697D" w:rsidRPr="00184C27" w:rsidRDefault="0077697D" w:rsidP="00946ED9">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184C27">
              <w:rPr>
                <w:rFonts w:cs="Arial"/>
                <w:color w:val="000000" w:themeColor="text1"/>
                <w:sz w:val="18"/>
                <w:szCs w:val="18"/>
              </w:rPr>
              <w:t>Broj upita</w:t>
            </w:r>
          </w:p>
        </w:tc>
        <w:tc>
          <w:tcPr>
            <w:tcW w:w="1495" w:type="pct"/>
            <w:noWrap/>
            <w:vAlign w:val="center"/>
          </w:tcPr>
          <w:p w14:paraId="08B6FAD8" w14:textId="77777777" w:rsidR="0077697D" w:rsidRPr="00184C27" w:rsidRDefault="0077697D" w:rsidP="00946ED9">
            <w:pPr>
              <w:widowControl w:val="0"/>
              <w:snapToGrid w:val="0"/>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184C27">
              <w:rPr>
                <w:rFonts w:cs="Arial"/>
                <w:color w:val="000000" w:themeColor="text1"/>
                <w:sz w:val="18"/>
                <w:szCs w:val="18"/>
              </w:rPr>
              <w:t>%</w:t>
            </w:r>
          </w:p>
        </w:tc>
      </w:tr>
      <w:tr w:rsidR="006D30F8" w:rsidRPr="00F0315E" w14:paraId="4B35ED29"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9" w:type="pct"/>
            <w:noWrap/>
            <w:vAlign w:val="center"/>
          </w:tcPr>
          <w:p w14:paraId="1D306529" w14:textId="77777777" w:rsidR="006D30F8" w:rsidRPr="00184C27" w:rsidRDefault="006D30F8" w:rsidP="006D30F8">
            <w:pPr>
              <w:widowControl w:val="0"/>
              <w:spacing w:before="20" w:after="20"/>
              <w:rPr>
                <w:rFonts w:cs="Arial"/>
                <w:b w:val="0"/>
                <w:bCs w:val="0"/>
                <w:color w:val="000000" w:themeColor="text1"/>
                <w:sz w:val="18"/>
                <w:szCs w:val="18"/>
              </w:rPr>
            </w:pPr>
            <w:r w:rsidRPr="00184C27">
              <w:rPr>
                <w:b w:val="0"/>
                <w:bCs w:val="0"/>
                <w:color w:val="000000" w:themeColor="text1"/>
                <w:sz w:val="18"/>
                <w:szCs w:val="18"/>
              </w:rPr>
              <w:t>Tijela javne vlasti</w:t>
            </w:r>
          </w:p>
        </w:tc>
        <w:tc>
          <w:tcPr>
            <w:tcW w:w="1636" w:type="pct"/>
            <w:noWrap/>
            <w:vAlign w:val="center"/>
          </w:tcPr>
          <w:p w14:paraId="64A598A7" w14:textId="44A31AAB" w:rsidR="006D30F8" w:rsidRPr="00184C27"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161</w:t>
            </w:r>
          </w:p>
        </w:tc>
        <w:tc>
          <w:tcPr>
            <w:tcW w:w="1495" w:type="pct"/>
            <w:noWrap/>
            <w:vAlign w:val="center"/>
          </w:tcPr>
          <w:p w14:paraId="3FDE38CD" w14:textId="63D8BD3A" w:rsidR="006D30F8" w:rsidRPr="00184C27"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4</w:t>
            </w:r>
            <w:r>
              <w:rPr>
                <w:color w:val="auto"/>
                <w:sz w:val="18"/>
                <w:szCs w:val="18"/>
              </w:rPr>
              <w:t>7</w:t>
            </w:r>
          </w:p>
        </w:tc>
      </w:tr>
      <w:tr w:rsidR="006D30F8" w:rsidRPr="00F0315E" w14:paraId="2681A1FB" w14:textId="77777777" w:rsidTr="00946ED9">
        <w:trPr>
          <w:trHeight w:val="340"/>
        </w:trPr>
        <w:tc>
          <w:tcPr>
            <w:cnfStyle w:val="001000000000" w:firstRow="0" w:lastRow="0" w:firstColumn="1" w:lastColumn="0" w:oddVBand="0" w:evenVBand="0" w:oddHBand="0" w:evenHBand="0" w:firstRowFirstColumn="0" w:firstRowLastColumn="0" w:lastRowFirstColumn="0" w:lastRowLastColumn="0"/>
            <w:tcW w:w="1869" w:type="pct"/>
            <w:noWrap/>
            <w:vAlign w:val="center"/>
          </w:tcPr>
          <w:p w14:paraId="6ED80BD1" w14:textId="77777777" w:rsidR="006D30F8" w:rsidRPr="00184C27" w:rsidRDefault="006D30F8" w:rsidP="006D30F8">
            <w:pPr>
              <w:widowControl w:val="0"/>
              <w:spacing w:before="20" w:after="20"/>
              <w:rPr>
                <w:rFonts w:cs="Arial"/>
                <w:b w:val="0"/>
                <w:bCs w:val="0"/>
                <w:color w:val="000000" w:themeColor="text1"/>
                <w:sz w:val="18"/>
                <w:szCs w:val="18"/>
              </w:rPr>
            </w:pPr>
            <w:r w:rsidRPr="00184C27">
              <w:rPr>
                <w:b w:val="0"/>
                <w:bCs w:val="0"/>
                <w:color w:val="000000" w:themeColor="text1"/>
                <w:sz w:val="18"/>
                <w:szCs w:val="18"/>
              </w:rPr>
              <w:t>Građani - fizičke osobe</w:t>
            </w:r>
          </w:p>
        </w:tc>
        <w:tc>
          <w:tcPr>
            <w:tcW w:w="1636" w:type="pct"/>
            <w:noWrap/>
            <w:vAlign w:val="center"/>
          </w:tcPr>
          <w:p w14:paraId="714A4D87" w14:textId="1056C1C5" w:rsidR="006D30F8" w:rsidRPr="00184C27" w:rsidRDefault="006D30F8" w:rsidP="006D30F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161</w:t>
            </w:r>
          </w:p>
        </w:tc>
        <w:tc>
          <w:tcPr>
            <w:tcW w:w="1495" w:type="pct"/>
            <w:noWrap/>
            <w:vAlign w:val="center"/>
          </w:tcPr>
          <w:p w14:paraId="4A8D36F1" w14:textId="1BBB0996" w:rsidR="006D30F8" w:rsidRPr="00184C27" w:rsidRDefault="006D30F8" w:rsidP="006D30F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4</w:t>
            </w:r>
            <w:r>
              <w:rPr>
                <w:color w:val="auto"/>
                <w:sz w:val="18"/>
                <w:szCs w:val="18"/>
              </w:rPr>
              <w:t>7</w:t>
            </w:r>
          </w:p>
        </w:tc>
      </w:tr>
      <w:tr w:rsidR="006D30F8" w:rsidRPr="00F0315E" w14:paraId="4B47D754"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9" w:type="pct"/>
            <w:noWrap/>
            <w:vAlign w:val="center"/>
          </w:tcPr>
          <w:p w14:paraId="562FD946" w14:textId="77777777" w:rsidR="006D30F8" w:rsidRPr="00184C27" w:rsidRDefault="006D30F8" w:rsidP="006D30F8">
            <w:pPr>
              <w:widowControl w:val="0"/>
              <w:spacing w:before="20" w:after="20"/>
              <w:rPr>
                <w:rFonts w:cs="Arial"/>
                <w:b w:val="0"/>
                <w:bCs w:val="0"/>
                <w:color w:val="000000" w:themeColor="text1"/>
                <w:sz w:val="18"/>
                <w:szCs w:val="18"/>
              </w:rPr>
            </w:pPr>
            <w:r w:rsidRPr="00184C27">
              <w:rPr>
                <w:b w:val="0"/>
                <w:bCs w:val="0"/>
                <w:color w:val="000000" w:themeColor="text1"/>
                <w:sz w:val="18"/>
                <w:szCs w:val="18"/>
              </w:rPr>
              <w:t>Mediji</w:t>
            </w:r>
          </w:p>
        </w:tc>
        <w:tc>
          <w:tcPr>
            <w:tcW w:w="1636" w:type="pct"/>
            <w:noWrap/>
            <w:vAlign w:val="center"/>
          </w:tcPr>
          <w:p w14:paraId="04AF2A06" w14:textId="45344297" w:rsidR="006D30F8" w:rsidRPr="00184C27"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4</w:t>
            </w:r>
          </w:p>
        </w:tc>
        <w:tc>
          <w:tcPr>
            <w:tcW w:w="1495" w:type="pct"/>
            <w:noWrap/>
            <w:vAlign w:val="center"/>
          </w:tcPr>
          <w:p w14:paraId="4EEBE89E" w14:textId="62957198" w:rsidR="006D30F8" w:rsidRPr="00184C27"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1</w:t>
            </w:r>
          </w:p>
        </w:tc>
      </w:tr>
      <w:tr w:rsidR="006D30F8" w:rsidRPr="00F0315E" w14:paraId="0450E65B" w14:textId="77777777" w:rsidTr="00946ED9">
        <w:trPr>
          <w:trHeight w:val="340"/>
        </w:trPr>
        <w:tc>
          <w:tcPr>
            <w:cnfStyle w:val="001000000000" w:firstRow="0" w:lastRow="0" w:firstColumn="1" w:lastColumn="0" w:oddVBand="0" w:evenVBand="0" w:oddHBand="0" w:evenHBand="0" w:firstRowFirstColumn="0" w:firstRowLastColumn="0" w:lastRowFirstColumn="0" w:lastRowLastColumn="0"/>
            <w:tcW w:w="1869" w:type="pct"/>
            <w:noWrap/>
            <w:vAlign w:val="center"/>
          </w:tcPr>
          <w:p w14:paraId="1E1C9ADE" w14:textId="77777777" w:rsidR="006D30F8" w:rsidRPr="00184C27" w:rsidRDefault="006D30F8" w:rsidP="006D30F8">
            <w:pPr>
              <w:widowControl w:val="0"/>
              <w:spacing w:before="20" w:after="20"/>
              <w:rPr>
                <w:rFonts w:cs="Arial"/>
                <w:b w:val="0"/>
                <w:bCs w:val="0"/>
                <w:color w:val="000000" w:themeColor="text1"/>
                <w:sz w:val="18"/>
                <w:szCs w:val="18"/>
              </w:rPr>
            </w:pPr>
            <w:r w:rsidRPr="00184C27">
              <w:rPr>
                <w:b w:val="0"/>
                <w:bCs w:val="0"/>
                <w:color w:val="000000" w:themeColor="text1"/>
                <w:sz w:val="18"/>
                <w:szCs w:val="18"/>
              </w:rPr>
              <w:t>Udruge i građanske inicijative</w:t>
            </w:r>
          </w:p>
        </w:tc>
        <w:tc>
          <w:tcPr>
            <w:tcW w:w="1636" w:type="pct"/>
            <w:noWrap/>
            <w:vAlign w:val="center"/>
          </w:tcPr>
          <w:p w14:paraId="4A6DF8F6" w14:textId="4F7AA69D" w:rsidR="006D30F8" w:rsidRPr="00184C27" w:rsidRDefault="006D30F8" w:rsidP="006D30F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7</w:t>
            </w:r>
          </w:p>
        </w:tc>
        <w:tc>
          <w:tcPr>
            <w:tcW w:w="1495" w:type="pct"/>
            <w:noWrap/>
            <w:vAlign w:val="center"/>
          </w:tcPr>
          <w:p w14:paraId="77F4C5B0" w14:textId="2CF8281B" w:rsidR="006D30F8" w:rsidRPr="00184C27" w:rsidRDefault="006D30F8" w:rsidP="006D30F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2</w:t>
            </w:r>
          </w:p>
        </w:tc>
      </w:tr>
      <w:tr w:rsidR="006D30F8" w:rsidRPr="00F0315E" w14:paraId="16C1D429"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9" w:type="pct"/>
            <w:tcBorders>
              <w:bottom w:val="single" w:sz="8" w:space="0" w:color="8EAADB" w:themeColor="accent1" w:themeTint="99"/>
            </w:tcBorders>
            <w:noWrap/>
            <w:vAlign w:val="center"/>
          </w:tcPr>
          <w:p w14:paraId="2EA1D673" w14:textId="77777777" w:rsidR="006D30F8" w:rsidRPr="00184C27" w:rsidRDefault="006D30F8" w:rsidP="006D30F8">
            <w:pPr>
              <w:widowControl w:val="0"/>
              <w:spacing w:before="20" w:after="20"/>
              <w:rPr>
                <w:rFonts w:cs="Arial"/>
                <w:b w:val="0"/>
                <w:bCs w:val="0"/>
                <w:color w:val="000000" w:themeColor="text1"/>
                <w:sz w:val="18"/>
                <w:szCs w:val="18"/>
              </w:rPr>
            </w:pPr>
            <w:r w:rsidRPr="00184C27">
              <w:rPr>
                <w:b w:val="0"/>
                <w:bCs w:val="0"/>
                <w:color w:val="000000" w:themeColor="text1"/>
                <w:sz w:val="18"/>
                <w:szCs w:val="18"/>
              </w:rPr>
              <w:t>Ostalo</w:t>
            </w:r>
          </w:p>
        </w:tc>
        <w:tc>
          <w:tcPr>
            <w:tcW w:w="1636" w:type="pct"/>
            <w:tcBorders>
              <w:bottom w:val="single" w:sz="8" w:space="0" w:color="8EAADB" w:themeColor="accent1" w:themeTint="99"/>
            </w:tcBorders>
            <w:noWrap/>
            <w:vAlign w:val="center"/>
          </w:tcPr>
          <w:p w14:paraId="11ACC5C2" w14:textId="4E2AB089" w:rsidR="006D30F8" w:rsidRPr="00184C27"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11</w:t>
            </w:r>
          </w:p>
        </w:tc>
        <w:tc>
          <w:tcPr>
            <w:tcW w:w="1495" w:type="pct"/>
            <w:tcBorders>
              <w:bottom w:val="single" w:sz="8" w:space="0" w:color="8EAADB" w:themeColor="accent1" w:themeTint="99"/>
            </w:tcBorders>
            <w:noWrap/>
            <w:vAlign w:val="center"/>
          </w:tcPr>
          <w:p w14:paraId="2C2B5DFF" w14:textId="219C9720" w:rsidR="006D30F8" w:rsidRPr="00184C27"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3</w:t>
            </w:r>
          </w:p>
        </w:tc>
      </w:tr>
      <w:tr w:rsidR="006D30F8" w:rsidRPr="00F0315E" w14:paraId="38BB361A" w14:textId="77777777" w:rsidTr="00946ED9">
        <w:trPr>
          <w:trHeight w:val="340"/>
        </w:trPr>
        <w:tc>
          <w:tcPr>
            <w:cnfStyle w:val="001000000000" w:firstRow="0" w:lastRow="0" w:firstColumn="1" w:lastColumn="0" w:oddVBand="0" w:evenVBand="0" w:oddHBand="0" w:evenHBand="0" w:firstRowFirstColumn="0" w:firstRowLastColumn="0" w:lastRowFirstColumn="0" w:lastRowLastColumn="0"/>
            <w:tcW w:w="1869" w:type="pct"/>
            <w:tcBorders>
              <w:top w:val="single" w:sz="8" w:space="0" w:color="8EAADB" w:themeColor="accent1" w:themeTint="99"/>
              <w:bottom w:val="single" w:sz="8" w:space="0" w:color="4F81BD"/>
            </w:tcBorders>
            <w:noWrap/>
            <w:vAlign w:val="center"/>
          </w:tcPr>
          <w:p w14:paraId="24F4D82D" w14:textId="77777777" w:rsidR="006D30F8" w:rsidRPr="00184C27" w:rsidRDefault="006D30F8" w:rsidP="006D30F8">
            <w:pPr>
              <w:widowControl w:val="0"/>
              <w:snapToGrid w:val="0"/>
              <w:spacing w:before="20" w:after="20"/>
              <w:rPr>
                <w:rFonts w:cs="Arial"/>
                <w:color w:val="000000" w:themeColor="text1"/>
                <w:sz w:val="18"/>
                <w:szCs w:val="18"/>
              </w:rPr>
            </w:pPr>
            <w:r w:rsidRPr="00184C27">
              <w:rPr>
                <w:color w:val="000000" w:themeColor="text1"/>
                <w:sz w:val="18"/>
                <w:szCs w:val="18"/>
              </w:rPr>
              <w:t>UKUPNO</w:t>
            </w:r>
          </w:p>
        </w:tc>
        <w:tc>
          <w:tcPr>
            <w:tcW w:w="1636" w:type="pct"/>
            <w:tcBorders>
              <w:top w:val="single" w:sz="8" w:space="0" w:color="8EAADB" w:themeColor="accent1" w:themeTint="99"/>
              <w:bottom w:val="single" w:sz="8" w:space="0" w:color="4F81BD"/>
            </w:tcBorders>
            <w:noWrap/>
            <w:vAlign w:val="center"/>
          </w:tcPr>
          <w:p w14:paraId="6016016D" w14:textId="350922B5" w:rsidR="006D30F8" w:rsidRPr="00184C27" w:rsidRDefault="006D30F8" w:rsidP="006D30F8">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8"/>
                <w:szCs w:val="18"/>
              </w:rPr>
            </w:pPr>
            <w:r w:rsidRPr="00823860">
              <w:rPr>
                <w:b/>
                <w:bCs/>
                <w:color w:val="auto"/>
                <w:sz w:val="18"/>
                <w:szCs w:val="18"/>
              </w:rPr>
              <w:t>344</w:t>
            </w:r>
          </w:p>
        </w:tc>
        <w:tc>
          <w:tcPr>
            <w:tcW w:w="1495" w:type="pct"/>
            <w:tcBorders>
              <w:top w:val="single" w:sz="8" w:space="0" w:color="8EAADB" w:themeColor="accent1" w:themeTint="99"/>
              <w:bottom w:val="single" w:sz="8" w:space="0" w:color="4F81BD"/>
            </w:tcBorders>
            <w:noWrap/>
            <w:vAlign w:val="center"/>
          </w:tcPr>
          <w:p w14:paraId="47418C96" w14:textId="28605A55" w:rsidR="006D30F8" w:rsidRPr="00184C27" w:rsidRDefault="006D30F8" w:rsidP="006D30F8">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8"/>
                <w:szCs w:val="18"/>
              </w:rPr>
            </w:pPr>
            <w:r w:rsidRPr="00823860">
              <w:rPr>
                <w:b/>
                <w:bCs/>
                <w:color w:val="auto"/>
                <w:sz w:val="18"/>
                <w:szCs w:val="18"/>
              </w:rPr>
              <w:t>100,0</w:t>
            </w:r>
          </w:p>
        </w:tc>
      </w:tr>
    </w:tbl>
    <w:p w14:paraId="01175499" w14:textId="0570ECB9" w:rsidR="0077697D" w:rsidRPr="00F0315E" w:rsidRDefault="00C93065" w:rsidP="004A6D89">
      <w:pPr>
        <w:spacing w:before="240"/>
        <w:rPr>
          <w:rFonts w:cs="Arial"/>
        </w:rPr>
      </w:pPr>
      <w:r w:rsidRPr="0075748C">
        <w:rPr>
          <w:rFonts w:cs="Arial"/>
        </w:rPr>
        <w:t>Prema sadržaju, najznačajniji dio upita tijela javne vlasti (Tablica 6.</w:t>
      </w:r>
      <w:r w:rsidR="0075748C" w:rsidRPr="0075748C">
        <w:rPr>
          <w:rFonts w:cs="Arial"/>
        </w:rPr>
        <w:t>8</w:t>
      </w:r>
      <w:r w:rsidRPr="0075748C">
        <w:rPr>
          <w:rFonts w:cs="Arial"/>
        </w:rPr>
        <w:t>.) se, kao i ranijih godina,</w:t>
      </w:r>
      <w:r w:rsidRPr="00C93065">
        <w:rPr>
          <w:rFonts w:cs="Arial"/>
        </w:rPr>
        <w:t xml:space="preserve"> odnosi na način rješavanja zahtjeva za pristup informacijama te na provedbu savjetovanja i proaktivnu objavu informacija</w:t>
      </w:r>
      <w:r w:rsidR="00092F67" w:rsidRPr="00F0315E">
        <w:rPr>
          <w:rFonts w:cs="Arial"/>
        </w:rPr>
        <w:t>.</w:t>
      </w:r>
    </w:p>
    <w:p w14:paraId="77151A31" w14:textId="32EB7A6B" w:rsidR="0077697D" w:rsidRPr="00F0315E" w:rsidRDefault="0077697D" w:rsidP="00540BF5">
      <w:pPr>
        <w:keepNext/>
        <w:widowControl w:val="0"/>
        <w:spacing w:before="240"/>
        <w:rPr>
          <w:rFonts w:cs="Arial"/>
          <w:sz w:val="18"/>
          <w:szCs w:val="18"/>
        </w:rPr>
      </w:pPr>
      <w:r w:rsidRPr="0075748C">
        <w:rPr>
          <w:rFonts w:cs="Arial"/>
          <w:sz w:val="18"/>
          <w:szCs w:val="18"/>
        </w:rPr>
        <w:t xml:space="preserve">Tablica </w:t>
      </w:r>
      <w:r w:rsidR="00274E05" w:rsidRPr="0075748C">
        <w:rPr>
          <w:rFonts w:cs="Arial"/>
          <w:sz w:val="18"/>
          <w:szCs w:val="18"/>
        </w:rPr>
        <w:t>6.</w:t>
      </w:r>
      <w:r w:rsidR="0075748C" w:rsidRPr="0075748C">
        <w:rPr>
          <w:rFonts w:cs="Arial"/>
          <w:sz w:val="18"/>
          <w:szCs w:val="18"/>
        </w:rPr>
        <w:t>8</w:t>
      </w:r>
      <w:r w:rsidRPr="0075748C">
        <w:rPr>
          <w:rFonts w:cs="Arial"/>
          <w:sz w:val="18"/>
          <w:szCs w:val="18"/>
        </w:rPr>
        <w:t>. Struktura upita tijela javne vlasti prema sadržaju</w:t>
      </w:r>
      <w:r w:rsidRPr="00F0315E">
        <w:rPr>
          <w:rFonts w:cs="Arial"/>
          <w:sz w:val="18"/>
          <w:szCs w:val="18"/>
        </w:rPr>
        <w:t xml:space="preserve"> </w:t>
      </w:r>
    </w:p>
    <w:tbl>
      <w:tblPr>
        <w:tblStyle w:val="LightShading-Accent116"/>
        <w:tblW w:w="4927" w:type="pct"/>
        <w:jc w:val="center"/>
        <w:tblLook w:val="04A0" w:firstRow="1" w:lastRow="0" w:firstColumn="1" w:lastColumn="0" w:noHBand="0" w:noVBand="1"/>
      </w:tblPr>
      <w:tblGrid>
        <w:gridCol w:w="6371"/>
        <w:gridCol w:w="1448"/>
        <w:gridCol w:w="1121"/>
      </w:tblGrid>
      <w:tr w:rsidR="0077697D" w:rsidRPr="00F0315E" w14:paraId="6F6B996F" w14:textId="77777777" w:rsidTr="00A960B0">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63" w:type="pct"/>
            <w:noWrap/>
            <w:vAlign w:val="center"/>
            <w:hideMark/>
          </w:tcPr>
          <w:p w14:paraId="7F9AB4DF" w14:textId="6FF6039B" w:rsidR="0077697D" w:rsidRPr="00540BF5" w:rsidRDefault="0072716B" w:rsidP="00946ED9">
            <w:pPr>
              <w:widowControl w:val="0"/>
              <w:spacing w:before="20" w:after="20"/>
              <w:jc w:val="center"/>
              <w:rPr>
                <w:rFonts w:cs="Arial"/>
                <w:color w:val="auto"/>
                <w:sz w:val="18"/>
                <w:szCs w:val="18"/>
              </w:rPr>
            </w:pPr>
            <w:r>
              <w:rPr>
                <w:rFonts w:cs="Arial"/>
                <w:color w:val="auto"/>
                <w:sz w:val="18"/>
                <w:szCs w:val="18"/>
              </w:rPr>
              <w:t>Sadržaj</w:t>
            </w:r>
            <w:r w:rsidR="0077697D" w:rsidRPr="00540BF5">
              <w:rPr>
                <w:rFonts w:cs="Arial"/>
                <w:color w:val="auto"/>
                <w:sz w:val="18"/>
                <w:szCs w:val="18"/>
              </w:rPr>
              <w:t xml:space="preserve"> upita – tijela javne vlasti</w:t>
            </w:r>
          </w:p>
        </w:tc>
        <w:tc>
          <w:tcPr>
            <w:tcW w:w="810" w:type="pct"/>
            <w:noWrap/>
            <w:vAlign w:val="center"/>
            <w:hideMark/>
          </w:tcPr>
          <w:p w14:paraId="6D19CA1E" w14:textId="77777777" w:rsidR="0077697D" w:rsidRPr="00540BF5" w:rsidRDefault="0077697D" w:rsidP="00946ED9">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540BF5">
              <w:rPr>
                <w:rFonts w:cs="Arial"/>
                <w:color w:val="auto"/>
                <w:sz w:val="18"/>
                <w:szCs w:val="18"/>
              </w:rPr>
              <w:t>n</w:t>
            </w:r>
          </w:p>
        </w:tc>
        <w:tc>
          <w:tcPr>
            <w:tcW w:w="627" w:type="pct"/>
            <w:noWrap/>
            <w:vAlign w:val="center"/>
            <w:hideMark/>
          </w:tcPr>
          <w:p w14:paraId="116BCB86" w14:textId="77777777" w:rsidR="0077697D" w:rsidRPr="00540BF5" w:rsidRDefault="0077697D" w:rsidP="00946ED9">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540BF5">
              <w:rPr>
                <w:rFonts w:cs="Arial"/>
                <w:color w:val="auto"/>
                <w:sz w:val="18"/>
                <w:szCs w:val="18"/>
              </w:rPr>
              <w:t>%</w:t>
            </w:r>
          </w:p>
        </w:tc>
      </w:tr>
      <w:tr w:rsidR="006D30F8" w:rsidRPr="00F0315E" w14:paraId="4158D852" w14:textId="77777777" w:rsidTr="00A960B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563" w:type="pct"/>
            <w:tcBorders>
              <w:top w:val="single" w:sz="8" w:space="0" w:color="4F81BD"/>
              <w:bottom w:val="single" w:sz="4" w:space="0" w:color="8EAADB" w:themeColor="accent1" w:themeTint="99"/>
            </w:tcBorders>
            <w:noWrap/>
            <w:vAlign w:val="center"/>
            <w:hideMark/>
          </w:tcPr>
          <w:p w14:paraId="0DEA3BA7" w14:textId="43316311" w:rsidR="006D30F8" w:rsidRPr="00184C27" w:rsidRDefault="006D30F8" w:rsidP="006D30F8">
            <w:pPr>
              <w:widowControl w:val="0"/>
              <w:spacing w:before="20" w:after="20"/>
              <w:rPr>
                <w:rFonts w:cs="Arial"/>
                <w:b w:val="0"/>
                <w:bCs w:val="0"/>
                <w:color w:val="000000" w:themeColor="text1"/>
                <w:sz w:val="18"/>
                <w:szCs w:val="18"/>
              </w:rPr>
            </w:pPr>
            <w:r>
              <w:rPr>
                <w:b w:val="0"/>
                <w:bCs w:val="0"/>
                <w:color w:val="000000" w:themeColor="text1"/>
                <w:sz w:val="18"/>
                <w:szCs w:val="18"/>
              </w:rPr>
              <w:t>R</w:t>
            </w:r>
            <w:r w:rsidRPr="00184C27">
              <w:rPr>
                <w:b w:val="0"/>
                <w:bCs w:val="0"/>
                <w:color w:val="000000" w:themeColor="text1"/>
                <w:sz w:val="18"/>
                <w:szCs w:val="18"/>
              </w:rPr>
              <w:t>ješavanje zahtjeva</w:t>
            </w:r>
          </w:p>
        </w:tc>
        <w:tc>
          <w:tcPr>
            <w:tcW w:w="810" w:type="pct"/>
            <w:tcBorders>
              <w:top w:val="single" w:sz="8" w:space="0" w:color="4F81BD"/>
              <w:bottom w:val="single" w:sz="4" w:space="0" w:color="8EAADB" w:themeColor="accent1" w:themeTint="99"/>
            </w:tcBorders>
            <w:noWrap/>
            <w:vAlign w:val="center"/>
            <w:hideMark/>
          </w:tcPr>
          <w:p w14:paraId="6DFF20C0" w14:textId="168FFC42" w:rsidR="006D30F8" w:rsidRPr="006D30F8"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D30F8">
              <w:rPr>
                <w:color w:val="auto"/>
                <w:sz w:val="18"/>
                <w:szCs w:val="18"/>
              </w:rPr>
              <w:t>77</w:t>
            </w:r>
          </w:p>
        </w:tc>
        <w:tc>
          <w:tcPr>
            <w:tcW w:w="627" w:type="pct"/>
            <w:tcBorders>
              <w:top w:val="single" w:sz="8" w:space="0" w:color="4F81BD"/>
              <w:bottom w:val="single" w:sz="4" w:space="0" w:color="8EAADB" w:themeColor="accent1" w:themeTint="99"/>
            </w:tcBorders>
            <w:noWrap/>
            <w:vAlign w:val="center"/>
            <w:hideMark/>
          </w:tcPr>
          <w:p w14:paraId="6F985098" w14:textId="5898F67D" w:rsidR="006D30F8" w:rsidRPr="006D30F8"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D30F8">
              <w:rPr>
                <w:color w:val="auto"/>
                <w:sz w:val="18"/>
                <w:szCs w:val="18"/>
              </w:rPr>
              <w:t>48</w:t>
            </w:r>
          </w:p>
        </w:tc>
      </w:tr>
      <w:tr w:rsidR="006D30F8" w:rsidRPr="00F0315E" w14:paraId="4EDF0A80" w14:textId="77777777" w:rsidTr="00A960B0">
        <w:trPr>
          <w:trHeight w:val="271"/>
          <w:jc w:val="center"/>
        </w:trPr>
        <w:tc>
          <w:tcPr>
            <w:cnfStyle w:val="001000000000" w:firstRow="0" w:lastRow="0" w:firstColumn="1" w:lastColumn="0" w:oddVBand="0" w:evenVBand="0" w:oddHBand="0" w:evenHBand="0" w:firstRowFirstColumn="0" w:firstRowLastColumn="0" w:lastRowFirstColumn="0" w:lastRowLastColumn="0"/>
            <w:tcW w:w="3563" w:type="pct"/>
            <w:tcBorders>
              <w:top w:val="single" w:sz="4" w:space="0" w:color="8EAADB" w:themeColor="accent1" w:themeTint="99"/>
              <w:bottom w:val="single" w:sz="4" w:space="0" w:color="8EAADB" w:themeColor="accent1" w:themeTint="99"/>
            </w:tcBorders>
            <w:noWrap/>
            <w:vAlign w:val="center"/>
            <w:hideMark/>
          </w:tcPr>
          <w:p w14:paraId="086F9A6F" w14:textId="4DC9B293" w:rsidR="006D30F8" w:rsidRPr="00184C27" w:rsidRDefault="006D30F8" w:rsidP="006D30F8">
            <w:pPr>
              <w:widowControl w:val="0"/>
              <w:spacing w:before="20" w:after="20"/>
              <w:rPr>
                <w:rFonts w:cs="Arial"/>
                <w:b w:val="0"/>
                <w:bCs w:val="0"/>
                <w:color w:val="000000" w:themeColor="text1"/>
                <w:sz w:val="18"/>
                <w:szCs w:val="18"/>
              </w:rPr>
            </w:pPr>
            <w:r>
              <w:rPr>
                <w:b w:val="0"/>
                <w:bCs w:val="0"/>
                <w:color w:val="000000" w:themeColor="text1"/>
                <w:sz w:val="18"/>
                <w:szCs w:val="18"/>
              </w:rPr>
              <w:t>P</w:t>
            </w:r>
            <w:r w:rsidRPr="00184C27">
              <w:rPr>
                <w:b w:val="0"/>
                <w:bCs w:val="0"/>
                <w:color w:val="000000" w:themeColor="text1"/>
                <w:sz w:val="18"/>
                <w:szCs w:val="18"/>
              </w:rPr>
              <w:t xml:space="preserve">rovedba savjetovanja </w:t>
            </w:r>
          </w:p>
        </w:tc>
        <w:tc>
          <w:tcPr>
            <w:tcW w:w="810" w:type="pct"/>
            <w:tcBorders>
              <w:top w:val="single" w:sz="4" w:space="0" w:color="8EAADB" w:themeColor="accent1" w:themeTint="99"/>
              <w:bottom w:val="single" w:sz="4" w:space="0" w:color="8EAADB" w:themeColor="accent1" w:themeTint="99"/>
            </w:tcBorders>
            <w:noWrap/>
            <w:vAlign w:val="center"/>
            <w:hideMark/>
          </w:tcPr>
          <w:p w14:paraId="3C84433B" w14:textId="31CB7D3A" w:rsidR="006D30F8" w:rsidRPr="00184C27" w:rsidRDefault="006D30F8" w:rsidP="006D30F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43</w:t>
            </w:r>
          </w:p>
        </w:tc>
        <w:tc>
          <w:tcPr>
            <w:tcW w:w="627" w:type="pct"/>
            <w:tcBorders>
              <w:top w:val="single" w:sz="4" w:space="0" w:color="8EAADB" w:themeColor="accent1" w:themeTint="99"/>
              <w:bottom w:val="single" w:sz="4" w:space="0" w:color="8EAADB" w:themeColor="accent1" w:themeTint="99"/>
            </w:tcBorders>
            <w:noWrap/>
            <w:vAlign w:val="center"/>
            <w:hideMark/>
          </w:tcPr>
          <w:p w14:paraId="3913FD09" w14:textId="3ADACB56" w:rsidR="006D30F8" w:rsidRPr="00184C27" w:rsidRDefault="006D30F8" w:rsidP="006D30F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27</w:t>
            </w:r>
          </w:p>
        </w:tc>
      </w:tr>
      <w:tr w:rsidR="006D30F8" w:rsidRPr="00F0315E" w14:paraId="64A3D1D7" w14:textId="77777777" w:rsidTr="00A960B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563" w:type="pct"/>
            <w:tcBorders>
              <w:top w:val="single" w:sz="4" w:space="0" w:color="8EAADB" w:themeColor="accent1" w:themeTint="99"/>
              <w:bottom w:val="single" w:sz="4" w:space="0" w:color="8EAADB" w:themeColor="accent1" w:themeTint="99"/>
            </w:tcBorders>
            <w:noWrap/>
            <w:vAlign w:val="center"/>
            <w:hideMark/>
          </w:tcPr>
          <w:p w14:paraId="5DA2AE3C" w14:textId="6C33EF1C" w:rsidR="006D30F8" w:rsidRPr="00184C27" w:rsidRDefault="006D30F8" w:rsidP="006D30F8">
            <w:pPr>
              <w:widowControl w:val="0"/>
              <w:spacing w:before="20" w:after="20"/>
              <w:rPr>
                <w:rFonts w:cs="Arial"/>
                <w:b w:val="0"/>
                <w:bCs w:val="0"/>
                <w:color w:val="000000" w:themeColor="text1"/>
                <w:sz w:val="18"/>
                <w:szCs w:val="18"/>
              </w:rPr>
            </w:pPr>
            <w:r>
              <w:rPr>
                <w:b w:val="0"/>
                <w:bCs w:val="0"/>
                <w:color w:val="000000" w:themeColor="text1"/>
                <w:sz w:val="18"/>
                <w:szCs w:val="18"/>
              </w:rPr>
              <w:t>P</w:t>
            </w:r>
            <w:r w:rsidRPr="00184C27">
              <w:rPr>
                <w:b w:val="0"/>
                <w:bCs w:val="0"/>
                <w:color w:val="000000" w:themeColor="text1"/>
                <w:sz w:val="18"/>
                <w:szCs w:val="18"/>
              </w:rPr>
              <w:t>roaktivna objava</w:t>
            </w:r>
          </w:p>
        </w:tc>
        <w:tc>
          <w:tcPr>
            <w:tcW w:w="810" w:type="pct"/>
            <w:tcBorders>
              <w:top w:val="single" w:sz="4" w:space="0" w:color="8EAADB" w:themeColor="accent1" w:themeTint="99"/>
              <w:bottom w:val="single" w:sz="4" w:space="0" w:color="8EAADB" w:themeColor="accent1" w:themeTint="99"/>
            </w:tcBorders>
            <w:noWrap/>
            <w:vAlign w:val="center"/>
            <w:hideMark/>
          </w:tcPr>
          <w:p w14:paraId="4503168D" w14:textId="761A9A94" w:rsidR="006D30F8" w:rsidRPr="00184C27"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9</w:t>
            </w:r>
          </w:p>
        </w:tc>
        <w:tc>
          <w:tcPr>
            <w:tcW w:w="627" w:type="pct"/>
            <w:tcBorders>
              <w:top w:val="single" w:sz="4" w:space="0" w:color="8EAADB" w:themeColor="accent1" w:themeTint="99"/>
              <w:bottom w:val="single" w:sz="4" w:space="0" w:color="8EAADB" w:themeColor="accent1" w:themeTint="99"/>
            </w:tcBorders>
            <w:noWrap/>
            <w:vAlign w:val="center"/>
            <w:hideMark/>
          </w:tcPr>
          <w:p w14:paraId="22850880" w14:textId="7059AB96" w:rsidR="006D30F8" w:rsidRPr="00184C27"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6</w:t>
            </w:r>
          </w:p>
        </w:tc>
      </w:tr>
      <w:tr w:rsidR="006D30F8" w:rsidRPr="00F0315E" w14:paraId="148DDF4A" w14:textId="77777777" w:rsidTr="00A960B0">
        <w:trPr>
          <w:trHeight w:val="271"/>
          <w:jc w:val="center"/>
        </w:trPr>
        <w:tc>
          <w:tcPr>
            <w:cnfStyle w:val="001000000000" w:firstRow="0" w:lastRow="0" w:firstColumn="1" w:lastColumn="0" w:oddVBand="0" w:evenVBand="0" w:oddHBand="0" w:evenHBand="0" w:firstRowFirstColumn="0" w:firstRowLastColumn="0" w:lastRowFirstColumn="0" w:lastRowLastColumn="0"/>
            <w:tcW w:w="3563" w:type="pct"/>
            <w:tcBorders>
              <w:top w:val="single" w:sz="4" w:space="0" w:color="8EAADB" w:themeColor="accent1" w:themeTint="99"/>
              <w:bottom w:val="single" w:sz="4" w:space="0" w:color="8EAADB" w:themeColor="accent1" w:themeTint="99"/>
            </w:tcBorders>
            <w:noWrap/>
            <w:vAlign w:val="center"/>
            <w:hideMark/>
          </w:tcPr>
          <w:p w14:paraId="7BB61FE9" w14:textId="184E24AA" w:rsidR="006D30F8" w:rsidRPr="00184C27" w:rsidRDefault="006D30F8" w:rsidP="006D30F8">
            <w:pPr>
              <w:widowControl w:val="0"/>
              <w:spacing w:before="20" w:after="20"/>
              <w:rPr>
                <w:rFonts w:cs="Arial"/>
                <w:b w:val="0"/>
                <w:bCs w:val="0"/>
                <w:color w:val="000000" w:themeColor="text1"/>
                <w:sz w:val="18"/>
                <w:szCs w:val="18"/>
              </w:rPr>
            </w:pPr>
            <w:r>
              <w:rPr>
                <w:b w:val="0"/>
                <w:bCs w:val="0"/>
                <w:color w:val="000000" w:themeColor="text1"/>
                <w:sz w:val="18"/>
                <w:szCs w:val="18"/>
              </w:rPr>
              <w:t>P</w:t>
            </w:r>
            <w:r w:rsidRPr="00184C27">
              <w:rPr>
                <w:b w:val="0"/>
                <w:bCs w:val="0"/>
                <w:color w:val="000000" w:themeColor="text1"/>
                <w:sz w:val="18"/>
                <w:szCs w:val="18"/>
              </w:rPr>
              <w:t>onovna uporaba informacija</w:t>
            </w:r>
          </w:p>
        </w:tc>
        <w:tc>
          <w:tcPr>
            <w:tcW w:w="810" w:type="pct"/>
            <w:tcBorders>
              <w:top w:val="single" w:sz="4" w:space="0" w:color="8EAADB" w:themeColor="accent1" w:themeTint="99"/>
              <w:bottom w:val="single" w:sz="4" w:space="0" w:color="8EAADB" w:themeColor="accent1" w:themeTint="99"/>
            </w:tcBorders>
            <w:noWrap/>
            <w:vAlign w:val="center"/>
            <w:hideMark/>
          </w:tcPr>
          <w:p w14:paraId="14F322AF" w14:textId="36017F20" w:rsidR="006D30F8" w:rsidRPr="00184C27" w:rsidRDefault="006D30F8" w:rsidP="006D30F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3</w:t>
            </w:r>
          </w:p>
        </w:tc>
        <w:tc>
          <w:tcPr>
            <w:tcW w:w="627" w:type="pct"/>
            <w:tcBorders>
              <w:top w:val="single" w:sz="4" w:space="0" w:color="8EAADB" w:themeColor="accent1" w:themeTint="99"/>
              <w:bottom w:val="single" w:sz="4" w:space="0" w:color="8EAADB" w:themeColor="accent1" w:themeTint="99"/>
            </w:tcBorders>
            <w:noWrap/>
            <w:vAlign w:val="center"/>
            <w:hideMark/>
          </w:tcPr>
          <w:p w14:paraId="4E8662EC" w14:textId="4EF5D16F" w:rsidR="006D30F8" w:rsidRPr="00184C27" w:rsidRDefault="006D30F8" w:rsidP="006D30F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auto"/>
                <w:sz w:val="18"/>
                <w:szCs w:val="18"/>
              </w:rPr>
              <w:t>2</w:t>
            </w:r>
          </w:p>
        </w:tc>
      </w:tr>
      <w:tr w:rsidR="006D30F8" w:rsidRPr="00F0315E" w14:paraId="7848813C" w14:textId="77777777" w:rsidTr="00A960B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563" w:type="pct"/>
            <w:tcBorders>
              <w:top w:val="single" w:sz="4" w:space="0" w:color="8EAADB" w:themeColor="accent1" w:themeTint="99"/>
              <w:bottom w:val="single" w:sz="4" w:space="0" w:color="8EAADB" w:themeColor="accent1" w:themeTint="99"/>
            </w:tcBorders>
            <w:noWrap/>
            <w:vAlign w:val="center"/>
            <w:hideMark/>
          </w:tcPr>
          <w:p w14:paraId="21BBCE69" w14:textId="44488FB4" w:rsidR="006D30F8" w:rsidRPr="00184C27" w:rsidRDefault="006D30F8" w:rsidP="006D30F8">
            <w:pPr>
              <w:widowControl w:val="0"/>
              <w:spacing w:before="20" w:after="20"/>
              <w:rPr>
                <w:rFonts w:cs="Arial"/>
                <w:b w:val="0"/>
                <w:bCs w:val="0"/>
                <w:color w:val="000000" w:themeColor="text1"/>
                <w:sz w:val="18"/>
                <w:szCs w:val="18"/>
              </w:rPr>
            </w:pPr>
            <w:r>
              <w:rPr>
                <w:b w:val="0"/>
                <w:bCs w:val="0"/>
                <w:color w:val="000000" w:themeColor="text1"/>
                <w:sz w:val="18"/>
                <w:szCs w:val="18"/>
              </w:rPr>
              <w:t>J</w:t>
            </w:r>
            <w:r w:rsidRPr="00184C27">
              <w:rPr>
                <w:b w:val="0"/>
                <w:bCs w:val="0"/>
                <w:color w:val="000000" w:themeColor="text1"/>
                <w:sz w:val="18"/>
                <w:szCs w:val="18"/>
              </w:rPr>
              <w:t>avnost rada</w:t>
            </w:r>
          </w:p>
        </w:tc>
        <w:tc>
          <w:tcPr>
            <w:tcW w:w="810" w:type="pct"/>
            <w:tcBorders>
              <w:top w:val="single" w:sz="4" w:space="0" w:color="8EAADB" w:themeColor="accent1" w:themeTint="99"/>
              <w:bottom w:val="single" w:sz="4" w:space="0" w:color="8EAADB" w:themeColor="accent1" w:themeTint="99"/>
            </w:tcBorders>
            <w:noWrap/>
            <w:vAlign w:val="center"/>
            <w:hideMark/>
          </w:tcPr>
          <w:p w14:paraId="3CEA5249" w14:textId="3C9C57A8" w:rsidR="006D30F8" w:rsidRPr="00184C27"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4</w:t>
            </w:r>
          </w:p>
        </w:tc>
        <w:tc>
          <w:tcPr>
            <w:tcW w:w="627" w:type="pct"/>
            <w:tcBorders>
              <w:top w:val="single" w:sz="4" w:space="0" w:color="8EAADB" w:themeColor="accent1" w:themeTint="99"/>
              <w:bottom w:val="single" w:sz="4" w:space="0" w:color="8EAADB" w:themeColor="accent1" w:themeTint="99"/>
            </w:tcBorders>
            <w:noWrap/>
            <w:vAlign w:val="center"/>
            <w:hideMark/>
          </w:tcPr>
          <w:p w14:paraId="04638095" w14:textId="0911775C" w:rsidR="006D30F8" w:rsidRPr="00184C27" w:rsidRDefault="006D30F8" w:rsidP="006D30F8">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2</w:t>
            </w:r>
          </w:p>
        </w:tc>
      </w:tr>
      <w:tr w:rsidR="006D30F8" w:rsidRPr="00F0315E" w14:paraId="05D948C5" w14:textId="77777777" w:rsidTr="002F1820">
        <w:trPr>
          <w:trHeight w:val="271"/>
          <w:jc w:val="center"/>
        </w:trPr>
        <w:tc>
          <w:tcPr>
            <w:cnfStyle w:val="001000000000" w:firstRow="0" w:lastRow="0" w:firstColumn="1" w:lastColumn="0" w:oddVBand="0" w:evenVBand="0" w:oddHBand="0" w:evenHBand="0" w:firstRowFirstColumn="0" w:firstRowLastColumn="0" w:lastRowFirstColumn="0" w:lastRowLastColumn="0"/>
            <w:tcW w:w="3563" w:type="pct"/>
            <w:tcBorders>
              <w:top w:val="single" w:sz="4" w:space="0" w:color="8EAADB" w:themeColor="accent1" w:themeTint="99"/>
              <w:bottom w:val="single" w:sz="8" w:space="0" w:color="8EAADB" w:themeColor="accent1" w:themeTint="99"/>
            </w:tcBorders>
            <w:noWrap/>
            <w:vAlign w:val="center"/>
            <w:hideMark/>
          </w:tcPr>
          <w:p w14:paraId="1092C1FA" w14:textId="77777777" w:rsidR="006D30F8" w:rsidRPr="00184C27" w:rsidRDefault="006D30F8" w:rsidP="006D30F8">
            <w:pPr>
              <w:widowControl w:val="0"/>
              <w:spacing w:before="20" w:after="20"/>
              <w:rPr>
                <w:rFonts w:cs="Arial"/>
                <w:b w:val="0"/>
                <w:bCs w:val="0"/>
                <w:color w:val="000000" w:themeColor="text1"/>
                <w:sz w:val="18"/>
                <w:szCs w:val="18"/>
              </w:rPr>
            </w:pPr>
            <w:r w:rsidRPr="00184C27">
              <w:rPr>
                <w:b w:val="0"/>
                <w:bCs w:val="0"/>
                <w:color w:val="000000" w:themeColor="text1"/>
                <w:sz w:val="18"/>
                <w:szCs w:val="18"/>
              </w:rPr>
              <w:t>Ostalo*</w:t>
            </w:r>
          </w:p>
        </w:tc>
        <w:tc>
          <w:tcPr>
            <w:tcW w:w="810" w:type="pct"/>
            <w:tcBorders>
              <w:top w:val="single" w:sz="4" w:space="0" w:color="8EAADB" w:themeColor="accent1" w:themeTint="99"/>
              <w:bottom w:val="single" w:sz="8" w:space="0" w:color="8EAADB" w:themeColor="accent1" w:themeTint="99"/>
            </w:tcBorders>
            <w:noWrap/>
            <w:vAlign w:val="center"/>
            <w:hideMark/>
          </w:tcPr>
          <w:p w14:paraId="69284BF0" w14:textId="2F18409B" w:rsidR="006D30F8" w:rsidRPr="00184C27" w:rsidRDefault="006D30F8" w:rsidP="006D30F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25</w:t>
            </w:r>
          </w:p>
        </w:tc>
        <w:tc>
          <w:tcPr>
            <w:tcW w:w="627" w:type="pct"/>
            <w:tcBorders>
              <w:top w:val="single" w:sz="4" w:space="0" w:color="8EAADB" w:themeColor="accent1" w:themeTint="99"/>
              <w:bottom w:val="single" w:sz="8" w:space="0" w:color="8EAADB" w:themeColor="accent1" w:themeTint="99"/>
            </w:tcBorders>
            <w:noWrap/>
            <w:vAlign w:val="center"/>
            <w:hideMark/>
          </w:tcPr>
          <w:p w14:paraId="49F63843" w14:textId="735348C4" w:rsidR="006D30F8" w:rsidRPr="00184C27" w:rsidRDefault="006D30F8" w:rsidP="006D30F8">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15</w:t>
            </w:r>
          </w:p>
        </w:tc>
      </w:tr>
      <w:tr w:rsidR="006D30F8" w:rsidRPr="002F1820" w14:paraId="14352831" w14:textId="77777777" w:rsidTr="002F182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563" w:type="pct"/>
            <w:tcBorders>
              <w:top w:val="single" w:sz="8" w:space="0" w:color="8EAADB" w:themeColor="accent1" w:themeTint="99"/>
              <w:bottom w:val="single" w:sz="8" w:space="0" w:color="4F81BD"/>
            </w:tcBorders>
            <w:noWrap/>
            <w:vAlign w:val="center"/>
            <w:hideMark/>
          </w:tcPr>
          <w:p w14:paraId="7BC96CA7" w14:textId="77777777" w:rsidR="006D30F8" w:rsidRPr="002F1820" w:rsidRDefault="006D30F8" w:rsidP="006D30F8">
            <w:pPr>
              <w:widowControl w:val="0"/>
              <w:snapToGrid w:val="0"/>
              <w:spacing w:before="20" w:after="20"/>
              <w:rPr>
                <w:color w:val="000000" w:themeColor="text1"/>
                <w:sz w:val="18"/>
                <w:szCs w:val="18"/>
              </w:rPr>
            </w:pPr>
            <w:r w:rsidRPr="00184C27">
              <w:rPr>
                <w:color w:val="000000" w:themeColor="text1"/>
                <w:sz w:val="18"/>
                <w:szCs w:val="18"/>
              </w:rPr>
              <w:t>UKUPNO</w:t>
            </w:r>
          </w:p>
        </w:tc>
        <w:tc>
          <w:tcPr>
            <w:tcW w:w="810" w:type="pct"/>
            <w:tcBorders>
              <w:top w:val="single" w:sz="8" w:space="0" w:color="8EAADB" w:themeColor="accent1" w:themeTint="99"/>
              <w:bottom w:val="single" w:sz="8" w:space="0" w:color="4F81BD"/>
            </w:tcBorders>
            <w:noWrap/>
            <w:vAlign w:val="center"/>
            <w:hideMark/>
          </w:tcPr>
          <w:p w14:paraId="795A409F" w14:textId="04826E65" w:rsidR="006D30F8" w:rsidRPr="002F1820" w:rsidRDefault="006D30F8" w:rsidP="006D30F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23860">
              <w:rPr>
                <w:b/>
                <w:bCs/>
                <w:color w:val="auto"/>
                <w:sz w:val="18"/>
                <w:szCs w:val="18"/>
              </w:rPr>
              <w:t>161</w:t>
            </w:r>
          </w:p>
        </w:tc>
        <w:tc>
          <w:tcPr>
            <w:tcW w:w="627" w:type="pct"/>
            <w:tcBorders>
              <w:top w:val="single" w:sz="8" w:space="0" w:color="8EAADB" w:themeColor="accent1" w:themeTint="99"/>
              <w:bottom w:val="single" w:sz="8" w:space="0" w:color="4F81BD"/>
            </w:tcBorders>
            <w:noWrap/>
            <w:vAlign w:val="center"/>
            <w:hideMark/>
          </w:tcPr>
          <w:p w14:paraId="166DFAA4" w14:textId="7C089102" w:rsidR="006D30F8" w:rsidRPr="002F1820" w:rsidRDefault="006D30F8" w:rsidP="006D30F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23860">
              <w:rPr>
                <w:b/>
                <w:bCs/>
                <w:color w:val="auto"/>
                <w:sz w:val="18"/>
                <w:szCs w:val="18"/>
              </w:rPr>
              <w:t>100,0</w:t>
            </w:r>
          </w:p>
        </w:tc>
      </w:tr>
    </w:tbl>
    <w:p w14:paraId="54CF5AD2" w14:textId="3004510E" w:rsidR="006D30F8" w:rsidRDefault="00527B33" w:rsidP="006D30F8">
      <w:pPr>
        <w:spacing w:before="240"/>
        <w:rPr>
          <w:rFonts w:cs="Arial"/>
        </w:rPr>
      </w:pPr>
      <w:r w:rsidRPr="0075748C">
        <w:rPr>
          <w:rFonts w:cs="Arial"/>
        </w:rPr>
        <w:t>Iz perspektive korisnika (Tablica 6</w:t>
      </w:r>
      <w:r w:rsidR="0075748C" w:rsidRPr="0075748C">
        <w:rPr>
          <w:rFonts w:cs="Arial"/>
        </w:rPr>
        <w:t>.9</w:t>
      </w:r>
      <w:r w:rsidRPr="0075748C">
        <w:rPr>
          <w:rFonts w:cs="Arial"/>
        </w:rPr>
        <w:t>.), upiti su usmjereni većim dijelom na ostvarivanje prava</w:t>
      </w:r>
      <w:r w:rsidRPr="00527B33">
        <w:rPr>
          <w:rFonts w:cs="Arial"/>
        </w:rPr>
        <w:t xml:space="preserve"> na pristup informacijama postupanjem po zahtjevu i traženjem mišljenja o pravilnoj primjeni pojedinih odredbi Zakona, pri čemu nema većih odstupanja od ranijih godina. Međutim, uočljiv je daljnji porast broja upita koji se ne odnose na djelokrug Povjerenika, a koji su u 2025. godini činili gotovo dvije trećine svih postavljenih upita (112 upita, odnosno 61%). Iz sadržaja tih upita vidljivo je kako se Povjereniku za informiranje vrlo često obraćaju korisnici koji traže informacije koje se odnose na djelokrug tijela javne vlasti ili koji ne znaju kojem tijelu se mogu obratiti</w:t>
      </w:r>
      <w:r w:rsidR="006D30F8" w:rsidRPr="00EC74CB">
        <w:rPr>
          <w:rFonts w:cs="Arial"/>
          <w:color w:val="FF0000"/>
        </w:rPr>
        <w:t xml:space="preserve">. </w:t>
      </w:r>
    </w:p>
    <w:p w14:paraId="62061CC7" w14:textId="773135FE" w:rsidR="0077697D" w:rsidRPr="00F0315E" w:rsidRDefault="0077697D" w:rsidP="00540BF5">
      <w:pPr>
        <w:keepNext/>
        <w:widowControl w:val="0"/>
        <w:spacing w:before="240"/>
        <w:rPr>
          <w:rFonts w:cs="Arial"/>
          <w:sz w:val="18"/>
          <w:szCs w:val="18"/>
        </w:rPr>
      </w:pPr>
      <w:r w:rsidRPr="0075748C">
        <w:rPr>
          <w:rFonts w:cs="Arial"/>
          <w:sz w:val="18"/>
          <w:szCs w:val="18"/>
        </w:rPr>
        <w:t xml:space="preserve">Tablica </w:t>
      </w:r>
      <w:r w:rsidR="00AD6A74" w:rsidRPr="0075748C">
        <w:rPr>
          <w:rFonts w:cs="Arial"/>
          <w:sz w:val="18"/>
          <w:szCs w:val="18"/>
        </w:rPr>
        <w:t>6.</w:t>
      </w:r>
      <w:r w:rsidR="0075748C" w:rsidRPr="0075748C">
        <w:rPr>
          <w:rFonts w:cs="Arial"/>
          <w:sz w:val="18"/>
          <w:szCs w:val="18"/>
        </w:rPr>
        <w:t>9</w:t>
      </w:r>
      <w:r w:rsidRPr="0075748C">
        <w:rPr>
          <w:rFonts w:cs="Arial"/>
          <w:sz w:val="18"/>
          <w:szCs w:val="18"/>
        </w:rPr>
        <w:t>. Struktura upita korisnika prema sadržaju</w:t>
      </w:r>
    </w:p>
    <w:tbl>
      <w:tblPr>
        <w:tblStyle w:val="LightShading-Accent116"/>
        <w:tblW w:w="5019" w:type="pct"/>
        <w:tblLook w:val="04A0" w:firstRow="1" w:lastRow="0" w:firstColumn="1" w:lastColumn="0" w:noHBand="0" w:noVBand="1"/>
      </w:tblPr>
      <w:tblGrid>
        <w:gridCol w:w="6476"/>
        <w:gridCol w:w="1317"/>
        <w:gridCol w:w="1313"/>
      </w:tblGrid>
      <w:tr w:rsidR="0077697D" w:rsidRPr="00540BF5" w14:paraId="140379D1" w14:textId="77777777" w:rsidTr="00946ED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6" w:type="pct"/>
            <w:noWrap/>
            <w:vAlign w:val="center"/>
            <w:hideMark/>
          </w:tcPr>
          <w:p w14:paraId="1F8AF1D6" w14:textId="08371353" w:rsidR="0077697D" w:rsidRPr="00540BF5" w:rsidRDefault="0072716B" w:rsidP="00946ED9">
            <w:pPr>
              <w:widowControl w:val="0"/>
              <w:spacing w:before="20" w:after="20"/>
              <w:jc w:val="center"/>
              <w:rPr>
                <w:rFonts w:cs="Arial"/>
                <w:color w:val="auto"/>
                <w:sz w:val="18"/>
                <w:szCs w:val="18"/>
              </w:rPr>
            </w:pPr>
            <w:r>
              <w:rPr>
                <w:rFonts w:cs="Arial"/>
                <w:color w:val="auto"/>
                <w:sz w:val="18"/>
                <w:szCs w:val="18"/>
              </w:rPr>
              <w:t>Sadržaj</w:t>
            </w:r>
            <w:r w:rsidR="0077697D" w:rsidRPr="00540BF5">
              <w:rPr>
                <w:rFonts w:cs="Arial"/>
                <w:color w:val="auto"/>
                <w:sz w:val="18"/>
                <w:szCs w:val="18"/>
              </w:rPr>
              <w:t xml:space="preserve"> upita - korisnici</w:t>
            </w:r>
          </w:p>
        </w:tc>
        <w:tc>
          <w:tcPr>
            <w:tcW w:w="723" w:type="pct"/>
            <w:noWrap/>
            <w:vAlign w:val="center"/>
            <w:hideMark/>
          </w:tcPr>
          <w:p w14:paraId="306C55AA" w14:textId="77777777" w:rsidR="0077697D" w:rsidRPr="00540BF5" w:rsidRDefault="0077697D" w:rsidP="00946ED9">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540BF5">
              <w:rPr>
                <w:rFonts w:cs="Arial"/>
                <w:color w:val="auto"/>
                <w:sz w:val="18"/>
                <w:szCs w:val="18"/>
              </w:rPr>
              <w:t>n</w:t>
            </w:r>
          </w:p>
        </w:tc>
        <w:tc>
          <w:tcPr>
            <w:tcW w:w="721" w:type="pct"/>
            <w:noWrap/>
            <w:vAlign w:val="center"/>
            <w:hideMark/>
          </w:tcPr>
          <w:p w14:paraId="471F3A11" w14:textId="77777777" w:rsidR="0077697D" w:rsidRPr="00540BF5" w:rsidRDefault="0077697D" w:rsidP="00946ED9">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540BF5">
              <w:rPr>
                <w:rFonts w:cs="Arial"/>
                <w:color w:val="auto"/>
                <w:sz w:val="18"/>
                <w:szCs w:val="18"/>
              </w:rPr>
              <w:t>%</w:t>
            </w:r>
          </w:p>
        </w:tc>
      </w:tr>
      <w:tr w:rsidR="006D30F8" w:rsidRPr="00540BF5" w14:paraId="5E0716D1"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6" w:type="pct"/>
            <w:tcBorders>
              <w:top w:val="single" w:sz="8" w:space="0" w:color="4F81BD"/>
              <w:bottom w:val="single" w:sz="4" w:space="0" w:color="8EAADB" w:themeColor="accent1" w:themeTint="99"/>
            </w:tcBorders>
            <w:noWrap/>
            <w:vAlign w:val="center"/>
            <w:hideMark/>
          </w:tcPr>
          <w:p w14:paraId="64650005" w14:textId="77777777" w:rsidR="006D30F8" w:rsidRPr="00184C27" w:rsidRDefault="006D30F8" w:rsidP="006D30F8">
            <w:pPr>
              <w:widowControl w:val="0"/>
              <w:snapToGrid w:val="0"/>
              <w:spacing w:before="20" w:after="20"/>
              <w:rPr>
                <w:rFonts w:cs="Arial"/>
                <w:b w:val="0"/>
                <w:bCs w:val="0"/>
                <w:color w:val="000000" w:themeColor="text1"/>
                <w:sz w:val="18"/>
                <w:szCs w:val="18"/>
              </w:rPr>
            </w:pPr>
            <w:r w:rsidRPr="00184C27">
              <w:rPr>
                <w:b w:val="0"/>
                <w:bCs w:val="0"/>
                <w:color w:val="000000" w:themeColor="text1"/>
                <w:sz w:val="18"/>
                <w:szCs w:val="18"/>
              </w:rPr>
              <w:t>Rješavanje zahtjeva / ostvarivanje prava</w:t>
            </w:r>
          </w:p>
        </w:tc>
        <w:tc>
          <w:tcPr>
            <w:tcW w:w="723" w:type="pct"/>
            <w:tcBorders>
              <w:top w:val="single" w:sz="8" w:space="0" w:color="4F81BD"/>
              <w:bottom w:val="single" w:sz="4" w:space="0" w:color="8EAADB" w:themeColor="accent1" w:themeTint="99"/>
            </w:tcBorders>
            <w:noWrap/>
            <w:vAlign w:val="center"/>
            <w:hideMark/>
          </w:tcPr>
          <w:p w14:paraId="11BEA965" w14:textId="718E9DF0" w:rsidR="006D30F8" w:rsidRPr="00184C27" w:rsidRDefault="006D30F8" w:rsidP="006D30F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37</w:t>
            </w:r>
          </w:p>
        </w:tc>
        <w:tc>
          <w:tcPr>
            <w:tcW w:w="721" w:type="pct"/>
            <w:tcBorders>
              <w:top w:val="single" w:sz="8" w:space="0" w:color="4F81BD"/>
              <w:bottom w:val="single" w:sz="4" w:space="0" w:color="8EAADB" w:themeColor="accent1" w:themeTint="99"/>
            </w:tcBorders>
            <w:noWrap/>
            <w:vAlign w:val="center"/>
            <w:hideMark/>
          </w:tcPr>
          <w:p w14:paraId="5A75388B" w14:textId="56F04862" w:rsidR="006D30F8" w:rsidRPr="00184C27" w:rsidRDefault="006D30F8" w:rsidP="006D30F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20</w:t>
            </w:r>
          </w:p>
        </w:tc>
      </w:tr>
      <w:tr w:rsidR="006D30F8" w:rsidRPr="00540BF5" w14:paraId="6F962A16" w14:textId="77777777" w:rsidTr="00946ED9">
        <w:trPr>
          <w:trHeight w:val="340"/>
        </w:trPr>
        <w:tc>
          <w:tcPr>
            <w:cnfStyle w:val="001000000000" w:firstRow="0" w:lastRow="0" w:firstColumn="1" w:lastColumn="0" w:oddVBand="0" w:evenVBand="0" w:oddHBand="0" w:evenHBand="0" w:firstRowFirstColumn="0" w:firstRowLastColumn="0" w:lastRowFirstColumn="0" w:lastRowLastColumn="0"/>
            <w:tcW w:w="3556" w:type="pct"/>
            <w:tcBorders>
              <w:top w:val="single" w:sz="4" w:space="0" w:color="8EAADB" w:themeColor="accent1" w:themeTint="99"/>
              <w:bottom w:val="single" w:sz="4" w:space="0" w:color="8EAADB" w:themeColor="accent1" w:themeTint="99"/>
            </w:tcBorders>
            <w:noWrap/>
            <w:vAlign w:val="center"/>
            <w:hideMark/>
          </w:tcPr>
          <w:p w14:paraId="51034676" w14:textId="77777777" w:rsidR="006D30F8" w:rsidRPr="00184C27" w:rsidRDefault="006D30F8" w:rsidP="006D30F8">
            <w:pPr>
              <w:widowControl w:val="0"/>
              <w:snapToGrid w:val="0"/>
              <w:spacing w:before="20" w:after="20"/>
              <w:rPr>
                <w:rFonts w:cs="Arial"/>
                <w:b w:val="0"/>
                <w:bCs w:val="0"/>
                <w:color w:val="000000" w:themeColor="text1"/>
                <w:sz w:val="18"/>
                <w:szCs w:val="18"/>
              </w:rPr>
            </w:pPr>
            <w:r w:rsidRPr="00184C27">
              <w:rPr>
                <w:b w:val="0"/>
                <w:bCs w:val="0"/>
                <w:color w:val="000000" w:themeColor="text1"/>
                <w:sz w:val="18"/>
                <w:szCs w:val="18"/>
              </w:rPr>
              <w:t>Novinarski upit Povjereniku za informiranje</w:t>
            </w:r>
          </w:p>
        </w:tc>
        <w:tc>
          <w:tcPr>
            <w:tcW w:w="723" w:type="pct"/>
            <w:tcBorders>
              <w:top w:val="single" w:sz="4" w:space="0" w:color="8EAADB" w:themeColor="accent1" w:themeTint="99"/>
              <w:bottom w:val="single" w:sz="4" w:space="0" w:color="8EAADB" w:themeColor="accent1" w:themeTint="99"/>
            </w:tcBorders>
            <w:noWrap/>
            <w:vAlign w:val="center"/>
            <w:hideMark/>
          </w:tcPr>
          <w:p w14:paraId="05B30459" w14:textId="6CD1905D" w:rsidR="006D30F8" w:rsidRPr="00184C27" w:rsidRDefault="006D30F8" w:rsidP="006D30F8">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4</w:t>
            </w:r>
          </w:p>
        </w:tc>
        <w:tc>
          <w:tcPr>
            <w:tcW w:w="721" w:type="pct"/>
            <w:tcBorders>
              <w:top w:val="single" w:sz="4" w:space="0" w:color="8EAADB" w:themeColor="accent1" w:themeTint="99"/>
              <w:bottom w:val="single" w:sz="4" w:space="0" w:color="8EAADB" w:themeColor="accent1" w:themeTint="99"/>
            </w:tcBorders>
            <w:noWrap/>
            <w:vAlign w:val="center"/>
            <w:hideMark/>
          </w:tcPr>
          <w:p w14:paraId="3FBA77E4" w14:textId="090818D7" w:rsidR="006D30F8" w:rsidRPr="00184C27" w:rsidRDefault="006D30F8" w:rsidP="006D30F8">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2</w:t>
            </w:r>
          </w:p>
        </w:tc>
      </w:tr>
      <w:tr w:rsidR="006D30F8" w:rsidRPr="00540BF5" w14:paraId="68197FAF"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6" w:type="pct"/>
            <w:tcBorders>
              <w:top w:val="single" w:sz="4" w:space="0" w:color="8EAADB" w:themeColor="accent1" w:themeTint="99"/>
              <w:bottom w:val="single" w:sz="4" w:space="0" w:color="8EAADB" w:themeColor="accent1" w:themeTint="99"/>
            </w:tcBorders>
            <w:noWrap/>
            <w:vAlign w:val="center"/>
            <w:hideMark/>
          </w:tcPr>
          <w:p w14:paraId="6ED97A09" w14:textId="77777777" w:rsidR="006D30F8" w:rsidRPr="00184C27" w:rsidRDefault="006D30F8" w:rsidP="006D30F8">
            <w:pPr>
              <w:widowControl w:val="0"/>
              <w:snapToGrid w:val="0"/>
              <w:spacing w:before="20" w:after="20"/>
              <w:rPr>
                <w:rFonts w:cs="Arial"/>
                <w:b w:val="0"/>
                <w:bCs w:val="0"/>
                <w:color w:val="000000" w:themeColor="text1"/>
                <w:sz w:val="18"/>
                <w:szCs w:val="18"/>
              </w:rPr>
            </w:pPr>
            <w:r w:rsidRPr="00184C27">
              <w:rPr>
                <w:b w:val="0"/>
                <w:bCs w:val="0"/>
                <w:color w:val="000000" w:themeColor="text1"/>
                <w:sz w:val="18"/>
                <w:szCs w:val="18"/>
              </w:rPr>
              <w:t>Savjetovanje s javnošću</w:t>
            </w:r>
          </w:p>
        </w:tc>
        <w:tc>
          <w:tcPr>
            <w:tcW w:w="723" w:type="pct"/>
            <w:tcBorders>
              <w:top w:val="single" w:sz="4" w:space="0" w:color="8EAADB" w:themeColor="accent1" w:themeTint="99"/>
              <w:bottom w:val="single" w:sz="4" w:space="0" w:color="8EAADB" w:themeColor="accent1" w:themeTint="99"/>
            </w:tcBorders>
            <w:noWrap/>
            <w:vAlign w:val="center"/>
            <w:hideMark/>
          </w:tcPr>
          <w:p w14:paraId="282BA8C7" w14:textId="1D3B8A62" w:rsidR="006D30F8" w:rsidRPr="00184C27" w:rsidRDefault="006D30F8" w:rsidP="006D30F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823860">
              <w:rPr>
                <w:color w:val="auto"/>
                <w:sz w:val="18"/>
                <w:szCs w:val="18"/>
              </w:rPr>
              <w:t>10</w:t>
            </w:r>
          </w:p>
        </w:tc>
        <w:tc>
          <w:tcPr>
            <w:tcW w:w="721" w:type="pct"/>
            <w:tcBorders>
              <w:top w:val="single" w:sz="4" w:space="0" w:color="8EAADB" w:themeColor="accent1" w:themeTint="99"/>
              <w:bottom w:val="single" w:sz="4" w:space="0" w:color="8EAADB" w:themeColor="accent1" w:themeTint="99"/>
            </w:tcBorders>
            <w:noWrap/>
            <w:vAlign w:val="center"/>
            <w:hideMark/>
          </w:tcPr>
          <w:p w14:paraId="2DF6975C" w14:textId="64DFF038" w:rsidR="006D30F8" w:rsidRPr="00184C27" w:rsidRDefault="006D30F8" w:rsidP="006D30F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color w:val="auto"/>
                <w:sz w:val="18"/>
                <w:szCs w:val="18"/>
              </w:rPr>
              <w:t>6</w:t>
            </w:r>
          </w:p>
        </w:tc>
      </w:tr>
      <w:tr w:rsidR="006D30F8" w:rsidRPr="00540BF5" w14:paraId="0EC15469" w14:textId="77777777" w:rsidTr="00946ED9">
        <w:trPr>
          <w:trHeight w:val="340"/>
        </w:trPr>
        <w:tc>
          <w:tcPr>
            <w:cnfStyle w:val="001000000000" w:firstRow="0" w:lastRow="0" w:firstColumn="1" w:lastColumn="0" w:oddVBand="0" w:evenVBand="0" w:oddHBand="0" w:evenHBand="0" w:firstRowFirstColumn="0" w:firstRowLastColumn="0" w:lastRowFirstColumn="0" w:lastRowLastColumn="0"/>
            <w:tcW w:w="3556" w:type="pct"/>
            <w:tcBorders>
              <w:top w:val="single" w:sz="4" w:space="0" w:color="8EAADB" w:themeColor="accent1" w:themeTint="99"/>
              <w:bottom w:val="single" w:sz="4" w:space="0" w:color="8EAADB" w:themeColor="accent1" w:themeTint="99"/>
            </w:tcBorders>
            <w:noWrap/>
            <w:vAlign w:val="center"/>
            <w:hideMark/>
          </w:tcPr>
          <w:p w14:paraId="35443F8E" w14:textId="0741B14B" w:rsidR="006D30F8" w:rsidRPr="00184C27" w:rsidRDefault="006D30F8" w:rsidP="006D30F8">
            <w:pPr>
              <w:widowControl w:val="0"/>
              <w:snapToGrid w:val="0"/>
              <w:spacing w:before="20" w:after="20"/>
              <w:rPr>
                <w:rFonts w:cs="Arial"/>
                <w:b w:val="0"/>
                <w:bCs w:val="0"/>
                <w:color w:val="000000" w:themeColor="text1"/>
                <w:sz w:val="18"/>
                <w:szCs w:val="18"/>
              </w:rPr>
            </w:pPr>
            <w:r>
              <w:rPr>
                <w:b w:val="0"/>
                <w:bCs w:val="0"/>
                <w:color w:val="000000" w:themeColor="text1"/>
                <w:sz w:val="18"/>
                <w:szCs w:val="18"/>
              </w:rPr>
              <w:t>P</w:t>
            </w:r>
            <w:r w:rsidRPr="00184C27">
              <w:rPr>
                <w:b w:val="0"/>
                <w:bCs w:val="0"/>
                <w:color w:val="000000" w:themeColor="text1"/>
                <w:sz w:val="18"/>
                <w:szCs w:val="18"/>
              </w:rPr>
              <w:t>roaktivna objava informacija</w:t>
            </w:r>
          </w:p>
        </w:tc>
        <w:tc>
          <w:tcPr>
            <w:tcW w:w="723" w:type="pct"/>
            <w:tcBorders>
              <w:top w:val="single" w:sz="4" w:space="0" w:color="8EAADB" w:themeColor="accent1" w:themeTint="99"/>
              <w:bottom w:val="single" w:sz="4" w:space="0" w:color="8EAADB" w:themeColor="accent1" w:themeTint="99"/>
            </w:tcBorders>
            <w:noWrap/>
            <w:vAlign w:val="center"/>
            <w:hideMark/>
          </w:tcPr>
          <w:p w14:paraId="16470268" w14:textId="329260C5" w:rsidR="006D30F8" w:rsidRPr="00184C27" w:rsidRDefault="006D30F8" w:rsidP="006D30F8">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2</w:t>
            </w:r>
          </w:p>
        </w:tc>
        <w:tc>
          <w:tcPr>
            <w:tcW w:w="721" w:type="pct"/>
            <w:tcBorders>
              <w:top w:val="single" w:sz="4" w:space="0" w:color="8EAADB" w:themeColor="accent1" w:themeTint="99"/>
              <w:bottom w:val="single" w:sz="4" w:space="0" w:color="8EAADB" w:themeColor="accent1" w:themeTint="99"/>
            </w:tcBorders>
            <w:noWrap/>
            <w:vAlign w:val="center"/>
            <w:hideMark/>
          </w:tcPr>
          <w:p w14:paraId="3D33FEC3" w14:textId="29BE8693" w:rsidR="006D30F8" w:rsidRPr="00184C27" w:rsidRDefault="006D30F8" w:rsidP="006D30F8">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1</w:t>
            </w:r>
          </w:p>
        </w:tc>
      </w:tr>
      <w:tr w:rsidR="006D30F8" w:rsidRPr="00540BF5" w14:paraId="39CBC2B8"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6" w:type="pct"/>
            <w:tcBorders>
              <w:top w:val="single" w:sz="4" w:space="0" w:color="8EAADB" w:themeColor="accent1" w:themeTint="99"/>
              <w:bottom w:val="single" w:sz="4" w:space="0" w:color="8EAADB" w:themeColor="accent1" w:themeTint="99"/>
            </w:tcBorders>
            <w:noWrap/>
            <w:vAlign w:val="center"/>
            <w:hideMark/>
          </w:tcPr>
          <w:p w14:paraId="29D00442" w14:textId="77777777" w:rsidR="006D30F8" w:rsidRPr="00184C27" w:rsidRDefault="006D30F8" w:rsidP="006D30F8">
            <w:pPr>
              <w:widowControl w:val="0"/>
              <w:snapToGrid w:val="0"/>
              <w:spacing w:before="20" w:after="20"/>
              <w:rPr>
                <w:rFonts w:cs="Arial"/>
                <w:b w:val="0"/>
                <w:bCs w:val="0"/>
                <w:color w:val="000000" w:themeColor="text1"/>
                <w:sz w:val="18"/>
                <w:szCs w:val="18"/>
              </w:rPr>
            </w:pPr>
            <w:r w:rsidRPr="00184C27">
              <w:rPr>
                <w:b w:val="0"/>
                <w:bCs w:val="0"/>
                <w:color w:val="000000" w:themeColor="text1"/>
                <w:sz w:val="18"/>
                <w:szCs w:val="18"/>
              </w:rPr>
              <w:t>Ostala pitanja iz djelokruga Povjerenika</w:t>
            </w:r>
          </w:p>
        </w:tc>
        <w:tc>
          <w:tcPr>
            <w:tcW w:w="723" w:type="pct"/>
            <w:tcBorders>
              <w:top w:val="single" w:sz="4" w:space="0" w:color="8EAADB" w:themeColor="accent1" w:themeTint="99"/>
              <w:bottom w:val="single" w:sz="4" w:space="0" w:color="8EAADB" w:themeColor="accent1" w:themeTint="99"/>
            </w:tcBorders>
            <w:noWrap/>
            <w:vAlign w:val="center"/>
            <w:hideMark/>
          </w:tcPr>
          <w:p w14:paraId="2C400FBA" w14:textId="0C541EB8" w:rsidR="006D30F8" w:rsidRPr="00184C27" w:rsidRDefault="006D30F8" w:rsidP="006D30F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highlight w:val="yellow"/>
              </w:rPr>
            </w:pPr>
            <w:r w:rsidRPr="00823860">
              <w:rPr>
                <w:color w:val="auto"/>
                <w:sz w:val="18"/>
                <w:szCs w:val="18"/>
              </w:rPr>
              <w:t>18</w:t>
            </w:r>
          </w:p>
        </w:tc>
        <w:tc>
          <w:tcPr>
            <w:tcW w:w="721" w:type="pct"/>
            <w:tcBorders>
              <w:top w:val="single" w:sz="4" w:space="0" w:color="8EAADB" w:themeColor="accent1" w:themeTint="99"/>
              <w:bottom w:val="single" w:sz="4" w:space="0" w:color="8EAADB" w:themeColor="accent1" w:themeTint="99"/>
            </w:tcBorders>
            <w:noWrap/>
            <w:vAlign w:val="center"/>
            <w:hideMark/>
          </w:tcPr>
          <w:p w14:paraId="30A80B71" w14:textId="1C9DDF7B" w:rsidR="006D30F8" w:rsidRPr="00184C27" w:rsidRDefault="006D30F8" w:rsidP="006D30F8">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highlight w:val="yellow"/>
              </w:rPr>
            </w:pPr>
            <w:r>
              <w:rPr>
                <w:color w:val="auto"/>
                <w:sz w:val="18"/>
                <w:szCs w:val="18"/>
              </w:rPr>
              <w:t>10</w:t>
            </w:r>
          </w:p>
        </w:tc>
      </w:tr>
      <w:tr w:rsidR="006D30F8" w:rsidRPr="00540BF5" w14:paraId="52452F60" w14:textId="77777777" w:rsidTr="00946ED9">
        <w:trPr>
          <w:trHeight w:val="340"/>
        </w:trPr>
        <w:tc>
          <w:tcPr>
            <w:cnfStyle w:val="001000000000" w:firstRow="0" w:lastRow="0" w:firstColumn="1" w:lastColumn="0" w:oddVBand="0" w:evenVBand="0" w:oddHBand="0" w:evenHBand="0" w:firstRowFirstColumn="0" w:firstRowLastColumn="0" w:lastRowFirstColumn="0" w:lastRowLastColumn="0"/>
            <w:tcW w:w="3556" w:type="pct"/>
            <w:tcBorders>
              <w:top w:val="single" w:sz="4" w:space="0" w:color="8EAADB" w:themeColor="accent1" w:themeTint="99"/>
              <w:bottom w:val="single" w:sz="4" w:space="0" w:color="8EAADB" w:themeColor="accent1" w:themeTint="99"/>
            </w:tcBorders>
            <w:noWrap/>
            <w:vAlign w:val="center"/>
            <w:hideMark/>
          </w:tcPr>
          <w:p w14:paraId="58F9F06C" w14:textId="77777777" w:rsidR="006D30F8" w:rsidRPr="00184C27" w:rsidRDefault="006D30F8" w:rsidP="006D30F8">
            <w:pPr>
              <w:widowControl w:val="0"/>
              <w:snapToGrid w:val="0"/>
              <w:spacing w:before="20" w:after="20"/>
              <w:rPr>
                <w:rFonts w:cs="Arial"/>
                <w:b w:val="0"/>
                <w:bCs w:val="0"/>
                <w:color w:val="000000" w:themeColor="text1"/>
                <w:sz w:val="18"/>
                <w:szCs w:val="18"/>
              </w:rPr>
            </w:pPr>
            <w:r w:rsidRPr="00184C27">
              <w:rPr>
                <w:b w:val="0"/>
                <w:bCs w:val="0"/>
                <w:color w:val="000000" w:themeColor="text1"/>
                <w:sz w:val="18"/>
                <w:szCs w:val="18"/>
              </w:rPr>
              <w:t>Ostalo (nije djelokrug PI)</w:t>
            </w:r>
          </w:p>
        </w:tc>
        <w:tc>
          <w:tcPr>
            <w:tcW w:w="723" w:type="pct"/>
            <w:tcBorders>
              <w:top w:val="single" w:sz="4" w:space="0" w:color="8EAADB" w:themeColor="accent1" w:themeTint="99"/>
              <w:bottom w:val="single" w:sz="4" w:space="0" w:color="8EAADB" w:themeColor="accent1" w:themeTint="99"/>
            </w:tcBorders>
            <w:noWrap/>
            <w:vAlign w:val="center"/>
            <w:hideMark/>
          </w:tcPr>
          <w:p w14:paraId="07894870" w14:textId="7EBFBCA0" w:rsidR="006D30F8" w:rsidRPr="00184C27" w:rsidRDefault="006D30F8" w:rsidP="006D30F8">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112</w:t>
            </w:r>
          </w:p>
        </w:tc>
        <w:tc>
          <w:tcPr>
            <w:tcW w:w="721" w:type="pct"/>
            <w:tcBorders>
              <w:top w:val="single" w:sz="4" w:space="0" w:color="8EAADB" w:themeColor="accent1" w:themeTint="99"/>
              <w:bottom w:val="single" w:sz="4" w:space="0" w:color="8EAADB" w:themeColor="accent1" w:themeTint="99"/>
            </w:tcBorders>
            <w:noWrap/>
            <w:vAlign w:val="center"/>
            <w:hideMark/>
          </w:tcPr>
          <w:p w14:paraId="38ACA510" w14:textId="4CD800CB" w:rsidR="006D30F8" w:rsidRPr="00184C27" w:rsidRDefault="006D30F8" w:rsidP="006D30F8">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823860">
              <w:rPr>
                <w:color w:val="auto"/>
                <w:sz w:val="18"/>
                <w:szCs w:val="18"/>
              </w:rPr>
              <w:t>61</w:t>
            </w:r>
          </w:p>
        </w:tc>
      </w:tr>
      <w:tr w:rsidR="006D30F8" w:rsidRPr="00540BF5" w14:paraId="4115EAC4" w14:textId="77777777" w:rsidTr="00946ED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6" w:type="pct"/>
            <w:tcBorders>
              <w:top w:val="single" w:sz="4" w:space="0" w:color="8EAADB" w:themeColor="accent1" w:themeTint="99"/>
              <w:bottom w:val="single" w:sz="8" w:space="0" w:color="4F81BD"/>
            </w:tcBorders>
            <w:noWrap/>
            <w:vAlign w:val="center"/>
          </w:tcPr>
          <w:p w14:paraId="43376A8A" w14:textId="77777777" w:rsidR="006D30F8" w:rsidRPr="00184C27" w:rsidRDefault="006D30F8" w:rsidP="00946ED9">
            <w:pPr>
              <w:widowControl w:val="0"/>
              <w:spacing w:before="20" w:after="20"/>
              <w:rPr>
                <w:rFonts w:cs="Arial"/>
                <w:color w:val="000000" w:themeColor="text1"/>
                <w:sz w:val="18"/>
                <w:szCs w:val="18"/>
              </w:rPr>
            </w:pPr>
            <w:r w:rsidRPr="00184C27">
              <w:rPr>
                <w:color w:val="000000" w:themeColor="text1"/>
                <w:sz w:val="18"/>
                <w:szCs w:val="18"/>
              </w:rPr>
              <w:t>UKUPNO</w:t>
            </w:r>
          </w:p>
        </w:tc>
        <w:tc>
          <w:tcPr>
            <w:tcW w:w="723" w:type="pct"/>
            <w:tcBorders>
              <w:top w:val="single" w:sz="4" w:space="0" w:color="8EAADB" w:themeColor="accent1" w:themeTint="99"/>
              <w:bottom w:val="single" w:sz="8" w:space="0" w:color="4F81BD"/>
            </w:tcBorders>
            <w:noWrap/>
            <w:vAlign w:val="center"/>
          </w:tcPr>
          <w:p w14:paraId="3FFF02DB" w14:textId="35A2A6CB" w:rsidR="006D30F8" w:rsidRPr="00184C27" w:rsidRDefault="006D30F8"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8"/>
                <w:szCs w:val="18"/>
              </w:rPr>
            </w:pPr>
            <w:r w:rsidRPr="00823860">
              <w:rPr>
                <w:b/>
                <w:bCs/>
                <w:color w:val="auto"/>
                <w:sz w:val="18"/>
                <w:szCs w:val="18"/>
              </w:rPr>
              <w:t>183</w:t>
            </w:r>
          </w:p>
        </w:tc>
        <w:tc>
          <w:tcPr>
            <w:tcW w:w="721" w:type="pct"/>
            <w:tcBorders>
              <w:top w:val="single" w:sz="4" w:space="0" w:color="8EAADB" w:themeColor="accent1" w:themeTint="99"/>
              <w:bottom w:val="single" w:sz="8" w:space="0" w:color="4F81BD"/>
            </w:tcBorders>
            <w:noWrap/>
            <w:vAlign w:val="center"/>
          </w:tcPr>
          <w:p w14:paraId="351D536A" w14:textId="6DEEFA9B" w:rsidR="006D30F8" w:rsidRPr="00184C27" w:rsidRDefault="006D30F8"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8"/>
                <w:szCs w:val="18"/>
              </w:rPr>
            </w:pPr>
            <w:r w:rsidRPr="00823860">
              <w:rPr>
                <w:b/>
                <w:bCs/>
                <w:color w:val="auto"/>
                <w:sz w:val="18"/>
                <w:szCs w:val="18"/>
              </w:rPr>
              <w:t>100</w:t>
            </w:r>
          </w:p>
        </w:tc>
      </w:tr>
    </w:tbl>
    <w:p w14:paraId="1F1AB1CB" w14:textId="77777777" w:rsidR="0071403A" w:rsidRPr="0071403A" w:rsidRDefault="0071403A" w:rsidP="0071403A">
      <w:pPr>
        <w:spacing w:before="120"/>
      </w:pPr>
      <w:r w:rsidRPr="0071403A">
        <w:lastRenderedPageBreak/>
        <w:t>Nastavno na višegodišnju praksu, Ured je odgovarao na upite i putem info-telefona. Interes za davanjem brzih informacija putem info-telefona prvenstveno iskazuju službenici za informiranje tijela javne vlasti, tražeći uputu o načinu rješavanja zahtjeva za pristup informacijama, a u manjem broju i korisnici, među kojima se značajan broj želi informirati o statusu njihovih žalbenih predmeta.</w:t>
      </w:r>
    </w:p>
    <w:p w14:paraId="51D6CF50" w14:textId="1AE5B8AB" w:rsidR="006D30F8" w:rsidRPr="0075748C" w:rsidRDefault="0071403A" w:rsidP="0071403A">
      <w:r w:rsidRPr="0075748C">
        <w:t>U 2025. godini Ured je zaprimio sveukupno 539 poziva na info-telefonu (Tablica 6.</w:t>
      </w:r>
      <w:r w:rsidR="0075748C" w:rsidRPr="0075748C">
        <w:t>10</w:t>
      </w:r>
      <w:r w:rsidRPr="0075748C">
        <w:t>.), što predstavlja povećanje od 9% u odnosu na 2024. godinu, kada je bilo zaprimljeno ukupno 510 poziva. Pozivima na info-telefonu treba pribrojati i veći broj neevidentiranih odgovora na upite putem redovnih telefonskih poziva upućenih službenicima Ureda</w:t>
      </w:r>
      <w:r w:rsidR="006D30F8" w:rsidRPr="0075748C">
        <w:t>.</w:t>
      </w:r>
    </w:p>
    <w:p w14:paraId="117F0E65" w14:textId="5D7A5D98" w:rsidR="0077697D" w:rsidRPr="00F0315E" w:rsidRDefault="0077697D" w:rsidP="006D30F8">
      <w:pPr>
        <w:keepNext/>
        <w:widowControl w:val="0"/>
        <w:spacing w:before="240"/>
        <w:rPr>
          <w:rFonts w:cs="Arial"/>
          <w:sz w:val="18"/>
          <w:szCs w:val="18"/>
        </w:rPr>
      </w:pPr>
      <w:r w:rsidRPr="0075748C">
        <w:rPr>
          <w:rFonts w:cs="Arial"/>
          <w:sz w:val="18"/>
          <w:szCs w:val="18"/>
        </w:rPr>
        <w:t xml:space="preserve">Tablica </w:t>
      </w:r>
      <w:r w:rsidR="00AD6A74" w:rsidRPr="0075748C">
        <w:rPr>
          <w:rFonts w:cs="Arial"/>
          <w:sz w:val="18"/>
          <w:szCs w:val="18"/>
        </w:rPr>
        <w:t>6.</w:t>
      </w:r>
      <w:r w:rsidR="0075748C" w:rsidRPr="0075748C">
        <w:rPr>
          <w:rFonts w:cs="Arial"/>
          <w:sz w:val="18"/>
          <w:szCs w:val="18"/>
        </w:rPr>
        <w:t>10</w:t>
      </w:r>
      <w:r w:rsidRPr="0075748C">
        <w:rPr>
          <w:rFonts w:cs="Arial"/>
          <w:sz w:val="18"/>
          <w:szCs w:val="18"/>
        </w:rPr>
        <w:t>. Info-telefon struktura upita prema podnositeljima</w:t>
      </w:r>
      <w:r w:rsidRPr="00F0315E">
        <w:rPr>
          <w:rFonts w:cs="Arial"/>
          <w:sz w:val="18"/>
          <w:szCs w:val="18"/>
        </w:rPr>
        <w:t xml:space="preserve"> </w:t>
      </w:r>
    </w:p>
    <w:tbl>
      <w:tblPr>
        <w:tblStyle w:val="LightShading-Accent1111"/>
        <w:tblW w:w="5025" w:type="pct"/>
        <w:tblLook w:val="04A0" w:firstRow="1" w:lastRow="0" w:firstColumn="1" w:lastColumn="0" w:noHBand="0" w:noVBand="1"/>
      </w:tblPr>
      <w:tblGrid>
        <w:gridCol w:w="5842"/>
        <w:gridCol w:w="1639"/>
        <w:gridCol w:w="1636"/>
      </w:tblGrid>
      <w:tr w:rsidR="0077697D" w:rsidRPr="00F0315E" w14:paraId="0AEF6897" w14:textId="77777777" w:rsidTr="00E67E3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4" w:type="pct"/>
            <w:noWrap/>
            <w:vAlign w:val="center"/>
            <w:hideMark/>
          </w:tcPr>
          <w:p w14:paraId="5257E649" w14:textId="77777777" w:rsidR="0077697D" w:rsidRPr="00540BF5" w:rsidRDefault="0077697D" w:rsidP="00946ED9">
            <w:pPr>
              <w:widowControl w:val="0"/>
              <w:spacing w:before="20" w:after="20"/>
              <w:jc w:val="center"/>
              <w:rPr>
                <w:rFonts w:cs="Arial"/>
                <w:color w:val="auto"/>
                <w:sz w:val="18"/>
                <w:szCs w:val="18"/>
              </w:rPr>
            </w:pPr>
            <w:r w:rsidRPr="00540BF5">
              <w:rPr>
                <w:rFonts w:cs="Arial"/>
                <w:color w:val="auto"/>
                <w:sz w:val="18"/>
                <w:szCs w:val="18"/>
              </w:rPr>
              <w:t>Struktura upita - po podnositeljima</w:t>
            </w:r>
          </w:p>
        </w:tc>
        <w:tc>
          <w:tcPr>
            <w:tcW w:w="899" w:type="pct"/>
            <w:noWrap/>
            <w:vAlign w:val="center"/>
            <w:hideMark/>
          </w:tcPr>
          <w:p w14:paraId="112A5973" w14:textId="77777777" w:rsidR="0077697D" w:rsidRPr="00540BF5" w:rsidRDefault="0077697D" w:rsidP="00946ED9">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540BF5">
              <w:rPr>
                <w:rFonts w:cs="Arial"/>
                <w:color w:val="auto"/>
                <w:sz w:val="18"/>
                <w:szCs w:val="18"/>
              </w:rPr>
              <w:t>n</w:t>
            </w:r>
          </w:p>
        </w:tc>
        <w:tc>
          <w:tcPr>
            <w:tcW w:w="897" w:type="pct"/>
            <w:noWrap/>
            <w:vAlign w:val="center"/>
            <w:hideMark/>
          </w:tcPr>
          <w:p w14:paraId="20B6412F" w14:textId="77777777" w:rsidR="0077697D" w:rsidRPr="00540BF5" w:rsidRDefault="0077697D" w:rsidP="00946ED9">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540BF5">
              <w:rPr>
                <w:rFonts w:cs="Arial"/>
                <w:color w:val="auto"/>
                <w:sz w:val="18"/>
                <w:szCs w:val="18"/>
              </w:rPr>
              <w:t>%</w:t>
            </w:r>
          </w:p>
        </w:tc>
      </w:tr>
      <w:tr w:rsidR="006D30F8" w:rsidRPr="00AC017F" w14:paraId="4D062A04" w14:textId="77777777" w:rsidTr="00E67E3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4" w:type="pct"/>
            <w:noWrap/>
            <w:vAlign w:val="center"/>
            <w:hideMark/>
          </w:tcPr>
          <w:p w14:paraId="1D8C2B65" w14:textId="77777777" w:rsidR="006D30F8" w:rsidRPr="00AC017F" w:rsidRDefault="006D30F8" w:rsidP="00946ED9">
            <w:pPr>
              <w:widowControl w:val="0"/>
              <w:spacing w:before="20" w:after="20"/>
              <w:rPr>
                <w:rFonts w:cs="Arial"/>
                <w:b w:val="0"/>
                <w:color w:val="auto"/>
                <w:sz w:val="18"/>
                <w:szCs w:val="18"/>
              </w:rPr>
            </w:pPr>
            <w:r w:rsidRPr="00AC017F">
              <w:rPr>
                <w:rFonts w:cs="Arial"/>
                <w:b w:val="0"/>
                <w:color w:val="auto"/>
                <w:sz w:val="18"/>
                <w:szCs w:val="18"/>
              </w:rPr>
              <w:t>Tijela javne vlasti</w:t>
            </w:r>
          </w:p>
        </w:tc>
        <w:tc>
          <w:tcPr>
            <w:tcW w:w="899" w:type="pct"/>
            <w:noWrap/>
            <w:vAlign w:val="center"/>
            <w:hideMark/>
          </w:tcPr>
          <w:p w14:paraId="2569808F" w14:textId="7A472494" w:rsidR="006D30F8" w:rsidRPr="00AC017F" w:rsidRDefault="006D30F8"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823860">
              <w:rPr>
                <w:rFonts w:cs="Calibri"/>
                <w:color w:val="auto"/>
                <w:sz w:val="18"/>
                <w:szCs w:val="18"/>
              </w:rPr>
              <w:t>379</w:t>
            </w:r>
          </w:p>
        </w:tc>
        <w:tc>
          <w:tcPr>
            <w:tcW w:w="897" w:type="pct"/>
            <w:noWrap/>
            <w:vAlign w:val="center"/>
            <w:hideMark/>
          </w:tcPr>
          <w:p w14:paraId="5B75B0A2" w14:textId="0F53A418" w:rsidR="006D30F8" w:rsidRPr="00AC017F" w:rsidRDefault="006D30F8"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823860">
              <w:rPr>
                <w:rFonts w:cs="Calibri"/>
                <w:color w:val="auto"/>
                <w:sz w:val="18"/>
                <w:szCs w:val="18"/>
              </w:rPr>
              <w:t>7</w:t>
            </w:r>
            <w:r>
              <w:rPr>
                <w:rFonts w:cs="Calibri"/>
                <w:color w:val="auto"/>
                <w:sz w:val="18"/>
                <w:szCs w:val="18"/>
              </w:rPr>
              <w:t>0</w:t>
            </w:r>
          </w:p>
        </w:tc>
      </w:tr>
      <w:tr w:rsidR="006D30F8" w:rsidRPr="00AC017F" w14:paraId="39FB8C63" w14:textId="77777777" w:rsidTr="00E67E3A">
        <w:trPr>
          <w:trHeight w:val="340"/>
        </w:trPr>
        <w:tc>
          <w:tcPr>
            <w:cnfStyle w:val="001000000000" w:firstRow="0" w:lastRow="0" w:firstColumn="1" w:lastColumn="0" w:oddVBand="0" w:evenVBand="0" w:oddHBand="0" w:evenHBand="0" w:firstRowFirstColumn="0" w:firstRowLastColumn="0" w:lastRowFirstColumn="0" w:lastRowLastColumn="0"/>
            <w:tcW w:w="3204" w:type="pct"/>
            <w:noWrap/>
            <w:vAlign w:val="center"/>
            <w:hideMark/>
          </w:tcPr>
          <w:p w14:paraId="0086BC44" w14:textId="77777777" w:rsidR="006D30F8" w:rsidRPr="00AC017F" w:rsidRDefault="006D30F8" w:rsidP="00946ED9">
            <w:pPr>
              <w:widowControl w:val="0"/>
              <w:spacing w:before="20" w:after="20"/>
              <w:rPr>
                <w:rFonts w:cs="Arial"/>
                <w:b w:val="0"/>
                <w:color w:val="auto"/>
                <w:sz w:val="18"/>
                <w:szCs w:val="18"/>
              </w:rPr>
            </w:pPr>
            <w:r w:rsidRPr="00AC017F">
              <w:rPr>
                <w:rFonts w:cs="Arial"/>
                <w:b w:val="0"/>
                <w:color w:val="auto"/>
                <w:sz w:val="18"/>
                <w:szCs w:val="18"/>
              </w:rPr>
              <w:t>Korisnici</w:t>
            </w:r>
          </w:p>
        </w:tc>
        <w:tc>
          <w:tcPr>
            <w:tcW w:w="899" w:type="pct"/>
            <w:noWrap/>
            <w:vAlign w:val="center"/>
            <w:hideMark/>
          </w:tcPr>
          <w:p w14:paraId="4BF123E4" w14:textId="7FE25183" w:rsidR="006D30F8" w:rsidRPr="00AC017F" w:rsidRDefault="006D30F8"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823860">
              <w:rPr>
                <w:rFonts w:cs="Calibri"/>
                <w:color w:val="auto"/>
                <w:sz w:val="18"/>
                <w:szCs w:val="18"/>
              </w:rPr>
              <w:t>154</w:t>
            </w:r>
          </w:p>
        </w:tc>
        <w:tc>
          <w:tcPr>
            <w:tcW w:w="897" w:type="pct"/>
            <w:noWrap/>
            <w:vAlign w:val="center"/>
            <w:hideMark/>
          </w:tcPr>
          <w:p w14:paraId="7CFABB97" w14:textId="3DA099F1" w:rsidR="006D30F8" w:rsidRPr="00AC017F" w:rsidRDefault="006D30F8"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Pr>
                <w:rFonts w:cs="Calibri"/>
                <w:color w:val="auto"/>
                <w:sz w:val="18"/>
                <w:szCs w:val="18"/>
              </w:rPr>
              <w:t>29</w:t>
            </w:r>
          </w:p>
        </w:tc>
      </w:tr>
      <w:tr w:rsidR="006D30F8" w:rsidRPr="00AC017F" w14:paraId="60DA7245" w14:textId="77777777" w:rsidTr="00E67E3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4" w:type="pct"/>
            <w:shd w:val="clear" w:color="auto" w:fill="D9E2F3"/>
            <w:noWrap/>
            <w:vAlign w:val="center"/>
            <w:hideMark/>
          </w:tcPr>
          <w:p w14:paraId="0245879D" w14:textId="77777777" w:rsidR="006D30F8" w:rsidRPr="00AC017F" w:rsidRDefault="006D30F8" w:rsidP="00946ED9">
            <w:pPr>
              <w:widowControl w:val="0"/>
              <w:spacing w:before="20" w:after="20"/>
              <w:rPr>
                <w:rFonts w:cs="Arial"/>
                <w:b w:val="0"/>
                <w:color w:val="auto"/>
                <w:sz w:val="18"/>
                <w:szCs w:val="18"/>
              </w:rPr>
            </w:pPr>
            <w:r w:rsidRPr="00AC017F">
              <w:rPr>
                <w:rFonts w:cs="Arial"/>
                <w:b w:val="0"/>
                <w:color w:val="auto"/>
                <w:sz w:val="18"/>
                <w:szCs w:val="18"/>
              </w:rPr>
              <w:t>Mediji</w:t>
            </w:r>
          </w:p>
        </w:tc>
        <w:tc>
          <w:tcPr>
            <w:tcW w:w="899" w:type="pct"/>
            <w:shd w:val="clear" w:color="auto" w:fill="D9E2F3"/>
            <w:noWrap/>
            <w:vAlign w:val="center"/>
            <w:hideMark/>
          </w:tcPr>
          <w:p w14:paraId="407036C0" w14:textId="5A9CD582" w:rsidR="006D30F8" w:rsidRPr="00AC017F" w:rsidRDefault="006D30F8"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823860">
              <w:rPr>
                <w:rFonts w:cs="Calibri"/>
                <w:color w:val="auto"/>
                <w:sz w:val="18"/>
                <w:szCs w:val="18"/>
              </w:rPr>
              <w:t>6</w:t>
            </w:r>
          </w:p>
        </w:tc>
        <w:tc>
          <w:tcPr>
            <w:tcW w:w="897" w:type="pct"/>
            <w:shd w:val="clear" w:color="auto" w:fill="D9E2F3"/>
            <w:noWrap/>
            <w:vAlign w:val="center"/>
            <w:hideMark/>
          </w:tcPr>
          <w:p w14:paraId="2BF13DBE" w14:textId="1EF83782" w:rsidR="006D30F8" w:rsidRPr="00AC017F" w:rsidRDefault="006D30F8" w:rsidP="00946ED9">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823860">
              <w:rPr>
                <w:rFonts w:cs="Calibri"/>
                <w:color w:val="auto"/>
                <w:sz w:val="18"/>
                <w:szCs w:val="18"/>
              </w:rPr>
              <w:t>1</w:t>
            </w:r>
          </w:p>
        </w:tc>
      </w:tr>
      <w:tr w:rsidR="006D30F8" w:rsidRPr="00AC017F" w14:paraId="6C3DA9E4" w14:textId="77777777" w:rsidTr="00E67E3A">
        <w:trPr>
          <w:trHeight w:val="340"/>
        </w:trPr>
        <w:tc>
          <w:tcPr>
            <w:cnfStyle w:val="001000000000" w:firstRow="0" w:lastRow="0" w:firstColumn="1" w:lastColumn="0" w:oddVBand="0" w:evenVBand="0" w:oddHBand="0" w:evenHBand="0" w:firstRowFirstColumn="0" w:firstRowLastColumn="0" w:lastRowFirstColumn="0" w:lastRowLastColumn="0"/>
            <w:tcW w:w="3204" w:type="pct"/>
            <w:noWrap/>
            <w:vAlign w:val="center"/>
            <w:hideMark/>
          </w:tcPr>
          <w:p w14:paraId="375EAF83" w14:textId="77777777" w:rsidR="006D30F8" w:rsidRPr="00AC017F" w:rsidRDefault="006D30F8" w:rsidP="00946ED9">
            <w:pPr>
              <w:widowControl w:val="0"/>
              <w:spacing w:before="20" w:after="20"/>
              <w:rPr>
                <w:rFonts w:cs="Arial"/>
                <w:bCs w:val="0"/>
                <w:color w:val="auto"/>
                <w:sz w:val="18"/>
                <w:szCs w:val="18"/>
              </w:rPr>
            </w:pPr>
            <w:r w:rsidRPr="00AC017F">
              <w:rPr>
                <w:rFonts w:cs="Arial"/>
                <w:bCs w:val="0"/>
                <w:color w:val="auto"/>
                <w:sz w:val="18"/>
                <w:szCs w:val="18"/>
              </w:rPr>
              <w:t>UKUPNO</w:t>
            </w:r>
          </w:p>
        </w:tc>
        <w:tc>
          <w:tcPr>
            <w:tcW w:w="899" w:type="pct"/>
            <w:noWrap/>
            <w:vAlign w:val="center"/>
            <w:hideMark/>
          </w:tcPr>
          <w:p w14:paraId="46800463" w14:textId="5BC81AE8" w:rsidR="006D30F8" w:rsidRPr="006D30F8" w:rsidRDefault="006D30F8"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b/>
                <w:bCs/>
                <w:color w:val="auto"/>
                <w:sz w:val="18"/>
                <w:szCs w:val="18"/>
              </w:rPr>
            </w:pPr>
            <w:r w:rsidRPr="006D30F8">
              <w:rPr>
                <w:rFonts w:cs="Calibri"/>
                <w:b/>
                <w:bCs/>
                <w:color w:val="auto"/>
                <w:sz w:val="18"/>
                <w:szCs w:val="18"/>
              </w:rPr>
              <w:t>539</w:t>
            </w:r>
          </w:p>
        </w:tc>
        <w:tc>
          <w:tcPr>
            <w:tcW w:w="897" w:type="pct"/>
            <w:noWrap/>
            <w:vAlign w:val="center"/>
            <w:hideMark/>
          </w:tcPr>
          <w:p w14:paraId="383534F7" w14:textId="42F16F74" w:rsidR="006D30F8" w:rsidRPr="006D30F8" w:rsidRDefault="006D30F8" w:rsidP="00946ED9">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b/>
                <w:bCs/>
                <w:color w:val="auto"/>
                <w:sz w:val="18"/>
                <w:szCs w:val="18"/>
              </w:rPr>
            </w:pPr>
            <w:r w:rsidRPr="006D30F8">
              <w:rPr>
                <w:rFonts w:cs="Calibri"/>
                <w:b/>
                <w:bCs/>
                <w:color w:val="auto"/>
                <w:sz w:val="18"/>
                <w:szCs w:val="18"/>
              </w:rPr>
              <w:t>100</w:t>
            </w:r>
          </w:p>
        </w:tc>
      </w:tr>
    </w:tbl>
    <w:p w14:paraId="053D2642" w14:textId="77777777" w:rsidR="00DA5FB7" w:rsidRPr="00DA5FB7" w:rsidRDefault="00DA5FB7" w:rsidP="00DA5FB7">
      <w:pPr>
        <w:rPr>
          <w:sz w:val="23"/>
          <w:szCs w:val="23"/>
        </w:rPr>
      </w:pPr>
    </w:p>
    <w:p w14:paraId="15F176D7" w14:textId="77777777" w:rsidR="00DA5FB7" w:rsidRPr="00DA5FB7" w:rsidRDefault="00DA5FB7" w:rsidP="00DA5FB7">
      <w:pPr>
        <w:pBdr>
          <w:top w:val="single" w:sz="4" w:space="1" w:color="auto"/>
          <w:left w:val="single" w:sz="4" w:space="4" w:color="auto"/>
          <w:bottom w:val="single" w:sz="4" w:space="1" w:color="auto"/>
          <w:right w:val="single" w:sz="4" w:space="4" w:color="auto"/>
        </w:pBdr>
      </w:pPr>
      <w:r w:rsidRPr="00DA5FB7">
        <w:t>Velika većina podnesenih predstavki bila je konstruktivne prirode i njima podnositelji, osim na nerješavanje zahtjeva za pristup informacijama, ukazuju na uočene nepravilnosti vezane uz proaktivnu objavu informacija, osiguravanje javnosti rada na sjednicama tijela i provedbu savjetovanja s javnošću te detektiraju tijela koja nemaju imenovanog službenika za informiranje. Potrebno je naglasiti i da, za razliku od prethodnih godina, u 2025. godini nije zabilježeno neopravdano podnošenje većeg broja predstavki prema jednom tijelu/više tijela od strane jednog podnositelja.</w:t>
      </w:r>
    </w:p>
    <w:p w14:paraId="14BA7AEA" w14:textId="6B68C6CE" w:rsidR="00FB3573" w:rsidRPr="00DA5FB7" w:rsidRDefault="00DA5FB7" w:rsidP="00DA5FB7">
      <w:pPr>
        <w:pBdr>
          <w:top w:val="single" w:sz="4" w:space="1" w:color="auto"/>
          <w:left w:val="single" w:sz="4" w:space="4" w:color="auto"/>
          <w:bottom w:val="single" w:sz="4" w:space="1" w:color="auto"/>
          <w:right w:val="single" w:sz="4" w:space="4" w:color="auto"/>
        </w:pBdr>
      </w:pPr>
      <w:r w:rsidRPr="00DA5FB7">
        <w:t>Sadržaji upita korisnika (i u bitno manjoj mjeri službenika za informiranje) navode na zaključak o nedovoljnom poznavanju upravnog područja pristupa informacijama i samog Zakona, odnosno potvrđuje kako je potrebno nastaviti na razvoju i provedbi edukativnih sadržaja za što širi krug korisnika.</w:t>
      </w:r>
    </w:p>
    <w:p w14:paraId="1CDEAB30" w14:textId="77777777" w:rsidR="006A6D92" w:rsidRPr="00F0315E" w:rsidRDefault="006A6D92">
      <w:pPr>
        <w:spacing w:after="0" w:line="240" w:lineRule="auto"/>
        <w:jc w:val="left"/>
        <w:rPr>
          <w:i/>
          <w:iCs/>
          <w:sz w:val="23"/>
          <w:szCs w:val="23"/>
        </w:rPr>
      </w:pPr>
      <w:r w:rsidRPr="00F0315E">
        <w:rPr>
          <w:i/>
          <w:iCs/>
          <w:sz w:val="23"/>
          <w:szCs w:val="23"/>
        </w:rPr>
        <w:br w:type="page"/>
      </w:r>
    </w:p>
    <w:p w14:paraId="72B82FD5" w14:textId="0509166B" w:rsidR="00216541" w:rsidRPr="00F0315E" w:rsidRDefault="00216541" w:rsidP="7D481D26">
      <w:pPr>
        <w:pStyle w:val="Naslov1"/>
      </w:pPr>
      <w:bookmarkStart w:id="146" w:name="_Toc36308955"/>
      <w:bookmarkStart w:id="147" w:name="_Toc66103158"/>
      <w:bookmarkStart w:id="148" w:name="_Toc225865610"/>
      <w:bookmarkEnd w:id="138"/>
      <w:bookmarkEnd w:id="139"/>
      <w:r w:rsidRPr="7D481D26">
        <w:lastRenderedPageBreak/>
        <w:t>Sankcije</w:t>
      </w:r>
      <w:bookmarkEnd w:id="146"/>
      <w:bookmarkEnd w:id="147"/>
      <w:bookmarkEnd w:id="148"/>
    </w:p>
    <w:p w14:paraId="7B5CE493" w14:textId="77777777" w:rsidR="00DE1E3E" w:rsidRPr="00DE1E3E" w:rsidRDefault="00DE1E3E" w:rsidP="00DE1E3E">
      <w:pPr>
        <w:rPr>
          <w:rFonts w:cs="Arial"/>
        </w:rPr>
      </w:pPr>
      <w:r w:rsidRPr="00DE1E3E">
        <w:rPr>
          <w:rFonts w:cs="Arial"/>
        </w:rPr>
        <w:t>Odredbom članka 35. ZPPI-ja Povjereniku je dano ovlaštenje za podnošenje optužnog prijedloga i izdavanje prekršajnog naloga za utvrđene prekršaje, dok su u članku 61. i 62. ZPPI-ja sadržane prekršajne odredbe vezano za ostvarivanje prava na pristup i ponovnu uporabu informacija. Zakonom o izmjenama i dopunama ZPPI-ja (NN 69/22) došlo je do izmjena na način da je propisano izvršenje rješenja Povjerenika kojima se omogućava pristup informacijama i rješenja kojima se tijelu javne vlasti nalaže rješavanje zahtjeva za pristup informacijama. Zbog takvog pravnog uređenja došlo je do brisanja članka 61. stavka 1. ZPPI-ja kojim je bio propisan prekršaj za odgovornu osobu u tijelu javne vlasti koja ne postupi u skladu s odlukom Povjerenika iz članka 25. stavka 7. ZPPI-ja ili ne postupi u roku koji je određen odlukom Povjerenika.</w:t>
      </w:r>
    </w:p>
    <w:p w14:paraId="65045192" w14:textId="43A033E2" w:rsidR="006D30F8" w:rsidRPr="00F0315E" w:rsidRDefault="00DE1E3E" w:rsidP="00DE1E3E">
      <w:pPr>
        <w:rPr>
          <w:rFonts w:cs="Arial"/>
        </w:rPr>
      </w:pPr>
      <w:r w:rsidRPr="00DE1E3E">
        <w:rPr>
          <w:rFonts w:cs="Arial"/>
        </w:rPr>
        <w:t>Navedene izmjene ZPPI-ja dovele su i do određenih promjena u primjeni prekršajnih odredbi u odnosu na prijašnja izvještajna razdoblja, a koja se odnose na podnošenje optužnih prijedloga koje je Povjerenik podnosio prema odredbama tada važećeg članka 61. stavka 1. ZPPI-ja.</w:t>
      </w:r>
    </w:p>
    <w:p w14:paraId="7399B019" w14:textId="3495E35A" w:rsidR="00B00A70" w:rsidRPr="00F0315E" w:rsidRDefault="0037487B" w:rsidP="00EB4FDB">
      <w:pPr>
        <w:pStyle w:val="Naslov2"/>
        <w:ind w:left="1276" w:hanging="567"/>
      </w:pPr>
      <w:bookmarkStart w:id="149" w:name="_Toc225865611"/>
      <w:r w:rsidRPr="7D481D26">
        <w:t>Izdani prekršajni nalozi i podneseni optužni prijedlozi</w:t>
      </w:r>
      <w:bookmarkEnd w:id="149"/>
    </w:p>
    <w:p w14:paraId="1D84D213" w14:textId="77777777" w:rsidR="009379D0" w:rsidRPr="009379D0" w:rsidRDefault="009379D0" w:rsidP="009379D0">
      <w:pPr>
        <w:rPr>
          <w:rFonts w:cs="Arial"/>
          <w:color w:val="000000" w:themeColor="text1"/>
        </w:rPr>
      </w:pPr>
      <w:r w:rsidRPr="009379D0">
        <w:rPr>
          <w:rFonts w:cs="Arial"/>
          <w:color w:val="000000" w:themeColor="text1"/>
        </w:rPr>
        <w:t>U 2025. Povjerenik je izdao 3 prekršajna naloga protiv odgovornih osoba u tijelima javne vlasti (2 gradonačelniku Grada Dubrovnika i 1 načelniku Općine Primošten).</w:t>
      </w:r>
    </w:p>
    <w:p w14:paraId="0B7BE4C5" w14:textId="77777777" w:rsidR="009379D0" w:rsidRPr="009379D0" w:rsidRDefault="009379D0" w:rsidP="009379D0">
      <w:pPr>
        <w:rPr>
          <w:rFonts w:cs="Arial"/>
          <w:color w:val="000000" w:themeColor="text1"/>
        </w:rPr>
      </w:pPr>
      <w:r w:rsidRPr="009379D0">
        <w:rPr>
          <w:rFonts w:cs="Arial"/>
          <w:color w:val="000000" w:themeColor="text1"/>
        </w:rPr>
        <w:t xml:space="preserve">Dva izdana prekršajna naloga Povjerenika odnosila su se na prekršaj iz članka 62. stavka 1. točke 2. ZPPI-ja koji se izriče odgovornoj osobi u tijelu javne vlasti ako ne omogući Povjereniku uvid u informacije koje su predmet postupka, ne dostavi tražene podatke ili dostavi nepotpune odnosno netočne podatke. </w:t>
      </w:r>
    </w:p>
    <w:p w14:paraId="2B040015" w14:textId="77777777" w:rsidR="009379D0" w:rsidRPr="009379D0" w:rsidRDefault="009379D0" w:rsidP="009379D0">
      <w:pPr>
        <w:rPr>
          <w:rFonts w:cs="Arial"/>
          <w:color w:val="000000" w:themeColor="text1"/>
        </w:rPr>
      </w:pPr>
      <w:r w:rsidRPr="009379D0">
        <w:rPr>
          <w:rFonts w:cs="Arial"/>
          <w:color w:val="000000" w:themeColor="text1"/>
        </w:rPr>
        <w:t xml:space="preserve">Jedan izdani prekršajni nalog odnosio se na prekršaj iz članka 62. stavka 1. točke 4. ZPPI-ja koji se izriče odgovornoj osobi u tijelu javne vlasti ako nije u zapisnikom određenom roku otklonila nezakonitosti, nepravilnosti i nedostatke utvrđene zapisnikom. </w:t>
      </w:r>
    </w:p>
    <w:p w14:paraId="5383E70A" w14:textId="77777777" w:rsidR="009379D0" w:rsidRPr="009379D0" w:rsidRDefault="009379D0" w:rsidP="009379D0">
      <w:pPr>
        <w:rPr>
          <w:rFonts w:cs="Arial"/>
          <w:color w:val="000000" w:themeColor="text1"/>
        </w:rPr>
      </w:pPr>
      <w:r w:rsidRPr="009379D0">
        <w:rPr>
          <w:rFonts w:cs="Arial"/>
          <w:color w:val="000000" w:themeColor="text1"/>
        </w:rPr>
        <w:t>Na izdane prekršajne naloge izjavljeni su prigovori te su postupci u tijeku.</w:t>
      </w:r>
    </w:p>
    <w:p w14:paraId="3EB51D47" w14:textId="284A00FF" w:rsidR="006D30F8" w:rsidRPr="0075748C" w:rsidRDefault="009379D0" w:rsidP="004A6D89">
      <w:pPr>
        <w:rPr>
          <w:rFonts w:cs="Arial"/>
        </w:rPr>
      </w:pPr>
      <w:r w:rsidRPr="009379D0">
        <w:rPr>
          <w:rFonts w:cs="Arial"/>
          <w:color w:val="000000" w:themeColor="text1"/>
        </w:rPr>
        <w:t xml:space="preserve">Povjerenik ima ovlast podnijeti optužni prijedlog zbog počinjenja prekršaja iz članka 61 ZPPI-ja. Prije stupanja na snagu Zakona o izmjenama i dopunama ZPPI-ja (NN 69/22) Povjerenik je podnosio optužne prijedloge zbog prekršaja iz tada važećeg članka 61. stavka 1. ZPPI-ja i to zbog nepostupanja u skladu s odlukom Povjerenika iz članka 25. stavka 7. ZPPI-ja ili nepostupanja u roku koji je određen odlukom Povjerenika. Brisanje odredbe prijašnjeg članka 61. stavka 1. ZPPI-ja rezultiralo je time da Povjerenik u izvještajnom razdoblju nije podnosio optužne prijedloge jer nije utvrdio da je došlo do prekršaja iz važećeg članka 61. stavka 1. i 2. ZPPI-ja (prekršaj za fizičku osobu koja ošteti, uništi, sakrije ili na drugi način učini nedostupnim dokument koji sadrži informaciju u namjeri da onemogući ostvarivanje prava na pristup informacijama, prekršaj za  fizičku osobu, odnosno pravnu osobu koja upotrijebi informacije </w:t>
      </w:r>
      <w:r w:rsidRPr="0075748C">
        <w:rPr>
          <w:rFonts w:cs="Arial"/>
        </w:rPr>
        <w:t>protivno objavljenim uvjetima za ponovnu uporabu informacija iz članka 31. ZPPI-ja)</w:t>
      </w:r>
      <w:r w:rsidR="006D30F8" w:rsidRPr="0075748C">
        <w:rPr>
          <w:rFonts w:cs="Arial"/>
        </w:rPr>
        <w:t>.</w:t>
      </w:r>
    </w:p>
    <w:p w14:paraId="71B3DFED" w14:textId="77777777" w:rsidR="00EC4B3D" w:rsidRPr="00E24BD9" w:rsidRDefault="002F1820" w:rsidP="007B3B48">
      <w:pPr>
        <w:widowControl w:val="0"/>
        <w:jc w:val="left"/>
        <w:rPr>
          <w:szCs w:val="23"/>
        </w:rPr>
      </w:pPr>
      <w:r>
        <w:rPr>
          <w:sz w:val="23"/>
          <w:szCs w:val="23"/>
        </w:rPr>
        <w:br w:type="page"/>
      </w:r>
    </w:p>
    <w:tbl>
      <w:tblPr>
        <w:tblStyle w:val="LightShading-Accent11"/>
        <w:tblW w:w="0" w:type="auto"/>
        <w:tblLook w:val="04A0" w:firstRow="1" w:lastRow="0" w:firstColumn="1" w:lastColumn="0" w:noHBand="0" w:noVBand="1"/>
      </w:tblPr>
      <w:tblGrid>
        <w:gridCol w:w="9062"/>
      </w:tblGrid>
      <w:tr w:rsidR="00EC4B3D" w14:paraId="527E1624" w14:textId="77777777" w:rsidTr="00EC4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auto"/>
              <w:left w:val="single" w:sz="4" w:space="0" w:color="auto"/>
              <w:bottom w:val="single" w:sz="4" w:space="0" w:color="auto"/>
              <w:right w:val="single" w:sz="4" w:space="0" w:color="auto"/>
            </w:tcBorders>
          </w:tcPr>
          <w:p w14:paraId="227DE31A" w14:textId="7F2240C0" w:rsidR="00EC4B3D" w:rsidRPr="00EC4B3D" w:rsidRDefault="00567641" w:rsidP="00EC4B3D">
            <w:pPr>
              <w:widowControl w:val="0"/>
              <w:rPr>
                <w:b w:val="0"/>
                <w:bCs w:val="0"/>
                <w:szCs w:val="23"/>
              </w:rPr>
            </w:pPr>
            <w:r w:rsidRPr="00567641">
              <w:rPr>
                <w:b w:val="0"/>
                <w:bCs w:val="0"/>
                <w:color w:val="000000" w:themeColor="text1"/>
                <w:szCs w:val="23"/>
              </w:rPr>
              <w:lastRenderedPageBreak/>
              <w:t>U ovom izvještajnom razdoblju Povjerenik je izrekao manje prekršajnih naloga u odnosu na 2024., kada je izrečeno 8 prekršajnih naloga iz razloga što su tijela javne vlasti postupala u većem broju predmeta (nekada uz upućene požurnice) po traženju Povjerenika za dostavom informacije koje su predmet postupka ili su u roku koji je određen u zapisniku otklonila nezakonitosti, nepravilnosti i nedostatke utvrđene zapisnikom te stoga nije bilo potrebno izricati prekršajne naloge.</w:t>
            </w:r>
          </w:p>
        </w:tc>
      </w:tr>
    </w:tbl>
    <w:p w14:paraId="43A9DD95" w14:textId="15800EB2" w:rsidR="00727E2D" w:rsidRPr="00540BF5" w:rsidRDefault="00727E2D" w:rsidP="00540BF5">
      <w:pPr>
        <w:keepNext/>
        <w:widowControl w:val="0"/>
        <w:spacing w:before="240"/>
        <w:rPr>
          <w:rFonts w:cs="Arial"/>
          <w:sz w:val="18"/>
          <w:szCs w:val="18"/>
        </w:rPr>
      </w:pPr>
      <w:r w:rsidRPr="00225667">
        <w:rPr>
          <w:rFonts w:cs="Arial"/>
          <w:sz w:val="18"/>
          <w:szCs w:val="18"/>
        </w:rPr>
        <w:t xml:space="preserve">Tablica </w:t>
      </w:r>
      <w:r w:rsidR="00E00E59" w:rsidRPr="00225667">
        <w:rPr>
          <w:rFonts w:cs="Arial"/>
          <w:sz w:val="18"/>
          <w:szCs w:val="18"/>
        </w:rPr>
        <w:t>7.1.</w:t>
      </w:r>
      <w:r w:rsidRPr="00225667">
        <w:rPr>
          <w:rFonts w:cs="Arial"/>
          <w:sz w:val="18"/>
          <w:szCs w:val="18"/>
        </w:rPr>
        <w:t xml:space="preserve"> Prekršajni postupci 20</w:t>
      </w:r>
      <w:r w:rsidR="001F26D9" w:rsidRPr="00225667">
        <w:rPr>
          <w:rFonts w:cs="Arial"/>
          <w:sz w:val="18"/>
          <w:szCs w:val="18"/>
        </w:rPr>
        <w:t>2</w:t>
      </w:r>
      <w:r w:rsidR="00225667" w:rsidRPr="00225667">
        <w:rPr>
          <w:rFonts w:cs="Arial"/>
          <w:sz w:val="18"/>
          <w:szCs w:val="18"/>
        </w:rPr>
        <w:t>1</w:t>
      </w:r>
      <w:r w:rsidRPr="00225667">
        <w:rPr>
          <w:rFonts w:cs="Arial"/>
          <w:sz w:val="18"/>
          <w:szCs w:val="18"/>
        </w:rPr>
        <w:t>.-202</w:t>
      </w:r>
      <w:r w:rsidR="007B3B48" w:rsidRPr="00225667">
        <w:rPr>
          <w:rFonts w:cs="Arial"/>
          <w:sz w:val="18"/>
          <w:szCs w:val="18"/>
        </w:rPr>
        <w:t>5</w:t>
      </w:r>
      <w:r w:rsidRPr="00225667">
        <w:rPr>
          <w:rFonts w:cs="Arial"/>
          <w:sz w:val="18"/>
          <w:szCs w:val="18"/>
        </w:rPr>
        <w:t>.</w:t>
      </w:r>
    </w:p>
    <w:tbl>
      <w:tblPr>
        <w:tblStyle w:val="ListTable2-Accent111"/>
        <w:tblW w:w="5000" w:type="pct"/>
        <w:tblLook w:val="04A0" w:firstRow="1" w:lastRow="0" w:firstColumn="1" w:lastColumn="0" w:noHBand="0" w:noVBand="1"/>
      </w:tblPr>
      <w:tblGrid>
        <w:gridCol w:w="3923"/>
        <w:gridCol w:w="1036"/>
        <w:gridCol w:w="1036"/>
        <w:gridCol w:w="1036"/>
        <w:gridCol w:w="1036"/>
        <w:gridCol w:w="1005"/>
      </w:tblGrid>
      <w:tr w:rsidR="00225667" w:rsidRPr="00A960B0" w14:paraId="3B926832" w14:textId="77777777" w:rsidTr="0022566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2" w:type="pct"/>
            <w:tcBorders>
              <w:top w:val="single" w:sz="8" w:space="0" w:color="4472C4" w:themeColor="accent1"/>
              <w:bottom w:val="single" w:sz="8" w:space="0" w:color="4472C4" w:themeColor="accent1"/>
            </w:tcBorders>
            <w:noWrap/>
            <w:vAlign w:val="center"/>
            <w:hideMark/>
          </w:tcPr>
          <w:p w14:paraId="66A672EB" w14:textId="22AF097E" w:rsidR="00225667" w:rsidRPr="00A960B0" w:rsidRDefault="00225667" w:rsidP="00E67E3A">
            <w:pPr>
              <w:widowControl w:val="0"/>
              <w:spacing w:before="20" w:after="20"/>
              <w:jc w:val="center"/>
              <w:rPr>
                <w:rFonts w:ascii="Roboto" w:hAnsi="Roboto" w:cs="Arial"/>
                <w:sz w:val="18"/>
                <w:szCs w:val="18"/>
                <w:lang w:eastAsia="en-US"/>
              </w:rPr>
            </w:pPr>
          </w:p>
        </w:tc>
        <w:tc>
          <w:tcPr>
            <w:tcW w:w="571" w:type="pct"/>
            <w:tcBorders>
              <w:top w:val="single" w:sz="8" w:space="0" w:color="4472C4" w:themeColor="accent1"/>
              <w:bottom w:val="single" w:sz="8" w:space="0" w:color="4472C4" w:themeColor="accent1"/>
            </w:tcBorders>
            <w:vAlign w:val="center"/>
          </w:tcPr>
          <w:p w14:paraId="4A19535A" w14:textId="77777777" w:rsidR="00225667" w:rsidRPr="00A960B0" w:rsidRDefault="00225667" w:rsidP="00E67E3A">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sz w:val="18"/>
                <w:szCs w:val="18"/>
                <w:lang w:eastAsia="en-US"/>
              </w:rPr>
            </w:pPr>
            <w:r w:rsidRPr="00A960B0">
              <w:rPr>
                <w:rFonts w:ascii="Roboto" w:hAnsi="Roboto" w:cs="Arial"/>
                <w:sz w:val="18"/>
                <w:szCs w:val="18"/>
                <w:lang w:eastAsia="en-US"/>
              </w:rPr>
              <w:t>2021.</w:t>
            </w:r>
          </w:p>
        </w:tc>
        <w:tc>
          <w:tcPr>
            <w:tcW w:w="571" w:type="pct"/>
            <w:tcBorders>
              <w:top w:val="single" w:sz="8" w:space="0" w:color="4472C4" w:themeColor="accent1"/>
              <w:bottom w:val="single" w:sz="8" w:space="0" w:color="4472C4" w:themeColor="accent1"/>
            </w:tcBorders>
            <w:vAlign w:val="center"/>
          </w:tcPr>
          <w:p w14:paraId="2C37C492" w14:textId="77777777" w:rsidR="00225667" w:rsidRPr="00A960B0" w:rsidRDefault="00225667" w:rsidP="00E67E3A">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sz w:val="18"/>
                <w:szCs w:val="18"/>
                <w:lang w:eastAsia="en-US"/>
              </w:rPr>
            </w:pPr>
            <w:r w:rsidRPr="00A960B0">
              <w:rPr>
                <w:rFonts w:ascii="Roboto" w:hAnsi="Roboto" w:cs="Arial"/>
                <w:sz w:val="18"/>
                <w:szCs w:val="18"/>
                <w:lang w:eastAsia="en-US"/>
              </w:rPr>
              <w:t>2022.</w:t>
            </w:r>
          </w:p>
        </w:tc>
        <w:tc>
          <w:tcPr>
            <w:tcW w:w="571" w:type="pct"/>
            <w:tcBorders>
              <w:top w:val="single" w:sz="8" w:space="0" w:color="4472C4" w:themeColor="accent1"/>
              <w:bottom w:val="single" w:sz="8" w:space="0" w:color="4472C4" w:themeColor="accent1"/>
            </w:tcBorders>
            <w:vAlign w:val="center"/>
          </w:tcPr>
          <w:p w14:paraId="1A6D45CC" w14:textId="21EDC1FA" w:rsidR="00225667" w:rsidRPr="00A960B0" w:rsidRDefault="00225667" w:rsidP="00E67E3A">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n-US"/>
              </w:rPr>
            </w:pPr>
            <w:r w:rsidRPr="00A960B0">
              <w:rPr>
                <w:rFonts w:ascii="Roboto" w:hAnsi="Roboto" w:cs="Arial"/>
                <w:sz w:val="18"/>
                <w:szCs w:val="18"/>
                <w:lang w:eastAsia="en-US"/>
              </w:rPr>
              <w:t>2023.</w:t>
            </w:r>
          </w:p>
        </w:tc>
        <w:tc>
          <w:tcPr>
            <w:tcW w:w="571" w:type="pct"/>
            <w:tcBorders>
              <w:top w:val="single" w:sz="8" w:space="0" w:color="4472C4" w:themeColor="accent1"/>
              <w:bottom w:val="single" w:sz="8" w:space="0" w:color="4472C4" w:themeColor="accent1"/>
            </w:tcBorders>
            <w:vAlign w:val="center"/>
          </w:tcPr>
          <w:p w14:paraId="3925161E" w14:textId="39375F80" w:rsidR="00225667" w:rsidRPr="00A960B0" w:rsidRDefault="00225667" w:rsidP="00E67E3A">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sz w:val="18"/>
                <w:szCs w:val="18"/>
                <w:lang w:eastAsia="en-US"/>
              </w:rPr>
            </w:pPr>
            <w:r w:rsidRPr="00A960B0">
              <w:rPr>
                <w:rFonts w:ascii="Roboto" w:hAnsi="Roboto" w:cs="Arial"/>
                <w:sz w:val="18"/>
                <w:szCs w:val="18"/>
                <w:lang w:eastAsia="en-US"/>
              </w:rPr>
              <w:t>2024.</w:t>
            </w:r>
          </w:p>
        </w:tc>
        <w:tc>
          <w:tcPr>
            <w:tcW w:w="554" w:type="pct"/>
            <w:tcBorders>
              <w:top w:val="single" w:sz="8" w:space="0" w:color="4472C4" w:themeColor="accent1"/>
              <w:bottom w:val="single" w:sz="8" w:space="0" w:color="4472C4" w:themeColor="accent1"/>
            </w:tcBorders>
            <w:vAlign w:val="center"/>
          </w:tcPr>
          <w:p w14:paraId="299B0819" w14:textId="4213090E" w:rsidR="00225667" w:rsidRPr="00A960B0" w:rsidRDefault="00225667" w:rsidP="00E67E3A">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sz w:val="18"/>
                <w:szCs w:val="18"/>
                <w:lang w:eastAsia="en-US"/>
              </w:rPr>
            </w:pPr>
            <w:r>
              <w:rPr>
                <w:rFonts w:ascii="Roboto" w:hAnsi="Roboto" w:cs="Arial"/>
                <w:sz w:val="18"/>
                <w:szCs w:val="18"/>
                <w:lang w:eastAsia="en-US"/>
              </w:rPr>
              <w:t>2025.</w:t>
            </w:r>
          </w:p>
        </w:tc>
      </w:tr>
      <w:tr w:rsidR="00225667" w:rsidRPr="00F0315E" w14:paraId="7C14115B" w14:textId="77777777" w:rsidTr="002256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2" w:type="pct"/>
            <w:tcBorders>
              <w:top w:val="single" w:sz="8" w:space="0" w:color="4472C4" w:themeColor="accent1"/>
            </w:tcBorders>
            <w:noWrap/>
            <w:vAlign w:val="center"/>
            <w:hideMark/>
          </w:tcPr>
          <w:p w14:paraId="7AB41A15" w14:textId="77777777" w:rsidR="00225667" w:rsidRPr="00540BF5" w:rsidRDefault="00225667" w:rsidP="00E67E3A">
            <w:pPr>
              <w:widowControl w:val="0"/>
              <w:spacing w:before="20" w:after="20"/>
              <w:jc w:val="left"/>
              <w:rPr>
                <w:rFonts w:ascii="Roboto" w:hAnsi="Roboto" w:cs="Calibri"/>
                <w:b w:val="0"/>
                <w:bCs w:val="0"/>
                <w:color w:val="000000"/>
                <w:sz w:val="18"/>
                <w:szCs w:val="18"/>
              </w:rPr>
            </w:pPr>
            <w:r w:rsidRPr="00540BF5">
              <w:rPr>
                <w:rFonts w:ascii="Roboto" w:hAnsi="Roboto" w:cs="Calibri"/>
                <w:b w:val="0"/>
                <w:bCs w:val="0"/>
                <w:color w:val="000000"/>
                <w:sz w:val="18"/>
                <w:szCs w:val="18"/>
              </w:rPr>
              <w:t>Obavijesti o namjeri pokretanja postupka</w:t>
            </w:r>
          </w:p>
        </w:tc>
        <w:tc>
          <w:tcPr>
            <w:tcW w:w="571" w:type="pct"/>
            <w:tcBorders>
              <w:top w:val="single" w:sz="8" w:space="0" w:color="4472C4" w:themeColor="accent1"/>
            </w:tcBorders>
            <w:vAlign w:val="center"/>
          </w:tcPr>
          <w:p w14:paraId="58463C0B" w14:textId="399E15BD" w:rsidR="00225667" w:rsidRPr="007B3B48" w:rsidRDefault="00225667" w:rsidP="00E67E3A">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19</w:t>
            </w:r>
          </w:p>
        </w:tc>
        <w:tc>
          <w:tcPr>
            <w:tcW w:w="571" w:type="pct"/>
            <w:tcBorders>
              <w:top w:val="single" w:sz="8" w:space="0" w:color="4472C4" w:themeColor="accent1"/>
            </w:tcBorders>
            <w:vAlign w:val="center"/>
          </w:tcPr>
          <w:p w14:paraId="056E2EE4" w14:textId="4DB9E53B" w:rsidR="00225667" w:rsidRPr="007B3B48" w:rsidRDefault="00225667" w:rsidP="00E67E3A">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3</w:t>
            </w:r>
          </w:p>
        </w:tc>
        <w:tc>
          <w:tcPr>
            <w:tcW w:w="571" w:type="pct"/>
            <w:tcBorders>
              <w:top w:val="single" w:sz="8" w:space="0" w:color="4472C4" w:themeColor="accent1"/>
            </w:tcBorders>
            <w:vAlign w:val="center"/>
          </w:tcPr>
          <w:p w14:paraId="4CE109A5" w14:textId="4B73AB7F" w:rsidR="00225667" w:rsidRPr="007B3B48" w:rsidRDefault="00225667" w:rsidP="00E67E3A">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0</w:t>
            </w:r>
          </w:p>
        </w:tc>
        <w:tc>
          <w:tcPr>
            <w:tcW w:w="571" w:type="pct"/>
            <w:tcBorders>
              <w:top w:val="single" w:sz="8" w:space="0" w:color="4472C4" w:themeColor="accent1"/>
            </w:tcBorders>
            <w:vAlign w:val="center"/>
          </w:tcPr>
          <w:p w14:paraId="5C353565" w14:textId="6F511D60" w:rsidR="00225667" w:rsidRPr="007B3B48" w:rsidRDefault="00225667" w:rsidP="00E67E3A">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0</w:t>
            </w:r>
          </w:p>
        </w:tc>
        <w:tc>
          <w:tcPr>
            <w:tcW w:w="554" w:type="pct"/>
            <w:tcBorders>
              <w:top w:val="single" w:sz="8" w:space="0" w:color="4472C4" w:themeColor="accent1"/>
            </w:tcBorders>
            <w:vAlign w:val="center"/>
          </w:tcPr>
          <w:p w14:paraId="590DA8DD" w14:textId="620D7A9C" w:rsidR="00225667" w:rsidRPr="007B3B48" w:rsidRDefault="00225667" w:rsidP="00E67E3A">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0</w:t>
            </w:r>
          </w:p>
        </w:tc>
      </w:tr>
      <w:tr w:rsidR="00225667" w:rsidRPr="00F0315E" w14:paraId="4149697A" w14:textId="77777777" w:rsidTr="00225667">
        <w:trPr>
          <w:trHeight w:val="340"/>
        </w:trPr>
        <w:tc>
          <w:tcPr>
            <w:cnfStyle w:val="001000000000" w:firstRow="0" w:lastRow="0" w:firstColumn="1" w:lastColumn="0" w:oddVBand="0" w:evenVBand="0" w:oddHBand="0" w:evenHBand="0" w:firstRowFirstColumn="0" w:firstRowLastColumn="0" w:lastRowFirstColumn="0" w:lastRowLastColumn="0"/>
            <w:tcW w:w="2162" w:type="pct"/>
            <w:noWrap/>
            <w:vAlign w:val="center"/>
            <w:hideMark/>
          </w:tcPr>
          <w:p w14:paraId="28EACDF1" w14:textId="77777777" w:rsidR="00225667" w:rsidRPr="00540BF5" w:rsidRDefault="00225667" w:rsidP="00E67E3A">
            <w:pPr>
              <w:widowControl w:val="0"/>
              <w:spacing w:before="20" w:after="20"/>
              <w:jc w:val="left"/>
              <w:rPr>
                <w:rFonts w:ascii="Roboto" w:hAnsi="Roboto" w:cs="Calibri"/>
                <w:b w:val="0"/>
                <w:bCs w:val="0"/>
                <w:color w:val="000000"/>
                <w:sz w:val="18"/>
                <w:szCs w:val="18"/>
              </w:rPr>
            </w:pPr>
            <w:r w:rsidRPr="00540BF5">
              <w:rPr>
                <w:rFonts w:ascii="Roboto" w:hAnsi="Roboto" w:cs="Calibri"/>
                <w:b w:val="0"/>
                <w:bCs w:val="0"/>
                <w:color w:val="000000"/>
                <w:sz w:val="18"/>
                <w:szCs w:val="18"/>
              </w:rPr>
              <w:t xml:space="preserve">Podneseni optužni prijedlozi </w:t>
            </w:r>
          </w:p>
        </w:tc>
        <w:tc>
          <w:tcPr>
            <w:tcW w:w="571" w:type="pct"/>
            <w:vAlign w:val="center"/>
          </w:tcPr>
          <w:p w14:paraId="1CDB2AF7" w14:textId="14511A3E" w:rsidR="00225667" w:rsidRPr="007B3B48" w:rsidRDefault="00225667" w:rsidP="00E67E3A">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9</w:t>
            </w:r>
          </w:p>
        </w:tc>
        <w:tc>
          <w:tcPr>
            <w:tcW w:w="571" w:type="pct"/>
            <w:vAlign w:val="center"/>
          </w:tcPr>
          <w:p w14:paraId="2B5E212A" w14:textId="2011DC49" w:rsidR="00225667" w:rsidRPr="007B3B48" w:rsidRDefault="00225667" w:rsidP="00E67E3A">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0</w:t>
            </w:r>
          </w:p>
        </w:tc>
        <w:tc>
          <w:tcPr>
            <w:tcW w:w="571" w:type="pct"/>
            <w:vAlign w:val="center"/>
          </w:tcPr>
          <w:p w14:paraId="462E5D57" w14:textId="770DF410" w:rsidR="00225667" w:rsidRPr="007B3B48" w:rsidRDefault="00225667" w:rsidP="00E67E3A">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0</w:t>
            </w:r>
          </w:p>
        </w:tc>
        <w:tc>
          <w:tcPr>
            <w:tcW w:w="571" w:type="pct"/>
            <w:vAlign w:val="center"/>
          </w:tcPr>
          <w:p w14:paraId="7340A552" w14:textId="7247737D" w:rsidR="00225667" w:rsidRPr="007B3B48" w:rsidRDefault="00225667" w:rsidP="00E67E3A">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0</w:t>
            </w:r>
          </w:p>
        </w:tc>
        <w:tc>
          <w:tcPr>
            <w:tcW w:w="554" w:type="pct"/>
            <w:vAlign w:val="center"/>
          </w:tcPr>
          <w:p w14:paraId="03C896AF" w14:textId="6332A996" w:rsidR="00225667" w:rsidRPr="007B3B48" w:rsidRDefault="00225667" w:rsidP="00E67E3A">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0</w:t>
            </w:r>
          </w:p>
        </w:tc>
      </w:tr>
      <w:tr w:rsidR="00225667" w:rsidRPr="00F0315E" w14:paraId="080B543D" w14:textId="77777777" w:rsidTr="002256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2" w:type="pct"/>
            <w:noWrap/>
            <w:vAlign w:val="center"/>
            <w:hideMark/>
          </w:tcPr>
          <w:p w14:paraId="3860461C" w14:textId="77777777" w:rsidR="00225667" w:rsidRPr="00540BF5" w:rsidRDefault="00225667" w:rsidP="00E67E3A">
            <w:pPr>
              <w:widowControl w:val="0"/>
              <w:spacing w:before="20" w:after="20"/>
              <w:jc w:val="left"/>
              <w:rPr>
                <w:rFonts w:ascii="Roboto" w:hAnsi="Roboto" w:cs="Calibri"/>
                <w:b w:val="0"/>
                <w:bCs w:val="0"/>
                <w:color w:val="000000"/>
                <w:sz w:val="18"/>
                <w:szCs w:val="18"/>
              </w:rPr>
            </w:pPr>
            <w:r w:rsidRPr="00540BF5">
              <w:rPr>
                <w:rFonts w:ascii="Roboto" w:hAnsi="Roboto" w:cs="Calibri"/>
                <w:b w:val="0"/>
                <w:bCs w:val="0"/>
                <w:color w:val="000000"/>
                <w:sz w:val="18"/>
                <w:szCs w:val="18"/>
              </w:rPr>
              <w:t>Izrečeni prekršajni nalozi Povjerenika</w:t>
            </w:r>
          </w:p>
        </w:tc>
        <w:tc>
          <w:tcPr>
            <w:tcW w:w="571" w:type="pct"/>
            <w:vAlign w:val="center"/>
          </w:tcPr>
          <w:p w14:paraId="1B295351" w14:textId="1E3084F9" w:rsidR="00225667" w:rsidRPr="007B3B48" w:rsidRDefault="00225667" w:rsidP="00E67E3A">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8</w:t>
            </w:r>
          </w:p>
        </w:tc>
        <w:tc>
          <w:tcPr>
            <w:tcW w:w="571" w:type="pct"/>
            <w:vAlign w:val="center"/>
          </w:tcPr>
          <w:p w14:paraId="67281EC7" w14:textId="63E464B6" w:rsidR="00225667" w:rsidRPr="007B3B48" w:rsidRDefault="00225667" w:rsidP="00E67E3A">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6</w:t>
            </w:r>
          </w:p>
        </w:tc>
        <w:tc>
          <w:tcPr>
            <w:tcW w:w="571" w:type="pct"/>
            <w:vAlign w:val="center"/>
          </w:tcPr>
          <w:p w14:paraId="04CE5180" w14:textId="18680E71" w:rsidR="00225667" w:rsidRPr="007B3B48" w:rsidRDefault="00225667" w:rsidP="00E67E3A">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22</w:t>
            </w:r>
          </w:p>
        </w:tc>
        <w:tc>
          <w:tcPr>
            <w:tcW w:w="571" w:type="pct"/>
            <w:vAlign w:val="center"/>
          </w:tcPr>
          <w:p w14:paraId="52465FE7" w14:textId="356AC2A0" w:rsidR="00225667" w:rsidRPr="007B3B48" w:rsidRDefault="00225667" w:rsidP="00E67E3A">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8</w:t>
            </w:r>
          </w:p>
        </w:tc>
        <w:tc>
          <w:tcPr>
            <w:tcW w:w="554" w:type="pct"/>
            <w:vAlign w:val="center"/>
          </w:tcPr>
          <w:p w14:paraId="7977E7FA" w14:textId="56A334F1" w:rsidR="00225667" w:rsidRPr="007B3B48" w:rsidRDefault="00225667" w:rsidP="00E67E3A">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cs="Calibri"/>
                <w:color w:val="000000"/>
                <w:sz w:val="18"/>
                <w:szCs w:val="18"/>
              </w:rPr>
              <w:t>3</w:t>
            </w:r>
          </w:p>
        </w:tc>
      </w:tr>
    </w:tbl>
    <w:p w14:paraId="741E952A" w14:textId="77777777" w:rsidR="00B00A70" w:rsidRPr="00F0315E" w:rsidRDefault="00B00A70" w:rsidP="00F62D16">
      <w:pPr>
        <w:pStyle w:val="Naslov2"/>
        <w:ind w:left="1276" w:hanging="567"/>
      </w:pPr>
      <w:bookmarkStart w:id="150" w:name="_Toc225865612"/>
      <w:r w:rsidRPr="7D481D26">
        <w:t>Odlučivanje prekršajnih sudova</w:t>
      </w:r>
      <w:bookmarkEnd w:id="150"/>
      <w:r w:rsidRPr="7D481D26">
        <w:t xml:space="preserve"> </w:t>
      </w:r>
    </w:p>
    <w:p w14:paraId="1BDEE2ED" w14:textId="77777777" w:rsidR="00675F9A" w:rsidRPr="00675F9A" w:rsidRDefault="00675F9A" w:rsidP="00675F9A">
      <w:pPr>
        <w:rPr>
          <w:rFonts w:cs="Arial"/>
        </w:rPr>
      </w:pPr>
      <w:r w:rsidRPr="00675F9A">
        <w:rPr>
          <w:rFonts w:cs="Arial"/>
        </w:rPr>
        <w:t xml:space="preserve">Tijekom izvještajnog razdoblja zaprimljeno je 6 odluka prekršajnih sudova, od kojih je 1 odluka Visokog prekršajnog suda RH i 5 odluka prekršajnih sudova, i to četiri presude Općinskog suda u Zadru i jedna presuda Općinskog suda u Zlataru, Stalne službe u Donjoj Stubici. </w:t>
      </w:r>
    </w:p>
    <w:p w14:paraId="50B46893" w14:textId="77777777" w:rsidR="00675F9A" w:rsidRPr="00675F9A" w:rsidRDefault="00675F9A" w:rsidP="00675F9A">
      <w:pPr>
        <w:rPr>
          <w:rFonts w:cs="Arial"/>
        </w:rPr>
      </w:pPr>
      <w:r w:rsidRPr="00675F9A">
        <w:rPr>
          <w:rFonts w:cs="Arial"/>
        </w:rPr>
        <w:t>Općinski sud u Zadru donio je dvije presude kojima je proglasio krivim načelnika Općine Vir (izrečene novčane kazne od 300 eura) zbog počinjenja prekršaja iz članka 62. stavka 1. točke 2. ZPPI-ja jer nije omogućio Povjereniku uvid u informacije koje su predmet postupka, zatim jednu presudu kojom je oslobodio optužbe načelnika Općine Vir da bi počinio prekršaj iz članka 62. stavka 1. točke 2. ZPPI-ja jer nije omogućio Povjereniku uvid u informacije koje su predmet postupka te jednu presudu kojom je oslobodio optužbe direktora Turističke zajednice Općine Vir da bi počinio prekršaj iz članka 62. stavka 1. točke 1. ZPPI-ja jer nije postupio po nalogu Povjerenika.</w:t>
      </w:r>
    </w:p>
    <w:p w14:paraId="341CBE5F" w14:textId="77777777" w:rsidR="00675F9A" w:rsidRPr="00675F9A" w:rsidRDefault="00675F9A" w:rsidP="00675F9A">
      <w:pPr>
        <w:rPr>
          <w:rFonts w:cs="Arial"/>
        </w:rPr>
      </w:pPr>
      <w:r w:rsidRPr="00675F9A">
        <w:rPr>
          <w:rFonts w:cs="Arial"/>
        </w:rPr>
        <w:t xml:space="preserve">Povjerenik je protiv oslobađajućih presuda Općinskog suda u Zadru izjavio žalbe te su postupci pred Visokim prekršajnim sudom RH u tijeku. </w:t>
      </w:r>
    </w:p>
    <w:p w14:paraId="4DC01CBA" w14:textId="1C314FA0" w:rsidR="00675F9A" w:rsidRPr="00675F9A" w:rsidRDefault="00675F9A" w:rsidP="00675F9A">
      <w:pPr>
        <w:rPr>
          <w:rFonts w:cs="Arial"/>
        </w:rPr>
      </w:pPr>
      <w:r w:rsidRPr="00675F9A">
        <w:rPr>
          <w:rFonts w:cs="Arial"/>
        </w:rPr>
        <w:t>Općinski sud u Zlataru, Stalna služba u Donjoj Stubici donio je presudu kojom je oslobodio optužbe gradonačelnika Grada Oroslavja, u vrijeme počinjenja prekršaja, jer je odredbom članka 13. stavka 1. i članka 13.a Prekršajnog zakona propisano da prekršajni progon zastarijeva nakon četiri godine, a počinje teći od dana kad je prekršaj počinjen, s obzirom da je optužnim prijedlogom okrivljeniku stavljeno na teret da nije postupio po odluci nadležnog državnog tijela do 23. prosinca 2020., a do toga datuma mu nije dokazana krivnja, sud ga je oslobodio od optužbe sukladno članku 182. točki 3. Prekršajnog zakona.</w:t>
      </w:r>
    </w:p>
    <w:p w14:paraId="695FA288" w14:textId="51B84AF9" w:rsidR="007B3B48" w:rsidRDefault="00675F9A" w:rsidP="00675F9A">
      <w:pPr>
        <w:rPr>
          <w:rFonts w:cs="Arial"/>
        </w:rPr>
      </w:pPr>
      <w:r w:rsidRPr="00675F9A">
        <w:rPr>
          <w:rFonts w:cs="Arial"/>
        </w:rPr>
        <w:t>Visoki prekršajni sud RH je u 2025. donio 1 odluku kojom je usvojio žalbu Povjerenika protiv presude Općinskog suda u Zadru kojom je oslobođen optužbe direktor Turističke zajednice Općine Vir i predmet je vraćen prvostupanjskom sudu na ponovno suđenje</w:t>
      </w:r>
      <w:r>
        <w:rPr>
          <w:rFonts w:cs="Arial"/>
        </w:rPr>
        <w:t>.</w:t>
      </w:r>
    </w:p>
    <w:p w14:paraId="7C6A7395" w14:textId="761D9EBD" w:rsidR="00192EC8" w:rsidRPr="00F0315E" w:rsidRDefault="00192EC8" w:rsidP="007B3B48">
      <w:pPr>
        <w:rPr>
          <w:rFonts w:cs="Arial"/>
        </w:rPr>
      </w:pPr>
      <w:r w:rsidRPr="00F0315E">
        <w:rPr>
          <w:rFonts w:cs="Arial"/>
        </w:rPr>
        <w:t xml:space="preserve">Podaci o odlukama prekršajnih sudova prikazani su u Tablici </w:t>
      </w:r>
      <w:r w:rsidR="00E00E59" w:rsidRPr="00F0315E">
        <w:rPr>
          <w:rFonts w:cs="Arial"/>
        </w:rPr>
        <w:t>7.2.</w:t>
      </w:r>
    </w:p>
    <w:p w14:paraId="1AE10D52" w14:textId="2A0D6B3E" w:rsidR="00192EC8" w:rsidRPr="00F0315E" w:rsidRDefault="00192EC8" w:rsidP="00540BF5">
      <w:pPr>
        <w:keepNext/>
        <w:widowControl w:val="0"/>
        <w:spacing w:before="240"/>
        <w:rPr>
          <w:rFonts w:cs="Arial"/>
          <w:sz w:val="18"/>
          <w:szCs w:val="18"/>
        </w:rPr>
      </w:pPr>
      <w:r w:rsidRPr="001954AC">
        <w:rPr>
          <w:rFonts w:cs="Arial"/>
          <w:sz w:val="18"/>
          <w:szCs w:val="18"/>
        </w:rPr>
        <w:lastRenderedPageBreak/>
        <w:t xml:space="preserve">Tablica </w:t>
      </w:r>
      <w:r w:rsidR="00E00E59" w:rsidRPr="001954AC">
        <w:rPr>
          <w:rFonts w:cs="Arial"/>
          <w:sz w:val="18"/>
          <w:szCs w:val="18"/>
        </w:rPr>
        <w:t>7.2.</w:t>
      </w:r>
      <w:r w:rsidRPr="001954AC">
        <w:rPr>
          <w:rFonts w:cs="Arial"/>
          <w:sz w:val="18"/>
          <w:szCs w:val="18"/>
        </w:rPr>
        <w:t xml:space="preserve"> Način odlučivanja prekršajnih sudova 20</w:t>
      </w:r>
      <w:r w:rsidR="003D1805" w:rsidRPr="001954AC">
        <w:rPr>
          <w:rFonts w:cs="Arial"/>
          <w:sz w:val="18"/>
          <w:szCs w:val="18"/>
        </w:rPr>
        <w:t>2</w:t>
      </w:r>
      <w:r w:rsidR="001954AC" w:rsidRPr="001954AC">
        <w:rPr>
          <w:rFonts w:cs="Arial"/>
          <w:sz w:val="18"/>
          <w:szCs w:val="18"/>
        </w:rPr>
        <w:t>1</w:t>
      </w:r>
      <w:r w:rsidRPr="001954AC">
        <w:rPr>
          <w:rFonts w:cs="Arial"/>
          <w:sz w:val="18"/>
          <w:szCs w:val="18"/>
        </w:rPr>
        <w:t>.-202</w:t>
      </w:r>
      <w:r w:rsidR="007B3B48" w:rsidRPr="001954AC">
        <w:rPr>
          <w:rFonts w:cs="Arial"/>
          <w:sz w:val="18"/>
          <w:szCs w:val="18"/>
        </w:rPr>
        <w:t>5</w:t>
      </w:r>
      <w:r w:rsidRPr="001954AC">
        <w:rPr>
          <w:rFonts w:cs="Arial"/>
          <w:sz w:val="18"/>
          <w:szCs w:val="18"/>
        </w:rPr>
        <w:t>.</w:t>
      </w:r>
      <w:r w:rsidR="00B92993" w:rsidRPr="00F0315E">
        <w:rPr>
          <w:rFonts w:cs="Arial"/>
          <w:sz w:val="18"/>
          <w:szCs w:val="18"/>
        </w:rPr>
        <w:t xml:space="preserve"> </w:t>
      </w:r>
    </w:p>
    <w:tbl>
      <w:tblPr>
        <w:tblStyle w:val="ListTable2-Accent111"/>
        <w:tblW w:w="9129" w:type="dxa"/>
        <w:tblLayout w:type="fixed"/>
        <w:tblLook w:val="04A0" w:firstRow="1" w:lastRow="0" w:firstColumn="1" w:lastColumn="0" w:noHBand="0" w:noVBand="1"/>
      </w:tblPr>
      <w:tblGrid>
        <w:gridCol w:w="5159"/>
        <w:gridCol w:w="794"/>
        <w:gridCol w:w="794"/>
        <w:gridCol w:w="794"/>
        <w:gridCol w:w="794"/>
        <w:gridCol w:w="794"/>
      </w:tblGrid>
      <w:tr w:rsidR="001954AC" w:rsidRPr="00A960B0" w14:paraId="120BCE4F" w14:textId="77777777" w:rsidTr="001954A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9" w:type="dxa"/>
            <w:tcBorders>
              <w:top w:val="single" w:sz="8" w:space="0" w:color="4472C4" w:themeColor="accent1"/>
              <w:bottom w:val="single" w:sz="8" w:space="0" w:color="4472C4" w:themeColor="accent1"/>
            </w:tcBorders>
            <w:noWrap/>
            <w:vAlign w:val="center"/>
            <w:hideMark/>
          </w:tcPr>
          <w:p w14:paraId="46C8D5BC" w14:textId="2CEE8CDC" w:rsidR="001954AC" w:rsidRPr="00A960B0" w:rsidRDefault="001954AC" w:rsidP="00E67E3A">
            <w:pPr>
              <w:widowControl w:val="0"/>
              <w:spacing w:before="20" w:after="20"/>
              <w:jc w:val="center"/>
              <w:rPr>
                <w:rFonts w:ascii="Roboto" w:hAnsi="Roboto" w:cs="Arial"/>
                <w:sz w:val="18"/>
                <w:szCs w:val="18"/>
                <w:lang w:eastAsia="en-US"/>
              </w:rPr>
            </w:pPr>
          </w:p>
        </w:tc>
        <w:tc>
          <w:tcPr>
            <w:tcW w:w="794" w:type="dxa"/>
            <w:tcBorders>
              <w:top w:val="single" w:sz="8" w:space="0" w:color="4472C4" w:themeColor="accent1"/>
              <w:bottom w:val="single" w:sz="8" w:space="0" w:color="4472C4" w:themeColor="accent1"/>
            </w:tcBorders>
            <w:vAlign w:val="center"/>
          </w:tcPr>
          <w:p w14:paraId="3152E996" w14:textId="2A55C62A" w:rsidR="001954AC" w:rsidRPr="00A960B0" w:rsidRDefault="001954AC" w:rsidP="00E67E3A">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sz w:val="18"/>
                <w:szCs w:val="18"/>
                <w:lang w:eastAsia="en-US"/>
              </w:rPr>
            </w:pPr>
            <w:r w:rsidRPr="00A960B0">
              <w:rPr>
                <w:rFonts w:ascii="Roboto" w:hAnsi="Roboto" w:cs="Arial"/>
                <w:sz w:val="18"/>
                <w:szCs w:val="18"/>
                <w:lang w:eastAsia="en-US"/>
              </w:rPr>
              <w:t>2021</w:t>
            </w:r>
          </w:p>
        </w:tc>
        <w:tc>
          <w:tcPr>
            <w:tcW w:w="794" w:type="dxa"/>
            <w:tcBorders>
              <w:top w:val="single" w:sz="8" w:space="0" w:color="4472C4" w:themeColor="accent1"/>
              <w:bottom w:val="single" w:sz="8" w:space="0" w:color="4472C4" w:themeColor="accent1"/>
            </w:tcBorders>
            <w:vAlign w:val="center"/>
          </w:tcPr>
          <w:p w14:paraId="630527A7" w14:textId="379FFA12" w:rsidR="001954AC" w:rsidRPr="00A960B0" w:rsidRDefault="001954AC" w:rsidP="00E67E3A">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sz w:val="18"/>
                <w:szCs w:val="18"/>
                <w:lang w:eastAsia="en-US"/>
              </w:rPr>
            </w:pPr>
            <w:r w:rsidRPr="00A960B0">
              <w:rPr>
                <w:rFonts w:ascii="Roboto" w:hAnsi="Roboto" w:cs="Arial"/>
                <w:sz w:val="18"/>
                <w:szCs w:val="18"/>
                <w:lang w:eastAsia="en-US"/>
              </w:rPr>
              <w:t>2022</w:t>
            </w:r>
          </w:p>
        </w:tc>
        <w:tc>
          <w:tcPr>
            <w:tcW w:w="794" w:type="dxa"/>
            <w:tcBorders>
              <w:top w:val="single" w:sz="8" w:space="0" w:color="4472C4" w:themeColor="accent1"/>
              <w:bottom w:val="single" w:sz="8" w:space="0" w:color="4472C4" w:themeColor="accent1"/>
            </w:tcBorders>
            <w:vAlign w:val="center"/>
          </w:tcPr>
          <w:p w14:paraId="3E8BB9CB" w14:textId="0F4962F4" w:rsidR="001954AC" w:rsidRPr="00A960B0" w:rsidRDefault="001954AC" w:rsidP="00E67E3A">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sz w:val="18"/>
                <w:szCs w:val="18"/>
                <w:lang w:eastAsia="en-US"/>
              </w:rPr>
            </w:pPr>
            <w:r w:rsidRPr="00A960B0">
              <w:rPr>
                <w:rFonts w:ascii="Roboto" w:hAnsi="Roboto" w:cs="Arial"/>
                <w:sz w:val="18"/>
                <w:szCs w:val="18"/>
                <w:lang w:eastAsia="en-US"/>
              </w:rPr>
              <w:t>2023</w:t>
            </w:r>
          </w:p>
        </w:tc>
        <w:tc>
          <w:tcPr>
            <w:tcW w:w="794" w:type="dxa"/>
            <w:tcBorders>
              <w:top w:val="single" w:sz="8" w:space="0" w:color="4472C4" w:themeColor="accent1"/>
              <w:bottom w:val="single" w:sz="8" w:space="0" w:color="4472C4" w:themeColor="accent1"/>
            </w:tcBorders>
            <w:vAlign w:val="center"/>
          </w:tcPr>
          <w:p w14:paraId="3017E187" w14:textId="0D65D906" w:rsidR="001954AC" w:rsidRPr="00A960B0" w:rsidRDefault="001954AC" w:rsidP="00E67E3A">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sz w:val="18"/>
                <w:szCs w:val="18"/>
                <w:lang w:eastAsia="en-US"/>
              </w:rPr>
            </w:pPr>
            <w:r w:rsidRPr="00A960B0">
              <w:rPr>
                <w:rFonts w:ascii="Roboto" w:hAnsi="Roboto" w:cs="Arial"/>
                <w:sz w:val="18"/>
                <w:szCs w:val="18"/>
                <w:lang w:eastAsia="en-US"/>
              </w:rPr>
              <w:t>2024</w:t>
            </w:r>
          </w:p>
        </w:tc>
        <w:tc>
          <w:tcPr>
            <w:tcW w:w="794" w:type="dxa"/>
            <w:tcBorders>
              <w:top w:val="single" w:sz="8" w:space="0" w:color="4472C4" w:themeColor="accent1"/>
              <w:bottom w:val="single" w:sz="8" w:space="0" w:color="4472C4" w:themeColor="accent1"/>
            </w:tcBorders>
            <w:vAlign w:val="center"/>
          </w:tcPr>
          <w:p w14:paraId="5A47DD90" w14:textId="4926B466" w:rsidR="001954AC" w:rsidRPr="00A960B0" w:rsidRDefault="001954AC" w:rsidP="00E67E3A">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ascii="Roboto" w:hAnsi="Roboto" w:cs="Arial"/>
                <w:sz w:val="18"/>
                <w:szCs w:val="18"/>
                <w:lang w:eastAsia="en-US"/>
              </w:rPr>
            </w:pPr>
            <w:r w:rsidRPr="00A960B0">
              <w:rPr>
                <w:rFonts w:ascii="Roboto" w:hAnsi="Roboto" w:cs="Arial"/>
                <w:sz w:val="18"/>
                <w:szCs w:val="18"/>
                <w:lang w:eastAsia="en-US"/>
              </w:rPr>
              <w:t>202</w:t>
            </w:r>
            <w:r>
              <w:rPr>
                <w:rFonts w:ascii="Roboto" w:hAnsi="Roboto" w:cs="Arial"/>
                <w:sz w:val="18"/>
                <w:szCs w:val="18"/>
                <w:lang w:eastAsia="en-US"/>
              </w:rPr>
              <w:t>5</w:t>
            </w:r>
          </w:p>
        </w:tc>
      </w:tr>
      <w:tr w:rsidR="001954AC" w:rsidRPr="00F0315E" w14:paraId="770977FF" w14:textId="77777777" w:rsidTr="001954A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9" w:type="dxa"/>
            <w:tcBorders>
              <w:top w:val="single" w:sz="8" w:space="0" w:color="4472C4" w:themeColor="accent1"/>
            </w:tcBorders>
            <w:noWrap/>
            <w:vAlign w:val="center"/>
            <w:hideMark/>
          </w:tcPr>
          <w:p w14:paraId="69F65CE0" w14:textId="083E4CA2"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Odluke prvostupanjskih prekršajnih sudova – ukupno</w:t>
            </w:r>
          </w:p>
        </w:tc>
        <w:tc>
          <w:tcPr>
            <w:tcW w:w="794" w:type="dxa"/>
            <w:tcBorders>
              <w:top w:val="single" w:sz="8" w:space="0" w:color="4472C4" w:themeColor="accent1"/>
            </w:tcBorders>
            <w:vAlign w:val="center"/>
          </w:tcPr>
          <w:p w14:paraId="78F8AC6A" w14:textId="3A3C9D2C"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17</w:t>
            </w:r>
          </w:p>
        </w:tc>
        <w:tc>
          <w:tcPr>
            <w:tcW w:w="794" w:type="dxa"/>
            <w:tcBorders>
              <w:top w:val="single" w:sz="8" w:space="0" w:color="4472C4" w:themeColor="accent1"/>
            </w:tcBorders>
            <w:vAlign w:val="center"/>
          </w:tcPr>
          <w:p w14:paraId="73D0E43C" w14:textId="35F3AE94"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8</w:t>
            </w:r>
          </w:p>
        </w:tc>
        <w:tc>
          <w:tcPr>
            <w:tcW w:w="794" w:type="dxa"/>
            <w:tcBorders>
              <w:top w:val="single" w:sz="8" w:space="0" w:color="4472C4" w:themeColor="accent1"/>
            </w:tcBorders>
            <w:vAlign w:val="center"/>
          </w:tcPr>
          <w:p w14:paraId="76D91568" w14:textId="45E07690"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8</w:t>
            </w:r>
          </w:p>
        </w:tc>
        <w:tc>
          <w:tcPr>
            <w:tcW w:w="794" w:type="dxa"/>
            <w:tcBorders>
              <w:top w:val="single" w:sz="8" w:space="0" w:color="4472C4" w:themeColor="accent1"/>
            </w:tcBorders>
            <w:vAlign w:val="center"/>
          </w:tcPr>
          <w:p w14:paraId="6EFEFD66" w14:textId="7EA2E973"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7</w:t>
            </w:r>
          </w:p>
        </w:tc>
        <w:tc>
          <w:tcPr>
            <w:tcW w:w="794" w:type="dxa"/>
            <w:tcBorders>
              <w:top w:val="single" w:sz="8" w:space="0" w:color="4472C4" w:themeColor="accent1"/>
            </w:tcBorders>
            <w:vAlign w:val="center"/>
          </w:tcPr>
          <w:p w14:paraId="4CF53BF1" w14:textId="61D743C4" w:rsidR="001954AC" w:rsidRPr="007B3B48" w:rsidRDefault="00816396"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Pr>
                <w:rFonts w:ascii="Roboto" w:hAnsi="Roboto"/>
                <w:sz w:val="18"/>
                <w:szCs w:val="18"/>
              </w:rPr>
              <w:t>5</w:t>
            </w:r>
          </w:p>
        </w:tc>
      </w:tr>
      <w:tr w:rsidR="001954AC" w:rsidRPr="00F0315E" w14:paraId="36442E88" w14:textId="77777777" w:rsidTr="001954AC">
        <w:trPr>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414D5D9C"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Presuda kojom se okrivljenik oslobađa optužbe</w:t>
            </w:r>
          </w:p>
        </w:tc>
        <w:tc>
          <w:tcPr>
            <w:tcW w:w="794" w:type="dxa"/>
            <w:vAlign w:val="center"/>
          </w:tcPr>
          <w:p w14:paraId="240B8243" w14:textId="2DA3809D"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4</w:t>
            </w:r>
          </w:p>
        </w:tc>
        <w:tc>
          <w:tcPr>
            <w:tcW w:w="794" w:type="dxa"/>
            <w:vAlign w:val="center"/>
          </w:tcPr>
          <w:p w14:paraId="479F4953" w14:textId="3B297A84"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1</w:t>
            </w:r>
          </w:p>
        </w:tc>
        <w:tc>
          <w:tcPr>
            <w:tcW w:w="794" w:type="dxa"/>
            <w:vAlign w:val="center"/>
          </w:tcPr>
          <w:p w14:paraId="016FA977" w14:textId="31CDCE1F"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4</w:t>
            </w:r>
          </w:p>
        </w:tc>
        <w:tc>
          <w:tcPr>
            <w:tcW w:w="794" w:type="dxa"/>
            <w:vAlign w:val="center"/>
          </w:tcPr>
          <w:p w14:paraId="24A0CD46" w14:textId="01BF4A88"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3</w:t>
            </w:r>
          </w:p>
        </w:tc>
        <w:tc>
          <w:tcPr>
            <w:tcW w:w="794" w:type="dxa"/>
            <w:vAlign w:val="center"/>
          </w:tcPr>
          <w:p w14:paraId="54149FD2" w14:textId="7E2C3387"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3</w:t>
            </w:r>
          </w:p>
        </w:tc>
      </w:tr>
      <w:tr w:rsidR="001954AC" w:rsidRPr="00F0315E" w14:paraId="67D2E136" w14:textId="77777777" w:rsidTr="001954A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70B9D8D1"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Rješenje kojim se odbacuje optužni prijedlog</w:t>
            </w:r>
          </w:p>
        </w:tc>
        <w:tc>
          <w:tcPr>
            <w:tcW w:w="794" w:type="dxa"/>
            <w:vAlign w:val="center"/>
          </w:tcPr>
          <w:p w14:paraId="213CE806" w14:textId="0C46E775"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4DF81CCA" w14:textId="6A04EDA9"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0</w:t>
            </w:r>
          </w:p>
        </w:tc>
        <w:tc>
          <w:tcPr>
            <w:tcW w:w="794" w:type="dxa"/>
            <w:vAlign w:val="center"/>
          </w:tcPr>
          <w:p w14:paraId="27B14871" w14:textId="4676C28B"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241B973C" w14:textId="2F241818"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10960F3A" w14:textId="66BBC589"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72205B94" w14:textId="77777777" w:rsidTr="001954AC">
        <w:trPr>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2016B6DA"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Rješenje o spajanju prekršajnih postupaka</w:t>
            </w:r>
          </w:p>
        </w:tc>
        <w:tc>
          <w:tcPr>
            <w:tcW w:w="794" w:type="dxa"/>
            <w:vAlign w:val="center"/>
          </w:tcPr>
          <w:p w14:paraId="1FAC9040" w14:textId="275A655D"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53ECE477" w14:textId="64A33483"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b/>
                <w:bCs/>
                <w:color w:val="000000"/>
                <w:sz w:val="18"/>
                <w:szCs w:val="18"/>
              </w:rPr>
            </w:pPr>
            <w:r w:rsidRPr="007B3B48">
              <w:rPr>
                <w:rFonts w:ascii="Roboto" w:hAnsi="Roboto"/>
                <w:sz w:val="18"/>
                <w:szCs w:val="18"/>
              </w:rPr>
              <w:t>0</w:t>
            </w:r>
          </w:p>
        </w:tc>
        <w:tc>
          <w:tcPr>
            <w:tcW w:w="794" w:type="dxa"/>
            <w:vAlign w:val="center"/>
          </w:tcPr>
          <w:p w14:paraId="6BBDF5F6" w14:textId="00E59B48"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045F156D" w14:textId="4AC88FAB"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1248137D" w14:textId="26928019"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01618A11" w14:textId="77777777" w:rsidTr="001954A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9" w:type="dxa"/>
            <w:vAlign w:val="center"/>
            <w:hideMark/>
          </w:tcPr>
          <w:p w14:paraId="5E662D4E"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Izdan prekršajni nalog</w:t>
            </w:r>
          </w:p>
        </w:tc>
        <w:tc>
          <w:tcPr>
            <w:tcW w:w="794" w:type="dxa"/>
            <w:vAlign w:val="center"/>
          </w:tcPr>
          <w:p w14:paraId="7B2F2802" w14:textId="6A664521"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2</w:t>
            </w:r>
          </w:p>
        </w:tc>
        <w:tc>
          <w:tcPr>
            <w:tcW w:w="794" w:type="dxa"/>
            <w:vAlign w:val="center"/>
          </w:tcPr>
          <w:p w14:paraId="3FC52823" w14:textId="167B0388"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0</w:t>
            </w:r>
          </w:p>
        </w:tc>
        <w:tc>
          <w:tcPr>
            <w:tcW w:w="794" w:type="dxa"/>
            <w:vAlign w:val="center"/>
          </w:tcPr>
          <w:p w14:paraId="1A0EE873" w14:textId="23113737"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758F08BB" w14:textId="08E9442A"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6C57DA60" w14:textId="33B1D98E"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20E05BE8" w14:textId="77777777" w:rsidTr="001954AC">
        <w:trPr>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15FA64F4"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 xml:space="preserve">Presuda kojom se okrivljenik proglašava krivim </w:t>
            </w:r>
          </w:p>
        </w:tc>
        <w:tc>
          <w:tcPr>
            <w:tcW w:w="794" w:type="dxa"/>
            <w:vAlign w:val="center"/>
          </w:tcPr>
          <w:p w14:paraId="47A50E2D" w14:textId="2DB4F5BE"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3</w:t>
            </w:r>
          </w:p>
        </w:tc>
        <w:tc>
          <w:tcPr>
            <w:tcW w:w="794" w:type="dxa"/>
            <w:vAlign w:val="center"/>
          </w:tcPr>
          <w:p w14:paraId="167AC985" w14:textId="5B44D442"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6</w:t>
            </w:r>
          </w:p>
        </w:tc>
        <w:tc>
          <w:tcPr>
            <w:tcW w:w="794" w:type="dxa"/>
            <w:vAlign w:val="center"/>
          </w:tcPr>
          <w:p w14:paraId="11E3A97B" w14:textId="01859F65"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3</w:t>
            </w:r>
          </w:p>
        </w:tc>
        <w:tc>
          <w:tcPr>
            <w:tcW w:w="794" w:type="dxa"/>
            <w:vAlign w:val="center"/>
          </w:tcPr>
          <w:p w14:paraId="4D20A87A" w14:textId="659A387A"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3</w:t>
            </w:r>
          </w:p>
        </w:tc>
        <w:tc>
          <w:tcPr>
            <w:tcW w:w="794" w:type="dxa"/>
            <w:vAlign w:val="center"/>
          </w:tcPr>
          <w:p w14:paraId="17F4AEBE" w14:textId="004A4421"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2</w:t>
            </w:r>
          </w:p>
        </w:tc>
      </w:tr>
      <w:tr w:rsidR="001954AC" w:rsidRPr="00F0315E" w14:paraId="27F6E062" w14:textId="77777777" w:rsidTr="001954A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5A32A58D"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Presuda kojom se odbija optužba zbog zastare</w:t>
            </w:r>
          </w:p>
        </w:tc>
        <w:tc>
          <w:tcPr>
            <w:tcW w:w="794" w:type="dxa"/>
            <w:vAlign w:val="center"/>
          </w:tcPr>
          <w:p w14:paraId="665FE83D" w14:textId="7E05E20A"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04D46B72" w14:textId="22218A7E"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0</w:t>
            </w:r>
          </w:p>
        </w:tc>
        <w:tc>
          <w:tcPr>
            <w:tcW w:w="794" w:type="dxa"/>
            <w:vAlign w:val="center"/>
          </w:tcPr>
          <w:p w14:paraId="5283527E" w14:textId="11C0A014"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16C201D2" w14:textId="0F1D8EB3"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1</w:t>
            </w:r>
          </w:p>
        </w:tc>
        <w:tc>
          <w:tcPr>
            <w:tcW w:w="794" w:type="dxa"/>
            <w:vAlign w:val="center"/>
          </w:tcPr>
          <w:p w14:paraId="63289C09" w14:textId="66AE6551"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09EA2BE6" w14:textId="77777777" w:rsidTr="001954AC">
        <w:trPr>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450AE4A5"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Rješenje kojim se obustavlja prekršajni postupak</w:t>
            </w:r>
          </w:p>
        </w:tc>
        <w:tc>
          <w:tcPr>
            <w:tcW w:w="794" w:type="dxa"/>
            <w:vAlign w:val="center"/>
          </w:tcPr>
          <w:p w14:paraId="00867AD1" w14:textId="69B9F56F"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8</w:t>
            </w:r>
          </w:p>
        </w:tc>
        <w:tc>
          <w:tcPr>
            <w:tcW w:w="794" w:type="dxa"/>
            <w:vAlign w:val="center"/>
          </w:tcPr>
          <w:p w14:paraId="12ED98CC" w14:textId="6F2A6638"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1</w:t>
            </w:r>
          </w:p>
        </w:tc>
        <w:tc>
          <w:tcPr>
            <w:tcW w:w="794" w:type="dxa"/>
            <w:vAlign w:val="center"/>
          </w:tcPr>
          <w:p w14:paraId="13DDB52B" w14:textId="1E701A6B"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1B25DF88" w14:textId="5569797B"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0A2D60E0" w14:textId="07863EA2"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55866DE6" w14:textId="77777777" w:rsidTr="001954A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77A2C4B5"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Odluke Visokog prekršajnog suda RH -ukupno</w:t>
            </w:r>
          </w:p>
        </w:tc>
        <w:tc>
          <w:tcPr>
            <w:tcW w:w="794" w:type="dxa"/>
            <w:vAlign w:val="center"/>
          </w:tcPr>
          <w:p w14:paraId="3CA4E364" w14:textId="7F15F7B3"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9</w:t>
            </w:r>
          </w:p>
        </w:tc>
        <w:tc>
          <w:tcPr>
            <w:tcW w:w="794" w:type="dxa"/>
            <w:vAlign w:val="center"/>
          </w:tcPr>
          <w:p w14:paraId="1F4A10CD" w14:textId="2DB1BB60"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0</w:t>
            </w:r>
          </w:p>
        </w:tc>
        <w:tc>
          <w:tcPr>
            <w:tcW w:w="794" w:type="dxa"/>
            <w:vAlign w:val="center"/>
          </w:tcPr>
          <w:p w14:paraId="1B11C7FA" w14:textId="61D4D55D"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8</w:t>
            </w:r>
          </w:p>
        </w:tc>
        <w:tc>
          <w:tcPr>
            <w:tcW w:w="794" w:type="dxa"/>
            <w:vAlign w:val="center"/>
          </w:tcPr>
          <w:p w14:paraId="4B6A53E1" w14:textId="1221DD85"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4</w:t>
            </w:r>
          </w:p>
        </w:tc>
        <w:tc>
          <w:tcPr>
            <w:tcW w:w="794" w:type="dxa"/>
            <w:vAlign w:val="center"/>
          </w:tcPr>
          <w:p w14:paraId="09B73C06" w14:textId="7B6B4549"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1</w:t>
            </w:r>
          </w:p>
        </w:tc>
      </w:tr>
      <w:tr w:rsidR="001954AC" w:rsidRPr="00F0315E" w14:paraId="28CD7FA6" w14:textId="77777777" w:rsidTr="001954AC">
        <w:trPr>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2132E17B"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Presuda kojom se odbija optužba zbog zastare/ primjene blažeg propisa</w:t>
            </w:r>
          </w:p>
        </w:tc>
        <w:tc>
          <w:tcPr>
            <w:tcW w:w="794" w:type="dxa"/>
            <w:vAlign w:val="center"/>
          </w:tcPr>
          <w:p w14:paraId="4AAE0B8E" w14:textId="25FFEF17"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1</w:t>
            </w:r>
          </w:p>
        </w:tc>
        <w:tc>
          <w:tcPr>
            <w:tcW w:w="794" w:type="dxa"/>
            <w:vAlign w:val="center"/>
          </w:tcPr>
          <w:p w14:paraId="06E48346" w14:textId="40B17780"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0</w:t>
            </w:r>
          </w:p>
        </w:tc>
        <w:tc>
          <w:tcPr>
            <w:tcW w:w="794" w:type="dxa"/>
            <w:vAlign w:val="center"/>
          </w:tcPr>
          <w:p w14:paraId="410B87DD" w14:textId="1DBC0FE8"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1C272A78" w14:textId="134607BE"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3</w:t>
            </w:r>
          </w:p>
        </w:tc>
        <w:tc>
          <w:tcPr>
            <w:tcW w:w="794" w:type="dxa"/>
            <w:vAlign w:val="center"/>
          </w:tcPr>
          <w:p w14:paraId="62B3DA60" w14:textId="20AA7414"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6A0EBF1B" w14:textId="77777777" w:rsidTr="001954A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9" w:type="dxa"/>
            <w:vAlign w:val="center"/>
            <w:hideMark/>
          </w:tcPr>
          <w:p w14:paraId="6EA6D6EC"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Presuda kojom se odbija žalba okrivljenika</w:t>
            </w:r>
          </w:p>
        </w:tc>
        <w:tc>
          <w:tcPr>
            <w:tcW w:w="794" w:type="dxa"/>
            <w:vAlign w:val="center"/>
          </w:tcPr>
          <w:p w14:paraId="5B405D83" w14:textId="35E7558A"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7</w:t>
            </w:r>
          </w:p>
        </w:tc>
        <w:tc>
          <w:tcPr>
            <w:tcW w:w="794" w:type="dxa"/>
            <w:vAlign w:val="center"/>
          </w:tcPr>
          <w:p w14:paraId="3D9E0317" w14:textId="293B879F"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b/>
                <w:bCs/>
                <w:color w:val="000000"/>
                <w:sz w:val="18"/>
                <w:szCs w:val="18"/>
              </w:rPr>
            </w:pPr>
            <w:r w:rsidRPr="007B3B48">
              <w:rPr>
                <w:rFonts w:ascii="Roboto" w:hAnsi="Roboto"/>
                <w:sz w:val="18"/>
                <w:szCs w:val="18"/>
              </w:rPr>
              <w:t>0</w:t>
            </w:r>
          </w:p>
        </w:tc>
        <w:tc>
          <w:tcPr>
            <w:tcW w:w="794" w:type="dxa"/>
            <w:vAlign w:val="center"/>
          </w:tcPr>
          <w:p w14:paraId="1FBD9BCA" w14:textId="2F8EAFDF"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1</w:t>
            </w:r>
          </w:p>
        </w:tc>
        <w:tc>
          <w:tcPr>
            <w:tcW w:w="794" w:type="dxa"/>
            <w:vAlign w:val="center"/>
          </w:tcPr>
          <w:p w14:paraId="69267ABA" w14:textId="286E1E58"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048B2B74" w14:textId="5AFED6E6"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6BC56E7F" w14:textId="77777777" w:rsidTr="001954AC">
        <w:trPr>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52C650F7"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Presuda kojom se prihvaća žalba na odluku prekršajnog suda</w:t>
            </w:r>
          </w:p>
        </w:tc>
        <w:tc>
          <w:tcPr>
            <w:tcW w:w="794" w:type="dxa"/>
            <w:vAlign w:val="center"/>
          </w:tcPr>
          <w:p w14:paraId="580A22DA" w14:textId="5553939B"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5BE1AFEC" w14:textId="5C5461D9"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0</w:t>
            </w:r>
          </w:p>
        </w:tc>
        <w:tc>
          <w:tcPr>
            <w:tcW w:w="794" w:type="dxa"/>
            <w:vAlign w:val="center"/>
          </w:tcPr>
          <w:p w14:paraId="7AA013C2" w14:textId="4A15D901"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5</w:t>
            </w:r>
          </w:p>
        </w:tc>
        <w:tc>
          <w:tcPr>
            <w:tcW w:w="794" w:type="dxa"/>
            <w:vAlign w:val="center"/>
          </w:tcPr>
          <w:p w14:paraId="570005ED" w14:textId="2862E00B"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3B41F0F3" w14:textId="0499A3A3"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1</w:t>
            </w:r>
          </w:p>
        </w:tc>
      </w:tr>
      <w:tr w:rsidR="001954AC" w:rsidRPr="00F0315E" w14:paraId="09D006BD" w14:textId="77777777" w:rsidTr="001954A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tcPr>
          <w:p w14:paraId="102CDE46" w14:textId="77777777" w:rsidR="001954AC" w:rsidRPr="00540BF5" w:rsidRDefault="001954AC" w:rsidP="00E67E3A">
            <w:pPr>
              <w:widowControl w:val="0"/>
              <w:snapToGrid w:val="0"/>
              <w:spacing w:before="20" w:after="20"/>
              <w:jc w:val="left"/>
              <w:rPr>
                <w:rFonts w:ascii="Roboto" w:hAnsi="Roboto"/>
                <w:b w:val="0"/>
                <w:bCs w:val="0"/>
                <w:sz w:val="18"/>
                <w:szCs w:val="18"/>
              </w:rPr>
            </w:pPr>
            <w:r w:rsidRPr="00540BF5">
              <w:rPr>
                <w:rFonts w:ascii="Roboto" w:hAnsi="Roboto"/>
                <w:b w:val="0"/>
                <w:bCs w:val="0"/>
                <w:sz w:val="18"/>
                <w:szCs w:val="18"/>
              </w:rPr>
              <w:t>Presuda kojom se preinačuje prvostupanjska presuda po službenoj dužnosti</w:t>
            </w:r>
          </w:p>
        </w:tc>
        <w:tc>
          <w:tcPr>
            <w:tcW w:w="794" w:type="dxa"/>
            <w:vAlign w:val="center"/>
          </w:tcPr>
          <w:p w14:paraId="37D11202" w14:textId="09AAF153"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47C68F9E" w14:textId="33862ADB"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2780687B" w14:textId="7B06EFB7"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0435067C" w14:textId="0A9581ED"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1</w:t>
            </w:r>
          </w:p>
        </w:tc>
        <w:tc>
          <w:tcPr>
            <w:tcW w:w="794" w:type="dxa"/>
            <w:vAlign w:val="center"/>
          </w:tcPr>
          <w:p w14:paraId="014687AF" w14:textId="34B4572D"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5B0C2FB4" w14:textId="77777777" w:rsidTr="001954AC">
        <w:trPr>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0C9F430D"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Rješenje odbacuje se žalba kao nedopuštena</w:t>
            </w:r>
          </w:p>
        </w:tc>
        <w:tc>
          <w:tcPr>
            <w:tcW w:w="794" w:type="dxa"/>
            <w:vAlign w:val="center"/>
          </w:tcPr>
          <w:p w14:paraId="7CC24A92" w14:textId="63AD8450"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7E3373E5" w14:textId="03793D43"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0</w:t>
            </w:r>
          </w:p>
        </w:tc>
        <w:tc>
          <w:tcPr>
            <w:tcW w:w="794" w:type="dxa"/>
            <w:vAlign w:val="center"/>
          </w:tcPr>
          <w:p w14:paraId="5F70DA17" w14:textId="4F7E091E"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45758C10" w14:textId="41D5454F"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7A5CF411" w14:textId="4C1E6557"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2B8B246F" w14:textId="77777777" w:rsidTr="001954A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9" w:type="dxa"/>
            <w:noWrap/>
            <w:vAlign w:val="center"/>
            <w:hideMark/>
          </w:tcPr>
          <w:p w14:paraId="7D8EEC38"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Rješenje kojim se VPS ili PS proglašava stvarno nenadležnim</w:t>
            </w:r>
          </w:p>
        </w:tc>
        <w:tc>
          <w:tcPr>
            <w:tcW w:w="794" w:type="dxa"/>
            <w:vAlign w:val="center"/>
          </w:tcPr>
          <w:p w14:paraId="3E368034" w14:textId="677BA809"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35104ACA" w14:textId="1E38129D"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0</w:t>
            </w:r>
          </w:p>
        </w:tc>
        <w:tc>
          <w:tcPr>
            <w:tcW w:w="794" w:type="dxa"/>
            <w:vAlign w:val="center"/>
          </w:tcPr>
          <w:p w14:paraId="456FA8C5" w14:textId="462E855D"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2</w:t>
            </w:r>
          </w:p>
        </w:tc>
        <w:tc>
          <w:tcPr>
            <w:tcW w:w="794" w:type="dxa"/>
            <w:vAlign w:val="center"/>
          </w:tcPr>
          <w:p w14:paraId="0DFD8196" w14:textId="19AEB895"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vAlign w:val="center"/>
          </w:tcPr>
          <w:p w14:paraId="1621D8E9" w14:textId="6A6F2057"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30438038" w14:textId="77777777" w:rsidTr="001954AC">
        <w:trPr>
          <w:trHeight w:val="340"/>
        </w:trPr>
        <w:tc>
          <w:tcPr>
            <w:cnfStyle w:val="001000000000" w:firstRow="0" w:lastRow="0" w:firstColumn="1" w:lastColumn="0" w:oddVBand="0" w:evenVBand="0" w:oddHBand="0" w:evenHBand="0" w:firstRowFirstColumn="0" w:firstRowLastColumn="0" w:lastRowFirstColumn="0" w:lastRowLastColumn="0"/>
            <w:tcW w:w="5159" w:type="dxa"/>
            <w:tcBorders>
              <w:bottom w:val="single" w:sz="4" w:space="0" w:color="95B3D7"/>
            </w:tcBorders>
            <w:noWrap/>
            <w:vAlign w:val="center"/>
            <w:hideMark/>
          </w:tcPr>
          <w:p w14:paraId="14017C3C"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Presuda kojom se odbija žalba Povjerenika kao neosnovana</w:t>
            </w:r>
          </w:p>
        </w:tc>
        <w:tc>
          <w:tcPr>
            <w:tcW w:w="794" w:type="dxa"/>
            <w:tcBorders>
              <w:bottom w:val="single" w:sz="4" w:space="0" w:color="95B3D7"/>
            </w:tcBorders>
            <w:vAlign w:val="center"/>
          </w:tcPr>
          <w:p w14:paraId="16C9916E" w14:textId="4447DABD"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tcBorders>
              <w:bottom w:val="single" w:sz="4" w:space="0" w:color="95B3D7"/>
            </w:tcBorders>
            <w:vAlign w:val="center"/>
          </w:tcPr>
          <w:p w14:paraId="7432DC6E" w14:textId="7C18F3C2"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0</w:t>
            </w:r>
          </w:p>
        </w:tc>
        <w:tc>
          <w:tcPr>
            <w:tcW w:w="794" w:type="dxa"/>
            <w:tcBorders>
              <w:bottom w:val="single" w:sz="4" w:space="0" w:color="95B3D7"/>
            </w:tcBorders>
            <w:vAlign w:val="center"/>
          </w:tcPr>
          <w:p w14:paraId="6A9B3AE1" w14:textId="6E5C7D43"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1</w:t>
            </w:r>
          </w:p>
        </w:tc>
        <w:tc>
          <w:tcPr>
            <w:tcW w:w="794" w:type="dxa"/>
            <w:tcBorders>
              <w:bottom w:val="single" w:sz="4" w:space="0" w:color="95B3D7"/>
            </w:tcBorders>
            <w:vAlign w:val="center"/>
          </w:tcPr>
          <w:p w14:paraId="7AF257A8" w14:textId="13ABA373"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tcBorders>
              <w:bottom w:val="single" w:sz="4" w:space="0" w:color="95B3D7"/>
            </w:tcBorders>
            <w:vAlign w:val="center"/>
          </w:tcPr>
          <w:p w14:paraId="7AD09DD2" w14:textId="4762E334" w:rsidR="001954AC" w:rsidRPr="007B3B48" w:rsidRDefault="001954AC" w:rsidP="00E67E3A">
            <w:pPr>
              <w:widowControl w:val="0"/>
              <w:snapToGrid w:val="0"/>
              <w:spacing w:before="20" w:after="20"/>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r w:rsidR="001954AC" w:rsidRPr="00F0315E" w14:paraId="372E08EC" w14:textId="77777777" w:rsidTr="001954A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9" w:type="dxa"/>
            <w:tcBorders>
              <w:bottom w:val="single" w:sz="8" w:space="0" w:color="4472C4" w:themeColor="accent1"/>
            </w:tcBorders>
            <w:vAlign w:val="center"/>
            <w:hideMark/>
          </w:tcPr>
          <w:p w14:paraId="289AB2CC" w14:textId="77777777" w:rsidR="001954AC" w:rsidRPr="00540BF5" w:rsidRDefault="001954AC" w:rsidP="00E67E3A">
            <w:pPr>
              <w:widowControl w:val="0"/>
              <w:snapToGrid w:val="0"/>
              <w:spacing w:before="20" w:after="20"/>
              <w:jc w:val="left"/>
              <w:rPr>
                <w:rFonts w:ascii="Roboto" w:hAnsi="Roboto" w:cs="Calibri"/>
                <w:b w:val="0"/>
                <w:bCs w:val="0"/>
                <w:color w:val="000000"/>
                <w:sz w:val="18"/>
                <w:szCs w:val="18"/>
              </w:rPr>
            </w:pPr>
            <w:r w:rsidRPr="00540BF5">
              <w:rPr>
                <w:rFonts w:ascii="Roboto" w:hAnsi="Roboto"/>
                <w:b w:val="0"/>
                <w:bCs w:val="0"/>
                <w:sz w:val="18"/>
                <w:szCs w:val="18"/>
              </w:rPr>
              <w:t>Rješenje kojim se obustavlja prekršajni postupak</w:t>
            </w:r>
          </w:p>
        </w:tc>
        <w:tc>
          <w:tcPr>
            <w:tcW w:w="794" w:type="dxa"/>
            <w:tcBorders>
              <w:bottom w:val="single" w:sz="8" w:space="0" w:color="4472C4" w:themeColor="accent1"/>
            </w:tcBorders>
            <w:vAlign w:val="center"/>
          </w:tcPr>
          <w:p w14:paraId="2BFBF221" w14:textId="0CED103A"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1</w:t>
            </w:r>
          </w:p>
        </w:tc>
        <w:tc>
          <w:tcPr>
            <w:tcW w:w="794" w:type="dxa"/>
            <w:tcBorders>
              <w:bottom w:val="single" w:sz="8" w:space="0" w:color="4472C4" w:themeColor="accent1"/>
            </w:tcBorders>
            <w:vAlign w:val="center"/>
          </w:tcPr>
          <w:p w14:paraId="0FD42E1C" w14:textId="6BBF38BC"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cs="Calibri"/>
                <w:color w:val="000000"/>
                <w:sz w:val="18"/>
                <w:szCs w:val="18"/>
              </w:rPr>
            </w:pPr>
            <w:r w:rsidRPr="007B3B48">
              <w:rPr>
                <w:rFonts w:ascii="Roboto" w:hAnsi="Roboto"/>
                <w:sz w:val="18"/>
                <w:szCs w:val="18"/>
              </w:rPr>
              <w:t>0</w:t>
            </w:r>
          </w:p>
        </w:tc>
        <w:tc>
          <w:tcPr>
            <w:tcW w:w="794" w:type="dxa"/>
            <w:tcBorders>
              <w:bottom w:val="single" w:sz="8" w:space="0" w:color="4472C4" w:themeColor="accent1"/>
            </w:tcBorders>
            <w:vAlign w:val="center"/>
          </w:tcPr>
          <w:p w14:paraId="567C107F" w14:textId="3E0F7602"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tcBorders>
              <w:bottom w:val="single" w:sz="8" w:space="0" w:color="4472C4" w:themeColor="accent1"/>
            </w:tcBorders>
            <w:vAlign w:val="center"/>
          </w:tcPr>
          <w:p w14:paraId="1FB35D83" w14:textId="6EA485DE"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c>
          <w:tcPr>
            <w:tcW w:w="794" w:type="dxa"/>
            <w:tcBorders>
              <w:bottom w:val="single" w:sz="8" w:space="0" w:color="4472C4" w:themeColor="accent1"/>
            </w:tcBorders>
            <w:vAlign w:val="center"/>
          </w:tcPr>
          <w:p w14:paraId="78A398E9" w14:textId="137C48C7" w:rsidR="001954AC" w:rsidRPr="007B3B48" w:rsidRDefault="001954AC" w:rsidP="00E67E3A">
            <w:pPr>
              <w:widowControl w:val="0"/>
              <w:snapToGrid w:val="0"/>
              <w:spacing w:before="20" w:after="20"/>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7B3B48">
              <w:rPr>
                <w:rFonts w:ascii="Roboto" w:hAnsi="Roboto"/>
                <w:sz w:val="18"/>
                <w:szCs w:val="18"/>
              </w:rPr>
              <w:t>0</w:t>
            </w:r>
          </w:p>
        </w:tc>
      </w:tr>
    </w:tbl>
    <w:p w14:paraId="5DD2C186" w14:textId="77777777" w:rsidR="00B00A70" w:rsidRPr="00F0315E" w:rsidRDefault="00B00A70" w:rsidP="00F62D16">
      <w:pPr>
        <w:pStyle w:val="Naslov2"/>
        <w:ind w:left="1276" w:hanging="567"/>
      </w:pPr>
      <w:bookmarkStart w:id="151" w:name="_Toc225865613"/>
      <w:r w:rsidRPr="7D481D26">
        <w:t>Učinkovitost i doseg sankcioniranja</w:t>
      </w:r>
      <w:bookmarkEnd w:id="151"/>
    </w:p>
    <w:p w14:paraId="3CA9F565" w14:textId="77777777" w:rsidR="00F87419" w:rsidRPr="00F87419" w:rsidRDefault="00F87419" w:rsidP="00F87419">
      <w:pPr>
        <w:widowControl w:val="0"/>
        <w:shd w:val="clear" w:color="auto" w:fill="FFFFFF"/>
        <w:tabs>
          <w:tab w:val="left" w:pos="-1843"/>
        </w:tabs>
        <w:spacing w:before="120"/>
        <w:rPr>
          <w:szCs w:val="23"/>
        </w:rPr>
      </w:pPr>
      <w:r w:rsidRPr="00F87419">
        <w:rPr>
          <w:szCs w:val="23"/>
        </w:rPr>
        <w:t>Povjerenik je tijekom 2025. izrekao prekršajne naloge iz članka 62. ZPPI-ja jer odgovorna osoba u tijelu javne vlasti nije omogućila Povjereniku uvid u informacije koje su predmet postupka, odnosno jer nije dostavila tražene podatke i iz razloga što odgovorna osoba u tijelu javne vlasti u postupku inspekcijskog nadzora nije u roku određenom zapisnikom otklonila utvrđene nezakonitosti, nepravilnosti i nedostatke te što nije dostavila izvješće i dokaze o izvršenju mjera koje su im naređene tim zapisnikom. Na izdane prekršajne naloge odgovorne osobe su izjavile prigovor te su postupci u tijeku.</w:t>
      </w:r>
    </w:p>
    <w:p w14:paraId="5F37E960" w14:textId="77777777" w:rsidR="00F87419" w:rsidRPr="00F87419" w:rsidRDefault="00F87419" w:rsidP="00F87419">
      <w:pPr>
        <w:widowControl w:val="0"/>
        <w:shd w:val="clear" w:color="auto" w:fill="FFFFFF"/>
        <w:tabs>
          <w:tab w:val="left" w:pos="-1843"/>
        </w:tabs>
        <w:spacing w:before="120"/>
        <w:rPr>
          <w:szCs w:val="23"/>
        </w:rPr>
      </w:pPr>
      <w:r w:rsidRPr="00F87419">
        <w:rPr>
          <w:szCs w:val="23"/>
        </w:rPr>
        <w:t>U odnosu na izvještajno razdoblje važno je ukazati na neujednačenost prakse Općinskog suda u Zadru prema kojoj je u jednom predmetu oslobodio krivnje načelnika Općine Vir da bi počinio prekršaj iz članka 62. stavka 1. točke 2. ZPPI-ja jer nije omogućio Povjereniku uvid u informacije koje su predmet postupka, uz obrazloženje da nalog Povjerenika za dostavom informacija nije napisan u formi rješenja. Istu praksu primijenio je Općinski sud u Zadru u predmetu koji se vodio protiv direktora Turističke zajednice Općine Vir kojeg je oslobodio krivnje da bi počinio isti prekršaj, uz obrazloženja da nalog Povjerenika nije napisan u formi rješenja.</w:t>
      </w:r>
    </w:p>
    <w:p w14:paraId="6AA3C896" w14:textId="7F00DEDD" w:rsidR="005A141D" w:rsidRPr="000776E7" w:rsidRDefault="00F87419" w:rsidP="00F87419">
      <w:pPr>
        <w:widowControl w:val="0"/>
        <w:shd w:val="clear" w:color="auto" w:fill="FFFFFF"/>
        <w:tabs>
          <w:tab w:val="left" w:pos="-1843"/>
        </w:tabs>
        <w:spacing w:before="120"/>
        <w:rPr>
          <w:szCs w:val="23"/>
        </w:rPr>
      </w:pPr>
      <w:r w:rsidRPr="00F87419">
        <w:rPr>
          <w:szCs w:val="23"/>
        </w:rPr>
        <w:t xml:space="preserve">Ujedno, isti Sud je u dva predmeta proglasio krivim načelnika Općine Vir zbog počinjenja </w:t>
      </w:r>
      <w:r w:rsidRPr="00F87419">
        <w:rPr>
          <w:szCs w:val="23"/>
        </w:rPr>
        <w:lastRenderedPageBreak/>
        <w:t>prekršaja iz članka 62. stavka 1. točke 2. ZPPI-ja jer nije omogućio Povjereniku uvid u informacije koje su predmet postupka, iako ni u tom slučaju nalog Povjerenika nije bio napisan u formi rješenja (pri čemu ZPPI ne propisuje donošenje rješenja za takve slučaje)</w:t>
      </w:r>
      <w:r w:rsidR="005A141D" w:rsidRPr="00F62729">
        <w:rPr>
          <w:rFonts w:cs="Calibri"/>
          <w:szCs w:val="23"/>
        </w:rPr>
        <w:t>.</w:t>
      </w:r>
    </w:p>
    <w:p w14:paraId="245CE75D" w14:textId="7F9FBEB9" w:rsidR="00D15567" w:rsidRPr="00F0315E" w:rsidRDefault="007349BB" w:rsidP="00EA1BFD">
      <w:pPr>
        <w:pBdr>
          <w:top w:val="single" w:sz="4" w:space="1" w:color="auto"/>
          <w:left w:val="single" w:sz="4" w:space="4" w:color="auto"/>
          <w:bottom w:val="single" w:sz="4" w:space="1" w:color="auto"/>
          <w:right w:val="single" w:sz="4" w:space="4" w:color="auto"/>
        </w:pBdr>
        <w:spacing w:before="240"/>
        <w:rPr>
          <w:rFonts w:cs="Arial"/>
        </w:rPr>
      </w:pPr>
      <w:r w:rsidRPr="007349BB">
        <w:rPr>
          <w:szCs w:val="23"/>
        </w:rPr>
        <w:t>Zaključno, u izvještajnom razdoblju pokrenuto je manje prekršajnih postupaka imajući u vidu primjenu odredbe o izvršenju rješenja kojeg Povjerenik provodi donošenjem rješenja o izvršenju koje se osigurava izricanjem novčane kazne odgovornoj osobi tijela javne vlasti i što su tijela javne vlasti postupala u većem broju predmeta po nalozima Povjerenika. Međutim ukazuje se, kao i u proteklim Izvješćima o provedbi ZPPI-ja, na dugotrajnost postupaka na nekim prekršajnim sudovima ili postupaka po žalbi pred Visokim prekršajnim sudom RH te neujednačenoj praksi pojedinih sudova.</w:t>
      </w:r>
    </w:p>
    <w:p w14:paraId="06C13BB4" w14:textId="00DBCF02" w:rsidR="00DB2A4B" w:rsidRPr="00F0315E" w:rsidRDefault="00DB2A4B" w:rsidP="009E7BE8">
      <w:pPr>
        <w:widowControl w:val="0"/>
        <w:rPr>
          <w:rFonts w:cs="Arial"/>
          <w:sz w:val="23"/>
          <w:szCs w:val="23"/>
        </w:rPr>
      </w:pPr>
      <w:r w:rsidRPr="00F0315E">
        <w:rPr>
          <w:rFonts w:cs="Arial"/>
          <w:sz w:val="23"/>
          <w:szCs w:val="23"/>
        </w:rPr>
        <w:br w:type="page"/>
      </w:r>
    </w:p>
    <w:p w14:paraId="42FE6F04" w14:textId="00F7D769" w:rsidR="00F97385" w:rsidRPr="00F0315E" w:rsidRDefault="00F97385" w:rsidP="007B4CE1">
      <w:pPr>
        <w:pStyle w:val="Naslov1"/>
        <w:numPr>
          <w:ilvl w:val="0"/>
          <w:numId w:val="0"/>
        </w:numPr>
        <w:ind w:left="1134"/>
      </w:pPr>
      <w:bookmarkStart w:id="152" w:name="_Toc162445770"/>
      <w:bookmarkStart w:id="153" w:name="_Toc225865614"/>
      <w:bookmarkStart w:id="154" w:name="_Toc36308960"/>
      <w:r>
        <w:lastRenderedPageBreak/>
        <w:t>B)</w:t>
      </w:r>
      <w:r>
        <w:tab/>
      </w:r>
      <w:r w:rsidR="00B9768B">
        <w:t xml:space="preserve"> </w:t>
      </w:r>
      <w:r>
        <w:t>PRAĆENJE I PROMICANJE PRAVA NA PRISTUP INFORMACIJAMA</w:t>
      </w:r>
      <w:bookmarkEnd w:id="152"/>
      <w:bookmarkEnd w:id="153"/>
    </w:p>
    <w:p w14:paraId="6CE210F1" w14:textId="1CA726E6" w:rsidR="0047536A" w:rsidRPr="00F0315E" w:rsidRDefault="00DE0752" w:rsidP="7D481D26">
      <w:pPr>
        <w:pStyle w:val="Naslov1"/>
      </w:pPr>
      <w:bookmarkStart w:id="155" w:name="_Toc225865615"/>
      <w:r w:rsidRPr="7D481D26">
        <w:t>Praćenje prava na pristup informacijama</w:t>
      </w:r>
      <w:bookmarkEnd w:id="154"/>
      <w:bookmarkEnd w:id="155"/>
    </w:p>
    <w:p w14:paraId="5EF1954D" w14:textId="77777777" w:rsidR="00BE29B6" w:rsidRPr="00BE29B6" w:rsidRDefault="00BE29B6" w:rsidP="00BE29B6">
      <w:pPr>
        <w:rPr>
          <w:rFonts w:cs="Arial"/>
        </w:rPr>
      </w:pPr>
      <w:bookmarkStart w:id="156" w:name="_Toc36308962"/>
      <w:bookmarkStart w:id="157" w:name="_Toc66103160"/>
      <w:bookmarkStart w:id="158" w:name="_Toc192751435"/>
      <w:r w:rsidRPr="00BE29B6">
        <w:rPr>
          <w:rFonts w:cs="Arial"/>
        </w:rPr>
        <w:t>Povjerenik sustavno prati i analizira provedbu ZPPI-ja, određuje sadržaj izvješća te prikuplja izvješća tijela javne vlasti o provedbi Zakona. Prikupljeni podaci se obrađuju i koriste pri izradi godišnjeg izvješća o provedbi ZPPI-ja. Uz to, redovito se izrađuju i objavljuju analize koje se odnose na provedbu pojedinih zakonskih odredbi u određenim skupinama tijela javne vlasti.</w:t>
      </w:r>
    </w:p>
    <w:p w14:paraId="2A00BD9A" w14:textId="56D44EA0" w:rsidR="005A141D" w:rsidRPr="00F0315E" w:rsidRDefault="00BE29B6" w:rsidP="00BE29B6">
      <w:pPr>
        <w:rPr>
          <w:rFonts w:cs="Arial"/>
        </w:rPr>
      </w:pPr>
      <w:r w:rsidRPr="00BE29B6">
        <w:rPr>
          <w:rFonts w:cs="Arial"/>
        </w:rPr>
        <w:t>Rezultati dobiveni kroz provedena praćenja koriste se kao podloga za planiranje i provedbu inspekcijskih nadzora, unaprjeđenje kvalitete edukacijskih aktivnosti te izradu smjernica koje doprinose učinkovitijoj provedbi Zakona.</w:t>
      </w:r>
    </w:p>
    <w:p w14:paraId="5D58A47D" w14:textId="77777777" w:rsidR="00DE0752" w:rsidRPr="00F0315E" w:rsidRDefault="00DE0752" w:rsidP="00F62D16">
      <w:pPr>
        <w:pStyle w:val="Naslov2"/>
        <w:ind w:left="1276" w:hanging="567"/>
      </w:pPr>
      <w:bookmarkStart w:id="159" w:name="_Toc225865616"/>
      <w:r w:rsidRPr="7D481D26">
        <w:t>Proaktivna objava informacija</w:t>
      </w:r>
      <w:bookmarkEnd w:id="156"/>
      <w:bookmarkEnd w:id="157"/>
      <w:bookmarkEnd w:id="158"/>
      <w:bookmarkEnd w:id="159"/>
      <w:r w:rsidRPr="7D481D26">
        <w:t xml:space="preserve"> </w:t>
      </w:r>
    </w:p>
    <w:p w14:paraId="0E53A623" w14:textId="77777777" w:rsidR="00C92027" w:rsidRPr="00C92027" w:rsidRDefault="00C92027" w:rsidP="00C92027">
      <w:pPr>
        <w:rPr>
          <w:rFonts w:cs="Arial"/>
        </w:rPr>
      </w:pPr>
      <w:bookmarkStart w:id="160" w:name="_Toc192751438"/>
      <w:bookmarkStart w:id="161" w:name="_Hlk34898599"/>
      <w:r w:rsidRPr="00C92027">
        <w:rPr>
          <w:rFonts w:cs="Arial"/>
        </w:rPr>
        <w:t>Proaktivna objava informacija na internetskim stranicama tijela javne vlasti predstavlja jedan od ključnih mehanizama informiranja javnosti i osiguravanja transparentnosti u suvremenom društvu.</w:t>
      </w:r>
    </w:p>
    <w:p w14:paraId="3A19461C" w14:textId="77777777" w:rsidR="00C92027" w:rsidRPr="00C92027" w:rsidRDefault="00C92027" w:rsidP="00C92027">
      <w:pPr>
        <w:rPr>
          <w:rFonts w:cs="Arial"/>
        </w:rPr>
      </w:pPr>
      <w:r w:rsidRPr="00C92027">
        <w:rPr>
          <w:rFonts w:cs="Arial"/>
        </w:rPr>
        <w:t>Člankom 10. stavkom 1. Zakona o pravu na pristup informacijama (ZPPI) propisana je obveza tijela javne vlasti da kontinuirano i samoinicijativno objavljuju određene dokumente i informacije na svojim internetskim stranicama, s ciljem njihove lake dostupnosti široj javnosti. Time se građanima omogućuje učinkovit alat demokratskog nadzora nad radom i financiranjem tijela javne vlasti, kao i mogućnost informiranog sudjelovanja u procesima donošenja odluka. Istodobno, provedba ove obveze u skladu sa zakonskim zahtjevima u praksi predstavlja izazov službenicima za informiranje te drugim zaposlenicima zaduženima za pripremu sadržaja i održavanje internetskih stranica tijela.</w:t>
      </w:r>
    </w:p>
    <w:p w14:paraId="76A37F41" w14:textId="77777777" w:rsidR="00C92027" w:rsidRPr="00C92027" w:rsidRDefault="00C92027" w:rsidP="00C92027">
      <w:pPr>
        <w:rPr>
          <w:rFonts w:cs="Arial"/>
        </w:rPr>
      </w:pPr>
      <w:r w:rsidRPr="00C92027">
        <w:rPr>
          <w:rFonts w:cs="Arial"/>
        </w:rPr>
        <w:t>Zakonom su taksativno navedene informacije koje tijela trebaju objavljivati na svojim internetskim stranicama: zakoni i ostali propisi (t.1.), opći akti i odluke (t.2.), nacrti akata za koje se provodi savjetovanje s javnošću (t.3.), planski i strateški dokumenti i izvješća (t.4.), popis skupova podataka te registri i baze pogodni za ponovnu uporabu (t.5.), informacije o javnim uslugama (t.6.), proračunski dokumenti (t.7.), popis korisnika bespovratnih sredstava s visinom iznosa (t.8.), informacije o javnoj nabavi (t.9.), o natječajnim postupcima i njihovim ishodima (t.10.), podaci o unutarnjem ustrojstvu i kontakt podaci (t.11.), zaključci i dokumenti sa sjednica te informacije o formalnim radnim tijelima (t.12.), informacije vezane za ostvarivanje prava na pristup i ponovnu uporabu informacija (t.13.) te razne vijesti, obavijesti i informacije o načinu podnošenja upita (t.14.).</w:t>
      </w:r>
    </w:p>
    <w:p w14:paraId="7955CDB5" w14:textId="77777777" w:rsidR="00C92027" w:rsidRPr="00C92027" w:rsidRDefault="00C92027" w:rsidP="00C92027">
      <w:pPr>
        <w:rPr>
          <w:rFonts w:cs="Arial"/>
        </w:rPr>
      </w:pPr>
      <w:r w:rsidRPr="00C92027">
        <w:rPr>
          <w:rFonts w:cs="Arial"/>
        </w:rPr>
        <w:t>Navedene informacije potrebno je objavljivati pravodobno te osigurati njihovu ažurnost, pri čemu članak 10. stavak 1. Zakona predstavlja minimalni standard proaktivne objave, ne ograničavajući tijela u objavi dodatnih informacija od javnog interesa.</w:t>
      </w:r>
    </w:p>
    <w:p w14:paraId="6BC18493" w14:textId="77777777" w:rsidR="00C92027" w:rsidRPr="00C92027" w:rsidRDefault="00C92027" w:rsidP="00C92027">
      <w:pPr>
        <w:rPr>
          <w:rFonts w:cs="Arial"/>
        </w:rPr>
      </w:pPr>
      <w:r w:rsidRPr="00C92027">
        <w:rPr>
          <w:rFonts w:cs="Arial"/>
        </w:rPr>
        <w:lastRenderedPageBreak/>
        <w:t>Povjerenik kontinuirano potiče tijela javne vlasti na proaktivnu objavu što većeg opsega informacija od javnog značaja, s ciljem postizanja veće razine transparentnosti. Iako bi objava informacija na internetskim stranicama, u skladu s načelima lake pretraživosti i, gdje je primjenjivo, strojne čitljivosti, trebala biti sastavni dio procesa izrade dokumenta ili informacije za koju je propisana proaktivna objava, u praksi se ova obveza često pokazuje zahtjevnom. To je osobito izraženo zbog toga što pojedine odredbe članka 10. stavka 1. Zakona nisu primjenjive na sva tijela javne vlasti, a činjenica da su mnoge informacije predmet objave i prema posebnim propisima dodatno stvara pravne i sadržajne nedoumice.</w:t>
      </w:r>
    </w:p>
    <w:p w14:paraId="7A07E3ED" w14:textId="2FC5A2C7" w:rsidR="00C92027" w:rsidRPr="00C92027" w:rsidRDefault="00C92027" w:rsidP="00C92027">
      <w:pPr>
        <w:rPr>
          <w:rFonts w:cs="Arial"/>
        </w:rPr>
      </w:pPr>
      <w:r w:rsidRPr="00C92027">
        <w:rPr>
          <w:rFonts w:cs="Arial"/>
        </w:rPr>
        <w:t>Na neke od poteškoća u primjeni ove obveze ukazali su i rezultati evaluacije učinaka ZPPI-ja u okviru projekta „Unaprjeđenje provedbe Zakona o pravu na pristup informacijama“, te je evaluacijski tim iznio, između ostalih, preporuke i teze za unaprjeđenje ZPPI-ja u dijelu proaktivne objave informacija. Uz iznesene preporuke i teze, potrebno je dodatno razmotriti i pitanje izmjena odredbi članka 10. Zakona.</w:t>
      </w:r>
    </w:p>
    <w:p w14:paraId="1BBFE3ED" w14:textId="77777777" w:rsidR="00C92027" w:rsidRPr="00C92027" w:rsidRDefault="00C92027" w:rsidP="00C92027">
      <w:pPr>
        <w:rPr>
          <w:rFonts w:cs="Arial"/>
        </w:rPr>
      </w:pPr>
      <w:r w:rsidRPr="00C92027">
        <w:rPr>
          <w:rFonts w:cs="Arial"/>
        </w:rPr>
        <w:t>Primjerice, strojno čitljivi oblik nije primjenjiv na sve informacije koje se objavljuju u okviru proaktivne objave, budući da se taj pojam, sukladno definiciji iz članka 5. Zakona, prvenstveno odnosi na informacije namijenjene ponovnoj uporabi podataka. S obzirom na to da se znatan dio informacija koje tijela objavljuju sastoji od tekstualnih dokumenata, navedena obveza u praksi nije primjenjiva na sve kategorije informacija iz članka 10. Zakona. Stoga je potrebno razmotriti pitanje drugačijeg formuliranja obveze objave svih informacija „u strojno čitljivom obliku“ na način da se jasnije propiše kako se u strojno čitljivom obliku objavljuju one informacije koje se izrađuju u strukturiranom obliku datoteke, odnosno u formatu koji omogućuje jednostavnu obradu podataka putem programskih aplikacija.</w:t>
      </w:r>
    </w:p>
    <w:p w14:paraId="2B97B312" w14:textId="77777777" w:rsidR="00C92027" w:rsidRPr="00C92027" w:rsidRDefault="00C92027" w:rsidP="00C92027">
      <w:pPr>
        <w:rPr>
          <w:rFonts w:cs="Arial"/>
        </w:rPr>
      </w:pPr>
      <w:r w:rsidRPr="0075748C">
        <w:rPr>
          <w:rFonts w:cs="Arial"/>
        </w:rPr>
        <w:t>Nadalje, potrebno je razmotriti i pitanje izmjene strukture informacija koje se objavljuju na temelju pojedinih točaka stavka 1. spomenutog članka 10. Zakona. Primjerice, premještanje financijskih izvješća iz točke 4., koja se odnosi na planske i strateške dokumente, u točku 7., koja se odnosi na objavu financijskih podataka, čime bi se osigurala sadržajna povezanost informacija koje se odnose na financijsko poslovanje tijela javne vlasti.</w:t>
      </w:r>
    </w:p>
    <w:p w14:paraId="75BD8750" w14:textId="77777777" w:rsidR="00C92027" w:rsidRPr="00C92027" w:rsidRDefault="00C92027" w:rsidP="00C92027">
      <w:pPr>
        <w:rPr>
          <w:rFonts w:cs="Arial"/>
        </w:rPr>
      </w:pPr>
      <w:r w:rsidRPr="00C92027">
        <w:rPr>
          <w:rFonts w:cs="Arial"/>
        </w:rPr>
        <w:t>Osim navedenog, potrebno je razmotriti i pitanje izmjene sadržaja točaka 5., 12. i 13., u odnosu na vezane članke, odnosno posebne odredbe koje se odnose na ponovnu uporabu informacija, osiguravanje javnosti rada na sjednicama i službenika za informiranje, kao i pitanje vremenske dostupnosti proaktivno objavljenih informacija.</w:t>
      </w:r>
    </w:p>
    <w:p w14:paraId="02FCF6BC" w14:textId="77777777" w:rsidR="00C92027" w:rsidRPr="00C92027" w:rsidRDefault="00C92027" w:rsidP="00C92027">
      <w:pPr>
        <w:rPr>
          <w:rFonts w:cs="Arial"/>
        </w:rPr>
      </w:pPr>
      <w:r w:rsidRPr="00C92027">
        <w:rPr>
          <w:rFonts w:cs="Arial"/>
        </w:rPr>
        <w:t xml:space="preserve">Od najveće koristi za ostvarivanje više razine transparentnosti i otvorenosti u proaktivnom objavljivanju dokumenata, bilo bi da tijela u što je moguće manjoj mjeri koriste skenirani PDF, koji je potpuno neupotrebljiv s aspekta bilo kakve analize, pretraživanja ili ponovne uporabe. </w:t>
      </w:r>
    </w:p>
    <w:p w14:paraId="3D9248B6" w14:textId="6F1BD675" w:rsidR="00C92027" w:rsidRPr="00C92027" w:rsidRDefault="00C92027" w:rsidP="00C92027">
      <w:pPr>
        <w:rPr>
          <w:rFonts w:cs="Arial"/>
        </w:rPr>
      </w:pPr>
      <w:r w:rsidRPr="00C92027">
        <w:rPr>
          <w:rFonts w:cs="Arial"/>
        </w:rPr>
        <w:t xml:space="preserve">Kao i svake godine, tako i ove valja ukazati da neka manja tijela javne vlasti, koja nemaju dostatne stručne, financijske ili tehničke kapacitete za ispunjenje ove zakonske obveze, još uvijek nisu </w:t>
      </w:r>
      <w:r w:rsidR="001114BA">
        <w:rPr>
          <w:rFonts w:cs="Arial"/>
        </w:rPr>
        <w:t>osigurala</w:t>
      </w:r>
      <w:r w:rsidRPr="00C92027">
        <w:rPr>
          <w:rFonts w:cs="Arial"/>
        </w:rPr>
        <w:t xml:space="preserve"> preduvjete za objavu informacija na vlastitim internetskim stranicama.</w:t>
      </w:r>
    </w:p>
    <w:p w14:paraId="2FFC53B9" w14:textId="77777777" w:rsidR="00C92027" w:rsidRPr="00C92027" w:rsidRDefault="00C92027" w:rsidP="00C92027">
      <w:pPr>
        <w:rPr>
          <w:rFonts w:cs="Arial"/>
        </w:rPr>
      </w:pPr>
      <w:r w:rsidRPr="00C92027">
        <w:rPr>
          <w:rFonts w:cs="Arial"/>
        </w:rPr>
        <w:t xml:space="preserve">Uvidom u Popis tijela javne vlasti, utvrđeno je da 512 od 5.740 ili 8,9% tijela na Popisu nema vlastitu internetsku stranicu, niti je Povjereniku dostavilo poveznicu na podstranicu drugog tijela na kojem objavljuje informacije iz svog djelokruga. Prethodne godine bila je riječ o 9,4% tijela, što znači da je došlo do zanemarivog poboljšanja u ovom dijelu osiguravanja preduvjeta za ispunjavanje obveza koje propisuje članak 10. stavak 1. Zakona. </w:t>
      </w:r>
    </w:p>
    <w:p w14:paraId="7E24B65F" w14:textId="77777777" w:rsidR="00C92027" w:rsidRPr="00C92027" w:rsidRDefault="00C92027" w:rsidP="00C92027">
      <w:pPr>
        <w:rPr>
          <w:rFonts w:cs="Arial"/>
        </w:rPr>
      </w:pPr>
      <w:r w:rsidRPr="00C92027">
        <w:rPr>
          <w:rFonts w:cs="Arial"/>
        </w:rPr>
        <w:lastRenderedPageBreak/>
        <w:t>Uobičajeno, najveći broj otpada na vatrogasne zajednice i postrojbe, veterinarske ambulante, dječje vrtiće, komunalna, vodovodna i druga trgovačka društva u vlasništvu JLP(R)S, društva Crvenog križa, knjižnice, kao i na domove za starije i nemoćne, različite centre i druge ustanove, trgovačka društva, turističke zajednice i dr. Dakle, riječ je o tijelima javne vlasti koja su u najvećoj mjeri identificirana kao tijela koja nisu imenovala službenika za informiranje, koja ne dostavljaju godišnja izvješća o provedbi Zakona i koja nisu upoznata sa zakonskim obvezama, odnosno ne prepoznaju se kao obveznici provedbe ZPPI-ja.</w:t>
      </w:r>
    </w:p>
    <w:p w14:paraId="191F1DAB" w14:textId="6175565E" w:rsidR="005A141D" w:rsidRPr="008E0152" w:rsidRDefault="00C92027" w:rsidP="00C92027">
      <w:pPr>
        <w:rPr>
          <w:rFonts w:cs="Arial"/>
        </w:rPr>
      </w:pPr>
      <w:r w:rsidRPr="00C92027">
        <w:rPr>
          <w:rFonts w:cs="Arial"/>
        </w:rPr>
        <w:t>U nastavku se prikazuju odgovori 5.280 tijela koja su dostavila godišnje izvješće za 2025. po određenim kategorijama informacija.</w:t>
      </w:r>
    </w:p>
    <w:p w14:paraId="35C8B0F5" w14:textId="77777777" w:rsidR="00DE0752" w:rsidRPr="00F0315E" w:rsidRDefault="00DE0752" w:rsidP="009032D7">
      <w:pPr>
        <w:pStyle w:val="Naslov3"/>
        <w:ind w:left="1985"/>
      </w:pPr>
      <w:bookmarkStart w:id="162" w:name="_Toc225865617"/>
      <w:r>
        <w:t>Propisi, opći akti i odluke</w:t>
      </w:r>
      <w:bookmarkEnd w:id="160"/>
      <w:bookmarkEnd w:id="162"/>
    </w:p>
    <w:p w14:paraId="6F398A48" w14:textId="77777777" w:rsidR="00DE0752" w:rsidRDefault="00DE0752" w:rsidP="00DC0397">
      <w:pPr>
        <w:keepNext/>
        <w:widowControl w:val="0"/>
        <w:spacing w:before="240" w:after="0"/>
        <w:rPr>
          <w:rFonts w:cs="Arial"/>
          <w:sz w:val="18"/>
          <w:szCs w:val="18"/>
        </w:rPr>
      </w:pPr>
      <w:r w:rsidRPr="00F0315E">
        <w:rPr>
          <w:rFonts w:cs="Arial"/>
          <w:sz w:val="18"/>
          <w:szCs w:val="18"/>
        </w:rPr>
        <w:t>Slika 8.1. Objava propisa, općih akata i odluka tijela javne vlasti</w:t>
      </w:r>
    </w:p>
    <w:p w14:paraId="23A9B3C0" w14:textId="054FA01A" w:rsidR="005A141D" w:rsidRDefault="00EC4B3D" w:rsidP="00DC0397">
      <w:pPr>
        <w:keepNext/>
        <w:widowControl w:val="0"/>
        <w:spacing w:before="240" w:after="0"/>
        <w:rPr>
          <w:rFonts w:cs="Arial"/>
          <w:sz w:val="18"/>
          <w:szCs w:val="18"/>
        </w:rPr>
      </w:pPr>
      <w:r>
        <w:rPr>
          <w:noProof/>
        </w:rPr>
        <w:drawing>
          <wp:inline distT="0" distB="0" distL="0" distR="0" wp14:anchorId="5ABDBC38" wp14:editId="7B599F26">
            <wp:extent cx="5764696" cy="2829090"/>
            <wp:effectExtent l="0" t="0" r="7620" b="9525"/>
            <wp:docPr id="1333464866" name="Grafikon 1">
              <a:extLst xmlns:a="http://schemas.openxmlformats.org/drawingml/2006/main">
                <a:ext uri="{FF2B5EF4-FFF2-40B4-BE49-F238E27FC236}">
                  <a16:creationId xmlns:a16="http://schemas.microsoft.com/office/drawing/2014/main" id="{67975CEF-9857-44DF-87F8-A0FC4E738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4EE00F" w14:textId="77777777" w:rsidR="00C30558" w:rsidRPr="00C30558" w:rsidRDefault="00C30558" w:rsidP="00C30558">
      <w:pPr>
        <w:spacing w:before="120"/>
        <w:rPr>
          <w:rFonts w:cs="Arial"/>
        </w:rPr>
      </w:pPr>
      <w:bookmarkStart w:id="163" w:name="_Toc192751439"/>
      <w:bookmarkEnd w:id="161"/>
      <w:r w:rsidRPr="00C30558">
        <w:rPr>
          <w:rFonts w:cs="Arial"/>
        </w:rPr>
        <w:t>U 2025. godini, gotovo 79% tijela izvijestilo je da na svojim internetskim stranicama objavljuje zakone, druge propise ili poveznice na njih, dok dodatnih oko 14% tijela navodi da to čini djelomično. Ovi su rezultati vrlo slični onima iz 2024. godine, kada je gotovo 80% tijela potvrdilo objavu propisa, a 13% djelomičnu objavu.</w:t>
      </w:r>
    </w:p>
    <w:p w14:paraId="6AF64C1B" w14:textId="77777777" w:rsidR="00C30558" w:rsidRPr="00C30558" w:rsidRDefault="00C30558" w:rsidP="00C30558">
      <w:pPr>
        <w:rPr>
          <w:rFonts w:cs="Arial"/>
        </w:rPr>
      </w:pPr>
      <w:r w:rsidRPr="00C30558">
        <w:rPr>
          <w:rFonts w:cs="Arial"/>
        </w:rPr>
        <w:t xml:space="preserve">Međutim, u praksi se i dalje često uočava da velik broj tijela ovu obvezu ne ispunjava u potpunosti. Posebno je izražen problem ažurnosti objave, odnosno redovitog unošenja svih izmjena i dopuna propisa koji se odnose na područje rada tijela javne vlasti. </w:t>
      </w:r>
    </w:p>
    <w:p w14:paraId="05D28B8B" w14:textId="77777777" w:rsidR="00C30558" w:rsidRPr="00C30558" w:rsidRDefault="00C30558" w:rsidP="00C30558">
      <w:pPr>
        <w:rPr>
          <w:rFonts w:cs="Arial"/>
        </w:rPr>
      </w:pPr>
      <w:r w:rsidRPr="00C30558">
        <w:rPr>
          <w:rFonts w:cs="Arial"/>
        </w:rPr>
        <w:t>Što se tiče objave općih akata i odluka kojima se utječe na interese korisnika, u 2025. se bilježi blagi porast u odnosu na prethodnu godinu — oko 83% tijela navodi da objavljuje ove dokumente (u 2024. je taj udio iznosio približno 80%). Ipak, i dalje se u praksi primjećuju nedostaci u načinu objave. Česta je pojava da tijela ne objavljuju opće akte i odluke u skladu s načelom lake pretraživosti, kao i da su dostupni akti često neažurni i nepregledni. Oko 7% tijela koja su dostavila izvješće za 2025. navodi da uopće nema objavljene informacije o zakonima, propisima, općim aktima i odlukama, što je slično postotku iz prethodnih izvještajnih razdoblja.</w:t>
      </w:r>
    </w:p>
    <w:p w14:paraId="0E03E018" w14:textId="793FFDFA" w:rsidR="005A141D" w:rsidRDefault="00C30558" w:rsidP="00C30558">
      <w:pPr>
        <w:rPr>
          <w:rFonts w:cs="Arial"/>
        </w:rPr>
      </w:pPr>
      <w:r w:rsidRPr="00C30558">
        <w:rPr>
          <w:rFonts w:cs="Arial"/>
        </w:rPr>
        <w:lastRenderedPageBreak/>
        <w:t>Poseban problem predstavlja i format objave dokumenata. Mnoga tijela i dalje objavljuju skenirane PDF dokumente, ne samo u slučaju propisa i općih akata, već i kad objavljuju druge važne dokumente iz svog djelokruga, poput planova, strateških dokumenata, izvješća i zaključaka sa sjednica. Takav format nije pretraživ i otežava pristup informacijama, stoga bi se njegova uporaba trebala izbjegavati kad god je to moguće, u korist strojno čitljivih i lako pretraživih formata, odnosno uz objavu takvog formata bilo bi poželjno objaviti i format koji je lako pretraživ.</w:t>
      </w:r>
    </w:p>
    <w:p w14:paraId="658EB0CD" w14:textId="04DF8527" w:rsidR="00DE0752" w:rsidRPr="00F0315E" w:rsidRDefault="00DE0752" w:rsidP="009032D7">
      <w:pPr>
        <w:pStyle w:val="Naslov3"/>
        <w:ind w:left="1985"/>
      </w:pPr>
      <w:bookmarkStart w:id="164" w:name="_Toc225865618"/>
      <w:r>
        <w:t>Planiranje i izvještavanje</w:t>
      </w:r>
      <w:bookmarkEnd w:id="163"/>
      <w:bookmarkEnd w:id="164"/>
    </w:p>
    <w:p w14:paraId="2E218370" w14:textId="77777777" w:rsidR="00DE0752" w:rsidRDefault="00DE0752" w:rsidP="00DC0397">
      <w:pPr>
        <w:keepNext/>
        <w:widowControl w:val="0"/>
        <w:spacing w:before="240" w:after="0"/>
        <w:rPr>
          <w:rFonts w:cs="Arial"/>
          <w:sz w:val="18"/>
          <w:szCs w:val="18"/>
        </w:rPr>
      </w:pPr>
      <w:r w:rsidRPr="00F0315E">
        <w:rPr>
          <w:rFonts w:cs="Arial"/>
          <w:sz w:val="18"/>
          <w:szCs w:val="18"/>
        </w:rPr>
        <w:t>Slika 8.2. Objava informacija o planiranju i izvještavanju tijela javne vlasti</w:t>
      </w:r>
    </w:p>
    <w:p w14:paraId="05FB6B44" w14:textId="6CC4EF3B" w:rsidR="005A141D" w:rsidRDefault="005A141D" w:rsidP="00DC0397">
      <w:pPr>
        <w:keepNext/>
        <w:widowControl w:val="0"/>
        <w:spacing w:before="240" w:after="0"/>
        <w:rPr>
          <w:rFonts w:cs="Arial"/>
          <w:sz w:val="18"/>
          <w:szCs w:val="18"/>
        </w:rPr>
      </w:pPr>
      <w:r>
        <w:rPr>
          <w:noProof/>
        </w:rPr>
        <w:drawing>
          <wp:inline distT="0" distB="0" distL="0" distR="0" wp14:anchorId="5A1A8984" wp14:editId="749C7A3F">
            <wp:extent cx="5760720" cy="5624422"/>
            <wp:effectExtent l="0" t="0" r="11430" b="14605"/>
            <wp:docPr id="1240816997" name="Grafikon 1">
              <a:extLst xmlns:a="http://schemas.openxmlformats.org/drawingml/2006/main">
                <a:ext uri="{FF2B5EF4-FFF2-40B4-BE49-F238E27FC236}">
                  <a16:creationId xmlns:a16="http://schemas.microsoft.com/office/drawing/2014/main" id="{C6CA0721-C363-44F9-BB34-06310B984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6E68C5" w14:textId="77777777" w:rsidR="00977C6D" w:rsidRPr="00977C6D" w:rsidRDefault="00977C6D" w:rsidP="0075748C">
      <w:pPr>
        <w:spacing w:before="120"/>
        <w:rPr>
          <w:rFonts w:cs="Arial"/>
        </w:rPr>
      </w:pPr>
      <w:r w:rsidRPr="00977C6D">
        <w:rPr>
          <w:rFonts w:cs="Arial"/>
        </w:rPr>
        <w:t xml:space="preserve">U ovoj skupini dokumenata i u 2025. godini zadržana je relativno visoka razina objave, uz manja odstupanja u odnosu na prethodnu godinu. </w:t>
      </w:r>
    </w:p>
    <w:p w14:paraId="19B606AA" w14:textId="77777777" w:rsidR="00977C6D" w:rsidRPr="00A01248" w:rsidRDefault="00977C6D" w:rsidP="00977C6D">
      <w:pPr>
        <w:rPr>
          <w:rFonts w:cs="Arial"/>
        </w:rPr>
      </w:pPr>
      <w:r w:rsidRPr="00977C6D">
        <w:rPr>
          <w:rFonts w:cs="Arial"/>
        </w:rPr>
        <w:lastRenderedPageBreak/>
        <w:t xml:space="preserve">Najviša razina objave i dalje je uočena kod financijskih dokumenata. Čak 4.637 tijela (oko 88%) navelo je da objavljuje proračun odnosno financijski plan, dok 4.649 tijela (također oko 88%) objavljuje financijska izvješća. Izvješće o izvršenju proračuna ili financijskog plana objavljuje 4.484 tijela, odnosno približno 85% tijela koja su dostavila izvješće. Navedeni rezultati potvrđuju da je upravo </w:t>
      </w:r>
      <w:r w:rsidRPr="00A01248">
        <w:rPr>
          <w:rFonts w:cs="Arial"/>
        </w:rPr>
        <w:t>u području financijskog izvještavanja razina transparentnosti i dalje najviša.</w:t>
      </w:r>
    </w:p>
    <w:p w14:paraId="772A6AF7" w14:textId="77777777" w:rsidR="00977C6D" w:rsidRPr="00A01248" w:rsidRDefault="00977C6D" w:rsidP="00977C6D">
      <w:pPr>
        <w:rPr>
          <w:rFonts w:cs="Arial"/>
        </w:rPr>
      </w:pPr>
      <w:r w:rsidRPr="00A01248">
        <w:rPr>
          <w:rFonts w:cs="Arial"/>
        </w:rPr>
        <w:t>Što se tiče dokumenata koji se odnose na planiranje i izvještavanje o radu tijela, godišnje planove odnosno programe rada objavljuje 4.413 tijela (oko 84%), dok izvješća o radu objavljuje 4.025 tijela (oko 76%). Strateške dokumente objavljuje 3.676 tijela, odnosno približno 70% tijela koja su dostavila izvješće. U odnosu na prethodnu godinu, razina objave ovih dokumenata ostaje stabilna, uz blaga povećanja u pojedinim kategorijama.</w:t>
      </w:r>
    </w:p>
    <w:p w14:paraId="31568350" w14:textId="729998CF" w:rsidR="00977C6D" w:rsidRPr="00A01248" w:rsidRDefault="00977C6D" w:rsidP="00977C6D">
      <w:pPr>
        <w:rPr>
          <w:rFonts w:cs="Arial"/>
        </w:rPr>
      </w:pPr>
      <w:r w:rsidRPr="00A01248">
        <w:rPr>
          <w:rFonts w:cs="Arial"/>
        </w:rPr>
        <w:t>Kada je riječ o dokumentima iz područja javne nabave, i dalje je vidljiva relativno visoka razina objave među tijelima na koja se primjenjuju obveze iz Zakona o javnoj nabavi. Plan nabave objavljuje 4.031 tijelo, dok je registar ugovora o javnoj nabavi objavilo 3.306 tijela. Kao i prethodnih godina, uočava se određeno odstupanje u odgovorima tijela, s obzirom na to da 725 tijela više navodi da objavljuje plan nabave, ali ne i registar ugovora, iako obveza objave plana nabave u pravilu podrazumijeva i obvezu objave registra ugovora. Ova obveza se smatra ispunjenom i u slučaju objave u Elektroničkom oglasniku javne nabave Republike Hrvatske, uz poveznicu na internetskoj stranici tijela.</w:t>
      </w:r>
    </w:p>
    <w:p w14:paraId="5EF85805" w14:textId="77777777" w:rsidR="00977C6D" w:rsidRPr="00977C6D" w:rsidRDefault="00977C6D" w:rsidP="00977C6D">
      <w:pPr>
        <w:rPr>
          <w:rFonts w:cs="Arial"/>
        </w:rPr>
      </w:pPr>
      <w:r w:rsidRPr="00A01248">
        <w:rPr>
          <w:rFonts w:cs="Arial"/>
        </w:rPr>
        <w:t>Slično kao i ranijih godina, najniža razina objave zabilježena je kod objave popisa korisnika donacija, sponzorstava i drugih bespovratnih sredstava. Samo 2.112 tijela (oko 40%) navelo je da objavljuje navedeni popis. Istodobno je</w:t>
      </w:r>
      <w:r w:rsidRPr="00977C6D">
        <w:rPr>
          <w:rFonts w:cs="Arial"/>
        </w:rPr>
        <w:t xml:space="preserve"> 1.941 tijelo (oko 37%) istaknulo da se predmetna obveza na njih ne odnosi, dok je 711 tijela (oko 13%) navelo da takav popis ne objavljuje, a 516 tijela (oko 10%) da ga objavljuje djelomično.</w:t>
      </w:r>
    </w:p>
    <w:p w14:paraId="7855AE5A" w14:textId="77777777" w:rsidR="00977C6D" w:rsidRPr="00977C6D" w:rsidRDefault="00977C6D" w:rsidP="00977C6D">
      <w:pPr>
        <w:rPr>
          <w:rFonts w:cs="Arial"/>
        </w:rPr>
      </w:pPr>
      <w:r w:rsidRPr="00977C6D">
        <w:rPr>
          <w:rFonts w:cs="Arial"/>
        </w:rPr>
        <w:t>Vezano uz predmetnu obvezu iz članka 10. stavka 1. točke 8. ZPPI-ja, Povjerenik je u rubrici „Iz prakse Povjerenika“ već u 2024. objavio mišljenje prema kojem se ova obveza smatra ispunjenom ako tijelo pravilno primjenjuje Naputak o okvirnom sadržaju, minimalnom skupu podataka te načinu javne objave informacija o trošenju sredstava na mrežnim stranicama JLP(R)S te proračunskih i izvanproračunskih korisnika državnog proračuna i JLP(R)S, koji je u primjeni od siječnja 2024. godine.</w:t>
      </w:r>
    </w:p>
    <w:p w14:paraId="0A0E9A2D" w14:textId="77777777" w:rsidR="00977C6D" w:rsidRPr="00977C6D" w:rsidRDefault="00977C6D" w:rsidP="00977C6D">
      <w:pPr>
        <w:rPr>
          <w:rFonts w:cs="Arial"/>
        </w:rPr>
      </w:pPr>
      <w:r w:rsidRPr="00977C6D">
        <w:rPr>
          <w:rFonts w:cs="Arial"/>
        </w:rPr>
        <w:t>Prema navedenom Naputku, JLP(R)S te njihovi proračunski i izvanproračunski korisnici dužni su na mjesečnoj razini objavljivati informacije o svim isplatama pravnim i fizičkim osobama iz proračuna odnosno financijskog plana, po bilo kojoj osnovi, izuzev informacija koje predstavljaju klasificirani podatak ili čija bi objava bila protivna posebnim propisima. Objavljene informacije moraju biti lako dostupne, pretražive i u strojno čitljivom obliku, kako je propisano Zakonom. Primatelji sredstava, sukladno članku 3. Naputka, obuhvaćaju i korisnike bespovratnih sredstava, donacija, sponzorstava i pomoći dodijeljenih putem javnih poziva ili javnih natječaja.</w:t>
      </w:r>
    </w:p>
    <w:p w14:paraId="6D3D5DFA" w14:textId="77777777" w:rsidR="00977C6D" w:rsidRPr="00977C6D" w:rsidRDefault="00977C6D" w:rsidP="00977C6D">
      <w:pPr>
        <w:rPr>
          <w:rFonts w:cs="Arial"/>
        </w:rPr>
      </w:pPr>
      <w:r w:rsidRPr="00977C6D">
        <w:rPr>
          <w:rFonts w:cs="Arial"/>
        </w:rPr>
        <w:t xml:space="preserve">Stoga se, iz perspektive ZPPI-ja, objavom mjesečnih XLS tablica o isplatama, sukladno Naputku, smatra ispunjenom i obveza objave popisa donacija, sponzorstava i drugih bespovratnih sredstava iz članka 10. stavka 1. točke 8. Zakona. Unatoč tome, i u ovom izvještajnom razdoblju vidljivo je da dio tijela i dalje ne prepoznaje ovu povezanost, što može </w:t>
      </w:r>
      <w:r w:rsidRPr="00977C6D">
        <w:rPr>
          <w:rFonts w:cs="Arial"/>
        </w:rPr>
        <w:lastRenderedPageBreak/>
        <w:t>biti jedan od razloga relativno niskog broja pozitivnih odgovora na pitanje o objavi predmetnog popisa.</w:t>
      </w:r>
    </w:p>
    <w:p w14:paraId="28C66816" w14:textId="664B3169" w:rsidR="00CA3DD6" w:rsidRPr="008E0152" w:rsidRDefault="00977C6D" w:rsidP="00977C6D">
      <w:pPr>
        <w:rPr>
          <w:rFonts w:cs="Arial"/>
        </w:rPr>
      </w:pPr>
      <w:r w:rsidRPr="00977C6D">
        <w:rPr>
          <w:rFonts w:cs="Arial"/>
        </w:rPr>
        <w:t>Kada je riječ o preglednosti, ažurnosti i formatu objave, i dalje se u praksi uočava da dio tijela ne ispunjava u potpunosti obveze objave informacija o planiranju i izvještavanju iz članka 10. stavka 1. točaka 4., 7., 8. i 9. ZPPI-ja. Iako odgovori iz dostavljenih izvješća upućuju na relativno visoku razinu formalnog ispunjavanja obveza, provjerom internetskih stranica tijela često se utvrđuje da dokumenti nisu objavljeni u strojno čitljivom formatu, da nisu ažurirani ili da nije dostupna arhiva dokumenata za prethodne godine, što smanjuje njihovu stvarnu dostupnost i uporabljivost za javnost.</w:t>
      </w:r>
    </w:p>
    <w:p w14:paraId="56D9CF9F" w14:textId="77777777" w:rsidR="00DE0752" w:rsidRPr="00F0315E" w:rsidRDefault="00DE0752" w:rsidP="009032D7">
      <w:pPr>
        <w:pStyle w:val="Naslov3"/>
        <w:ind w:left="1985"/>
      </w:pPr>
      <w:bookmarkStart w:id="165" w:name="_Toc192751440"/>
      <w:bookmarkStart w:id="166" w:name="_Toc225865619"/>
      <w:r>
        <w:t>Organizacija i rad</w:t>
      </w:r>
      <w:bookmarkEnd w:id="165"/>
      <w:bookmarkEnd w:id="166"/>
    </w:p>
    <w:p w14:paraId="57B9541A" w14:textId="4B1561E6" w:rsidR="00DE0752" w:rsidRPr="00F0315E" w:rsidRDefault="00DE0752" w:rsidP="00BB23CE">
      <w:pPr>
        <w:keepNext/>
        <w:widowControl w:val="0"/>
        <w:spacing w:before="240" w:after="240"/>
        <w:rPr>
          <w:rFonts w:cs="Arial"/>
          <w:sz w:val="23"/>
          <w:szCs w:val="23"/>
        </w:rPr>
      </w:pPr>
      <w:r w:rsidRPr="00F0315E">
        <w:rPr>
          <w:rFonts w:cs="Arial"/>
          <w:sz w:val="18"/>
          <w:szCs w:val="18"/>
        </w:rPr>
        <w:t>Slika 8.3. Objava informacija o organizaciji i radu tijela javne vlasti</w:t>
      </w:r>
    </w:p>
    <w:p w14:paraId="7BDC442E" w14:textId="3802C0C7" w:rsidR="00DE0752" w:rsidRPr="00F0315E" w:rsidRDefault="00CA3DD6" w:rsidP="00DE0752">
      <w:pPr>
        <w:keepNext/>
        <w:spacing w:after="0"/>
        <w:rPr>
          <w:rFonts w:cs="Arial"/>
          <w:sz w:val="23"/>
          <w:szCs w:val="23"/>
        </w:rPr>
      </w:pPr>
      <w:r>
        <w:rPr>
          <w:noProof/>
        </w:rPr>
        <w:drawing>
          <wp:inline distT="0" distB="0" distL="0" distR="0" wp14:anchorId="5CAA5C65" wp14:editId="47E90DCC">
            <wp:extent cx="5797550" cy="3181350"/>
            <wp:effectExtent l="0" t="0" r="0" b="0"/>
            <wp:docPr id="2037292453" name="Grafikon 1">
              <a:extLst xmlns:a="http://schemas.openxmlformats.org/drawingml/2006/main">
                <a:ext uri="{FF2B5EF4-FFF2-40B4-BE49-F238E27FC236}">
                  <a16:creationId xmlns:a16="http://schemas.microsoft.com/office/drawing/2014/main" id="{008345E2-0705-445A-9567-48B57331A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D71FEF" w14:textId="77777777" w:rsidR="007A37CA" w:rsidRPr="007A37CA" w:rsidRDefault="007A37CA" w:rsidP="007A37CA">
      <w:pPr>
        <w:spacing w:before="120"/>
        <w:rPr>
          <w:rFonts w:cs="Arial"/>
        </w:rPr>
      </w:pPr>
      <w:r w:rsidRPr="007A37CA">
        <w:rPr>
          <w:rFonts w:cs="Arial"/>
        </w:rPr>
        <w:t>Pravodobna i potpuna objava informacija o unutarnjem ustrojstvu tijela, dostupnim kontaktima, natječajnim postupcima te javnim uslugama koje tijela pružaju predstavlja važan preduvjet za transparentno djelovanje i učinkovitu komunikaciju s građanima i drugim korisnicima. Dostupnost takvih informacija omogućuje javnosti bolji uvid u način rada tijela, olakšava ostvarivanje prava i usluga te pridonosi većoj otvorenosti javne uprave.</w:t>
      </w:r>
    </w:p>
    <w:p w14:paraId="56F0C1E7" w14:textId="77777777" w:rsidR="007A37CA" w:rsidRPr="007A37CA" w:rsidRDefault="007A37CA" w:rsidP="007A37CA">
      <w:pPr>
        <w:spacing w:before="120"/>
        <w:rPr>
          <w:rFonts w:cs="Arial"/>
        </w:rPr>
      </w:pPr>
      <w:r w:rsidRPr="007A37CA">
        <w:rPr>
          <w:rFonts w:cs="Arial"/>
        </w:rPr>
        <w:t xml:space="preserve">Prema podacima iz dostavljenih izvješća za 2025. godinu, 86,5% tijela navelo je da na svojim internetskim stranicama objavljuje informacije o raspisanim natječajima, što je jednaka razina kao i u 2024. godini. Istodobno, 75% tijela izjavilo je da </w:t>
      </w:r>
      <w:r w:rsidRPr="00A01248">
        <w:rPr>
          <w:rFonts w:cs="Arial"/>
        </w:rPr>
        <w:t>objavljuje obavijesti o ishodima natječajnih postupaka, što predstavlja određeni napredak</w:t>
      </w:r>
      <w:r w:rsidRPr="007A37CA">
        <w:rPr>
          <w:rFonts w:cs="Arial"/>
        </w:rPr>
        <w:t xml:space="preserve"> u odnosu na 71% zabilježenih godinu ranije. Unatoč tom poboljšanju, i dalje postoji znatan broj tijela koja objavljuju informacije o raspisivanju natječaja, ali ne i o njihovim rezultatima. Tako je čak 624 tijela koja su navela da objavljuju natječaje odgovorilo da ne objavljuje obavijesti o njihovu ishodu, premda je taj broj manji nego prethodne godine (783 tijela).</w:t>
      </w:r>
    </w:p>
    <w:p w14:paraId="6D4BAFF4" w14:textId="77777777" w:rsidR="007A37CA" w:rsidRPr="007A37CA" w:rsidRDefault="007A37CA" w:rsidP="007A37CA">
      <w:pPr>
        <w:spacing w:before="120"/>
        <w:rPr>
          <w:rFonts w:cs="Arial"/>
        </w:rPr>
      </w:pPr>
      <w:r w:rsidRPr="007A37CA">
        <w:rPr>
          <w:rFonts w:cs="Arial"/>
        </w:rPr>
        <w:lastRenderedPageBreak/>
        <w:t>Informacije o unutarnjem ustrojstvu tijela i kontakt podacima prema vlastitim navodima objavljuje oko 84% tijela, što je na razini rezultata iz 2024. godine. Međutim, uvidom u sadržaj internetskih stranica tijela prilikom praćenja i nadzora i dalje je vidljivo kako objava tih informacija nije uvijek potpuna. U praksi se nerijetko događa da tijela objave osnovni prikaz ustrojstva, ali pritom izostave imena voditelja pojedinih ustrojstvenih jedinica, osobito na nižim razinama organizacije, kao i njihove izravne kontakt podatke.</w:t>
      </w:r>
    </w:p>
    <w:p w14:paraId="0BAA1935" w14:textId="77777777" w:rsidR="007A37CA" w:rsidRPr="007A37CA" w:rsidRDefault="007A37CA" w:rsidP="007A37CA">
      <w:pPr>
        <w:spacing w:before="120"/>
        <w:rPr>
          <w:rFonts w:cs="Arial"/>
        </w:rPr>
      </w:pPr>
      <w:r w:rsidRPr="007A37CA">
        <w:rPr>
          <w:rFonts w:cs="Arial"/>
        </w:rPr>
        <w:t xml:space="preserve">Kada </w:t>
      </w:r>
      <w:r w:rsidRPr="00A01248">
        <w:rPr>
          <w:rFonts w:cs="Arial"/>
        </w:rPr>
        <w:t>je riječ o objavi informacija o javnim uslugama koje tijela pružaju, u 2025. godini zabilježeno je blago poboljšanje u odnosu na prethodnu godinu. Oko 60% tijela navelo je da objavljuje informacije o uslugama koje pruža, što je približno dva postotna boda više nego u 2024. godini. S druge strane, gotovo 7%</w:t>
      </w:r>
      <w:r w:rsidRPr="007A37CA">
        <w:rPr>
          <w:rFonts w:cs="Arial"/>
        </w:rPr>
        <w:t xml:space="preserve"> tijela izjavilo je da takve informacije ne objavljuje, dok jednak udio tijela kao i prethodne godine (22%), smatra da se navedena obveza na njih ne odnosi.</w:t>
      </w:r>
    </w:p>
    <w:p w14:paraId="56E11ED5" w14:textId="1795B995" w:rsidR="00CA3DD6" w:rsidRPr="008E0152" w:rsidRDefault="007A37CA" w:rsidP="007A37CA">
      <w:pPr>
        <w:spacing w:before="120"/>
        <w:rPr>
          <w:rFonts w:cs="Arial"/>
        </w:rPr>
      </w:pPr>
      <w:r w:rsidRPr="007A37CA">
        <w:rPr>
          <w:rFonts w:cs="Arial"/>
        </w:rPr>
        <w:t>U pogledu ove kategorije informacija i dalje se uočavaju određene nepravilnosti u praksi. Na internetskim stranicama pojedinih tijela obrasci potrebni za ostvarivanje pojedinih usluga često su objavljeni u formatima koji otežavaju njihovo preuzimanje ili daljnju obradu, dok su opisne informacije o samoj usluzi, postupku njezina ostvarivanja i potrebnoj dokumentaciji ponekad nedostatne ili nejasne. Zbog toga korisnici nerijetko nemaju potpuni uvid u način ostvarivanja pojedine usluge, što može otežati ili usporiti postupak njezina korištenja.</w:t>
      </w:r>
    </w:p>
    <w:p w14:paraId="6FF088A7" w14:textId="77777777" w:rsidR="00DE0752" w:rsidRPr="00F0315E" w:rsidRDefault="00DE0752" w:rsidP="009032D7">
      <w:pPr>
        <w:pStyle w:val="Naslov3"/>
        <w:ind w:left="1985"/>
      </w:pPr>
      <w:bookmarkStart w:id="167" w:name="_Toc192751443"/>
      <w:bookmarkStart w:id="168" w:name="_Toc225865620"/>
      <w:r>
        <w:t>Pravo na pristup i ponovnu uporabu informacija</w:t>
      </w:r>
      <w:bookmarkEnd w:id="167"/>
      <w:bookmarkEnd w:id="168"/>
    </w:p>
    <w:p w14:paraId="79B75E9C" w14:textId="6E3E4F86" w:rsidR="00DE0752" w:rsidRPr="00F0315E" w:rsidRDefault="00DE0752" w:rsidP="00DC0397">
      <w:pPr>
        <w:keepNext/>
        <w:widowControl w:val="0"/>
        <w:spacing w:before="240" w:after="0"/>
        <w:rPr>
          <w:rFonts w:cs="Arial"/>
          <w:sz w:val="18"/>
          <w:szCs w:val="18"/>
        </w:rPr>
      </w:pPr>
      <w:r w:rsidRPr="00F0315E">
        <w:rPr>
          <w:rFonts w:cs="Arial"/>
          <w:sz w:val="18"/>
          <w:szCs w:val="18"/>
        </w:rPr>
        <w:t>Slika 8.</w:t>
      </w:r>
      <w:r w:rsidR="00E00E59" w:rsidRPr="00F0315E">
        <w:rPr>
          <w:rFonts w:cs="Arial"/>
          <w:sz w:val="18"/>
          <w:szCs w:val="18"/>
        </w:rPr>
        <w:t>4</w:t>
      </w:r>
      <w:r w:rsidRPr="00F0315E">
        <w:rPr>
          <w:rFonts w:cs="Arial"/>
          <w:sz w:val="18"/>
          <w:szCs w:val="18"/>
        </w:rPr>
        <w:t>. Objava informacija o pravu na pristup i ponovnoj uporabi informacija</w:t>
      </w:r>
    </w:p>
    <w:p w14:paraId="0AB56EE7" w14:textId="305ED293" w:rsidR="00DE0752" w:rsidRPr="00F0315E" w:rsidRDefault="00CA3DD6" w:rsidP="00DE0752">
      <w:pPr>
        <w:keepNext/>
        <w:spacing w:before="240"/>
        <w:rPr>
          <w:rFonts w:cs="Arial"/>
          <w:sz w:val="23"/>
          <w:szCs w:val="23"/>
        </w:rPr>
      </w:pPr>
      <w:r>
        <w:rPr>
          <w:noProof/>
        </w:rPr>
        <w:drawing>
          <wp:inline distT="0" distB="0" distL="0" distR="0" wp14:anchorId="40C11669" wp14:editId="6E4E2B89">
            <wp:extent cx="5760720" cy="3226279"/>
            <wp:effectExtent l="0" t="0" r="11430" b="9525"/>
            <wp:docPr id="758436188" name="Grafikon 1">
              <a:extLst xmlns:a="http://schemas.openxmlformats.org/drawingml/2006/main">
                <a:ext uri="{FF2B5EF4-FFF2-40B4-BE49-F238E27FC236}">
                  <a16:creationId xmlns:a16="http://schemas.microsoft.com/office/drawing/2014/main" id="{4B2E81A9-BC9F-4CB2-B34B-CA0F043CB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3DC06C" w14:textId="77777777" w:rsidR="00992334" w:rsidRPr="00992334" w:rsidRDefault="00992334" w:rsidP="00992334">
      <w:pPr>
        <w:rPr>
          <w:rFonts w:cs="Arial"/>
        </w:rPr>
      </w:pPr>
      <w:r w:rsidRPr="00992334">
        <w:rPr>
          <w:rFonts w:cs="Arial"/>
        </w:rPr>
        <w:t>Gotovo 92% tijela odgovorilo je da ima objavljenu obavijest o načinu i uvjetima ostvarivanja prava na pristup i ponovnu uporabu informacija te njih još oko 5% da je to učinilo djelomično. U odnosu na 2024. godinu bilježi se blagi porast u pogledu formalnog ispunjavanja ove obveze.</w:t>
      </w:r>
    </w:p>
    <w:p w14:paraId="180BE852" w14:textId="77777777" w:rsidR="00992334" w:rsidRPr="00992334" w:rsidRDefault="00992334" w:rsidP="00992334">
      <w:pPr>
        <w:rPr>
          <w:rFonts w:cs="Arial"/>
        </w:rPr>
      </w:pPr>
      <w:r w:rsidRPr="00992334">
        <w:rPr>
          <w:rFonts w:cs="Arial"/>
        </w:rPr>
        <w:lastRenderedPageBreak/>
        <w:t>Međutim, u praksi se i dalje često uočava nesklad između odgovora koje tijela navode u upitnicima i stvarnog stanja na njihovim internetskim stranicama. Pregledom rubrika posvećenih pravu na pristup informacijama nerijetko se utvrđuje da su objavljene obavijesti vrlo sažete, sadržajno nepotpune ili neažurirane. Također je česta pojava da su na stranicama i dalje dostupne zastarjele verzije relevantnih dokumenata, dok se pitanje ponovne uporabe informacija u mnogim slučajevima uopće ne spominje ili je obrađeno tek marginalno.</w:t>
      </w:r>
    </w:p>
    <w:p w14:paraId="1BDC59A6" w14:textId="77777777" w:rsidR="00992334" w:rsidRPr="00992334" w:rsidRDefault="00992334" w:rsidP="00992334">
      <w:pPr>
        <w:rPr>
          <w:rFonts w:cs="Arial"/>
        </w:rPr>
      </w:pPr>
      <w:r w:rsidRPr="00992334">
        <w:rPr>
          <w:rFonts w:cs="Arial"/>
        </w:rPr>
        <w:t>Kontakt podatke službenika za informiranje objavilo je 95% tijela, što je jednaka razina kao i prethodne godine. Kada je riječ o objavi pomoćnih obrazaca za ostvarivanje prava, i dalje se uočava razlika u zastupljenosti pojedinih obrazaca. Najmanji broj tijela objavljuje obrazac zahtjeva za dopunu ili ispravak informacije (80,5%), dok obrazac zahtjeva za pristup informacijama objavljuje oko 90% tijela.</w:t>
      </w:r>
    </w:p>
    <w:p w14:paraId="6F67F032" w14:textId="77777777" w:rsidR="00992334" w:rsidRPr="00992334" w:rsidRDefault="00992334" w:rsidP="00992334">
      <w:pPr>
        <w:rPr>
          <w:rFonts w:cs="Arial"/>
        </w:rPr>
      </w:pPr>
      <w:r w:rsidRPr="00992334">
        <w:rPr>
          <w:rFonts w:cs="Arial"/>
        </w:rPr>
        <w:t>U pogledu obrasca zahtjeva za ponovnu uporabu informacija, 254 tijela (oko 5%) navela su da se obveza njegove objave na njih ne odnosi. Naime, tijela iz članka 29. stavka 2. Zakona nisu obvezna postupati po zahtjevima za ponovnu uporabu informacija pa samim time nisu dužna ni objaviti predmetni obrazac. Kada se izuzmu ta tijela, proizlazi da je 86% tijela na koje se obveza odnosi navelo da obrazac ima objavljen na svojim internetskim stranicama.</w:t>
      </w:r>
    </w:p>
    <w:p w14:paraId="0176A587" w14:textId="77777777" w:rsidR="00992334" w:rsidRPr="00992334" w:rsidRDefault="00992334" w:rsidP="00992334">
      <w:pPr>
        <w:rPr>
          <w:rFonts w:cs="Arial"/>
        </w:rPr>
      </w:pPr>
      <w:r w:rsidRPr="00992334">
        <w:rPr>
          <w:rFonts w:cs="Arial"/>
        </w:rPr>
        <w:t>Što se tiče objave Kriterija ili poveznice na njih, ove godine 60% tijela izjavilo je da ih objavljuje, što predstavlja blagi porast u odnosu na 58% zabilježenih u 2024. godini.</w:t>
      </w:r>
    </w:p>
    <w:p w14:paraId="7B52909F" w14:textId="3FB8ED28" w:rsidR="00CA3DD6" w:rsidRDefault="00992334" w:rsidP="00992334">
      <w:pPr>
        <w:rPr>
          <w:rFonts w:cs="Arial"/>
        </w:rPr>
      </w:pPr>
      <w:r w:rsidRPr="00992334">
        <w:rPr>
          <w:rFonts w:cs="Arial"/>
        </w:rPr>
        <w:t>Unatoč relativno visokom postotku tijela koja formalno navode da ispunjavaju ove obveze, u postupcima nadzora i praćenja provedbe Zakona i dalje se uočavaju nepravilnosti u ovom segmentu proaktivne objave informacija. Najčešće se radi o slučajevima u kojima tijela objavljuju vlastite odluke o visini troškova umjesto da primjenjuju Kriterije Povjerenika, kao i o objavi internih pravilnika o ostvarivanju prava na pristup i ponovnu uporabu informacija koji više nisu usklađeni s važećim pravnim okvirom. Uz to, na internetskim stranicama tijela još se uvijek mogu pronaći zastarjeli katalozi informacija i drugi dokumenti koji više nisu relevantni. Takve dokumente tijela bi trebala ukloniti sa svojih internetskih stranica, odnosno iz rubrika posvećenih pravu na pristup informacijama, kako bi informacije koje se javnosti pružaju bile točne, ažurne i u skladu s važećim propisima.</w:t>
      </w:r>
    </w:p>
    <w:p w14:paraId="75F02A7F" w14:textId="77777777" w:rsidR="00E75CD6" w:rsidRPr="00E75CD6" w:rsidRDefault="00E75CD6" w:rsidP="00E75CD6">
      <w:pPr>
        <w:pBdr>
          <w:top w:val="single" w:sz="4" w:space="1" w:color="auto"/>
          <w:left w:val="single" w:sz="4" w:space="4" w:color="auto"/>
          <w:bottom w:val="single" w:sz="4" w:space="1" w:color="auto"/>
          <w:right w:val="single" w:sz="4" w:space="4" w:color="auto"/>
        </w:pBdr>
        <w:rPr>
          <w:rFonts w:cs="Arial"/>
        </w:rPr>
      </w:pPr>
      <w:r w:rsidRPr="00E75CD6">
        <w:rPr>
          <w:rFonts w:cs="Arial"/>
        </w:rPr>
        <w:t>Temeljem prikazanih podataka i analize dostavljenih izvješća za 2025. godinu, može se zaključiti da je razina proaktivne objave informacija tijela javne vlasti u odnosu na prethodnu godinu ostala stabilna, s određenim pozitivnim pomacima u pojedinim segmentima. Gotovo 79% tijela objavljuje zakone, propise ili poveznice na njih, a oko 83% objavljuje opće akte i odluke kojima se utječe na interese korisnika, što je blagi rast u odnosu na 2024. godinu. Najviša razina transparentnosti i dalje je vidljiva u segmentu financijskih dokumenata, gdje oko 88% tijela objavljuje proračune, odnosno financijske planove, financijska izvješća i izvješća o izvršenju proračuna, odnosno financijskog plana. Međutim, kao i ranijih godina, najniža razina objave bilježi se kod popisa korisnika donacija, sponzorstava i drugih bespovratnih sredstava.</w:t>
      </w:r>
    </w:p>
    <w:p w14:paraId="199B4B8A" w14:textId="77777777" w:rsidR="00E75CD6" w:rsidRPr="00E75CD6" w:rsidRDefault="00E75CD6" w:rsidP="00E75CD6">
      <w:pPr>
        <w:pBdr>
          <w:top w:val="single" w:sz="4" w:space="1" w:color="auto"/>
          <w:left w:val="single" w:sz="4" w:space="4" w:color="auto"/>
          <w:bottom w:val="single" w:sz="4" w:space="1" w:color="auto"/>
          <w:right w:val="single" w:sz="4" w:space="4" w:color="auto"/>
        </w:pBdr>
        <w:rPr>
          <w:rFonts w:cs="Arial"/>
        </w:rPr>
      </w:pPr>
      <w:r w:rsidRPr="00E75CD6">
        <w:rPr>
          <w:rFonts w:cs="Arial"/>
        </w:rPr>
        <w:t xml:space="preserve">Analiza odgovora tijela i rezultati nadzora upućuju na značajne izazove u praksi. Često se uočava da tijela formalno navode ispunjavanje obveza, no stvarna objava informacija na internetskim stranicama nije potpuna, ažurna ili u skladu s načelima lake pretraživosti i strojne čitljivosti. Poseban problem predstavlja objava dokumenata u obliku skeniranih PDF-a, što onemogućava jednostavnu analizu i ponovnu uporabu podataka. Također, nešto manje od 9% </w:t>
      </w:r>
      <w:r w:rsidRPr="00E75CD6">
        <w:rPr>
          <w:rFonts w:cs="Arial"/>
        </w:rPr>
        <w:lastRenderedPageBreak/>
        <w:t>tijela s Popisa još uvijek nema vlastite internetske stranice ili tehničke kapacitete za ispunjenje zakonskih obveza.</w:t>
      </w:r>
    </w:p>
    <w:p w14:paraId="75ADBB48" w14:textId="77777777" w:rsidR="00E75CD6" w:rsidRPr="00E75CD6" w:rsidRDefault="00E75CD6" w:rsidP="00E75CD6">
      <w:pPr>
        <w:pBdr>
          <w:top w:val="single" w:sz="4" w:space="1" w:color="auto"/>
          <w:left w:val="single" w:sz="4" w:space="4" w:color="auto"/>
          <w:bottom w:val="single" w:sz="4" w:space="1" w:color="auto"/>
          <w:right w:val="single" w:sz="4" w:space="4" w:color="auto"/>
        </w:pBdr>
        <w:rPr>
          <w:rFonts w:cs="Arial"/>
        </w:rPr>
      </w:pPr>
      <w:r w:rsidRPr="00E75CD6">
        <w:rPr>
          <w:rFonts w:cs="Arial"/>
        </w:rPr>
        <w:t>Nepravilnosti i nerazumijevanje zakonskih obveza često dovode do pogrešnog izvještavanja, osobito u segmentima poput objave popisa donacija, gdje dio tijela ne prepoznaje da ispunjavanje obveze putem mjesečnih izvještaja sukladno Naputku zadovoljava propise ZPPI-ja. Slična situacija je i s objavom informacija o natječajnim postupcima i njihovim ishodima, gdje i dalje postoji značajan broj tijela koja objavljuju natječaje, ali ne i rezultate.</w:t>
      </w:r>
    </w:p>
    <w:p w14:paraId="24F6A44E" w14:textId="77777777" w:rsidR="00E75CD6" w:rsidRPr="00E75CD6" w:rsidRDefault="00E75CD6" w:rsidP="00E75CD6">
      <w:pPr>
        <w:pBdr>
          <w:top w:val="single" w:sz="4" w:space="1" w:color="auto"/>
          <w:left w:val="single" w:sz="4" w:space="4" w:color="auto"/>
          <w:bottom w:val="single" w:sz="4" w:space="1" w:color="auto"/>
          <w:right w:val="single" w:sz="4" w:space="4" w:color="auto"/>
        </w:pBdr>
        <w:rPr>
          <w:rFonts w:cs="Arial"/>
        </w:rPr>
      </w:pPr>
      <w:r w:rsidRPr="00E75CD6">
        <w:rPr>
          <w:rFonts w:cs="Arial"/>
        </w:rPr>
        <w:t>Iako formalni odgovori tijela pokazuju relativno visoku razinu ispunjenja zakonskih obveza, u praksi se i dalje uočavaju značajne nepravilnosti, poput nedostatne ažurnosti u objavi propisa i općih akata, korištenja formata koji nisu lako pretraživi ili strojno čitljivi, nepotpune objave informacija o unutarnjem ustrojstvu i kontaktima, kao i o javnim uslugama, te općenito pogrešnog izvještavanja tijela o stvarnoj objavi informacija na internetskim stranicama.</w:t>
      </w:r>
    </w:p>
    <w:p w14:paraId="250A1496" w14:textId="77777777" w:rsidR="00E75CD6" w:rsidRPr="00E75CD6" w:rsidRDefault="00E75CD6" w:rsidP="00E75CD6">
      <w:pPr>
        <w:pBdr>
          <w:top w:val="single" w:sz="4" w:space="1" w:color="auto"/>
          <w:left w:val="single" w:sz="4" w:space="4" w:color="auto"/>
          <w:bottom w:val="single" w:sz="4" w:space="1" w:color="auto"/>
          <w:right w:val="single" w:sz="4" w:space="4" w:color="auto"/>
        </w:pBdr>
        <w:rPr>
          <w:rFonts w:cs="Arial"/>
        </w:rPr>
      </w:pPr>
      <w:r w:rsidRPr="00E75CD6">
        <w:rPr>
          <w:rFonts w:cs="Arial"/>
        </w:rPr>
        <w:t>Navedeni rezultati potvrđuju potrebu za pojednostavljenjem i preciziranjem odredbi članka 10. stavka 1. Zakona, kako bi se olakšala primjena obveze proaktivne objave i osigurala viša razina transparentnosti i otvorenosti tijela javne vlasti.</w:t>
      </w:r>
    </w:p>
    <w:p w14:paraId="542A71DB" w14:textId="55F7A2F2" w:rsidR="00C662C0" w:rsidRPr="00021548" w:rsidRDefault="00E75CD6" w:rsidP="00C662C0">
      <w:pPr>
        <w:pBdr>
          <w:top w:val="single" w:sz="4" w:space="1" w:color="auto"/>
          <w:left w:val="single" w:sz="4" w:space="4" w:color="auto"/>
          <w:bottom w:val="single" w:sz="4" w:space="1" w:color="auto"/>
          <w:right w:val="single" w:sz="4" w:space="4" w:color="auto"/>
        </w:pBdr>
        <w:rPr>
          <w:rFonts w:cs="Arial"/>
        </w:rPr>
      </w:pPr>
      <w:r w:rsidRPr="00E75CD6">
        <w:rPr>
          <w:rFonts w:cs="Arial"/>
        </w:rPr>
        <w:t xml:space="preserve">Povjerenik kontinuirano koristi prikupljene podatke za planiranje inspekcijskih nadzora, organiziranje edukacija i razvoj smjernica, s ciljem unaprjeđenja provedbe ZPPI-ja. </w:t>
      </w:r>
    </w:p>
    <w:p w14:paraId="336F5D35" w14:textId="77777777" w:rsidR="00E75CD6" w:rsidRPr="00E75CD6" w:rsidRDefault="00E75CD6" w:rsidP="00021548">
      <w:pPr>
        <w:pBdr>
          <w:top w:val="single" w:sz="4" w:space="1" w:color="auto"/>
          <w:left w:val="single" w:sz="4" w:space="4" w:color="auto"/>
          <w:bottom w:val="single" w:sz="4" w:space="1" w:color="auto"/>
          <w:right w:val="single" w:sz="4" w:space="4" w:color="auto"/>
        </w:pBdr>
        <w:spacing w:after="0"/>
        <w:rPr>
          <w:rFonts w:cs="Arial"/>
        </w:rPr>
      </w:pPr>
      <w:r w:rsidRPr="00E75CD6">
        <w:rPr>
          <w:rFonts w:cs="Arial"/>
        </w:rPr>
        <w:t>Kao zaključak, i dalje postoji potreba za:</w:t>
      </w:r>
    </w:p>
    <w:p w14:paraId="52577CA4" w14:textId="77777777" w:rsidR="00E75CD6" w:rsidRPr="00E75CD6" w:rsidRDefault="00E75CD6" w:rsidP="00021548">
      <w:pPr>
        <w:pBdr>
          <w:top w:val="single" w:sz="4" w:space="1" w:color="auto"/>
          <w:left w:val="single" w:sz="4" w:space="4" w:color="auto"/>
          <w:bottom w:val="single" w:sz="4" w:space="1" w:color="auto"/>
          <w:right w:val="single" w:sz="4" w:space="4" w:color="auto"/>
        </w:pBdr>
        <w:spacing w:after="0"/>
        <w:ind w:firstLine="426"/>
        <w:rPr>
          <w:rFonts w:cs="Arial"/>
        </w:rPr>
      </w:pPr>
      <w:r w:rsidRPr="00E75CD6">
        <w:rPr>
          <w:rFonts w:cs="Arial"/>
        </w:rPr>
        <w:t>- povećanjem tehničkih i organizacijskih kapaciteta tijela</w:t>
      </w:r>
    </w:p>
    <w:p w14:paraId="015576E0" w14:textId="77777777" w:rsidR="00E75CD6" w:rsidRPr="00E75CD6" w:rsidRDefault="00E75CD6" w:rsidP="00021548">
      <w:pPr>
        <w:pBdr>
          <w:top w:val="single" w:sz="4" w:space="1" w:color="auto"/>
          <w:left w:val="single" w:sz="4" w:space="4" w:color="auto"/>
          <w:bottom w:val="single" w:sz="4" w:space="1" w:color="auto"/>
          <w:right w:val="single" w:sz="4" w:space="4" w:color="auto"/>
        </w:pBdr>
        <w:spacing w:after="0"/>
        <w:ind w:firstLine="426"/>
        <w:rPr>
          <w:rFonts w:cs="Arial"/>
        </w:rPr>
      </w:pPr>
      <w:r w:rsidRPr="00E75CD6">
        <w:rPr>
          <w:rFonts w:cs="Arial"/>
        </w:rPr>
        <w:t>- poboljšanjem ažurnosti i kvalitete objava</w:t>
      </w:r>
    </w:p>
    <w:p w14:paraId="46BE13F1" w14:textId="77777777" w:rsidR="00E75CD6" w:rsidRPr="00E75CD6" w:rsidRDefault="00E75CD6" w:rsidP="00021548">
      <w:pPr>
        <w:pBdr>
          <w:top w:val="single" w:sz="4" w:space="1" w:color="auto"/>
          <w:left w:val="single" w:sz="4" w:space="4" w:color="auto"/>
          <w:bottom w:val="single" w:sz="4" w:space="1" w:color="auto"/>
          <w:right w:val="single" w:sz="4" w:space="4" w:color="auto"/>
        </w:pBdr>
        <w:spacing w:after="0"/>
        <w:ind w:firstLine="426"/>
        <w:rPr>
          <w:rFonts w:cs="Arial"/>
        </w:rPr>
      </w:pPr>
      <w:r w:rsidRPr="00E75CD6">
        <w:rPr>
          <w:rFonts w:cs="Arial"/>
        </w:rPr>
        <w:t>- primjenom standardiziranih, lako pretraživih i strojno čitljivih formata</w:t>
      </w:r>
    </w:p>
    <w:p w14:paraId="050FD09C" w14:textId="77777777" w:rsidR="00E75CD6" w:rsidRPr="00E75CD6" w:rsidRDefault="00E75CD6" w:rsidP="00021548">
      <w:pPr>
        <w:pBdr>
          <w:top w:val="single" w:sz="4" w:space="1" w:color="auto"/>
          <w:left w:val="single" w:sz="4" w:space="4" w:color="auto"/>
          <w:bottom w:val="single" w:sz="4" w:space="1" w:color="auto"/>
          <w:right w:val="single" w:sz="4" w:space="4" w:color="auto"/>
        </w:pBdr>
        <w:spacing w:after="0"/>
        <w:ind w:firstLine="426"/>
        <w:rPr>
          <w:rFonts w:cs="Arial"/>
        </w:rPr>
      </w:pPr>
      <w:r w:rsidRPr="00E75CD6">
        <w:rPr>
          <w:rFonts w:cs="Arial"/>
        </w:rPr>
        <w:t>- edukacijom i podrškom službenicima za informiranje</w:t>
      </w:r>
    </w:p>
    <w:p w14:paraId="13FAE972" w14:textId="77777777" w:rsidR="00F9155A" w:rsidRPr="00A01248" w:rsidRDefault="00E75CD6" w:rsidP="00021548">
      <w:pPr>
        <w:pBdr>
          <w:top w:val="single" w:sz="4" w:space="1" w:color="auto"/>
          <w:left w:val="single" w:sz="4" w:space="4" w:color="auto"/>
          <w:bottom w:val="single" w:sz="4" w:space="1" w:color="auto"/>
          <w:right w:val="single" w:sz="4" w:space="4" w:color="auto"/>
        </w:pBdr>
        <w:spacing w:after="0"/>
        <w:ind w:firstLine="426"/>
        <w:rPr>
          <w:rFonts w:cs="Arial"/>
        </w:rPr>
      </w:pPr>
      <w:r w:rsidRPr="00E75CD6">
        <w:rPr>
          <w:rFonts w:cs="Arial"/>
        </w:rPr>
        <w:t xml:space="preserve">- </w:t>
      </w:r>
      <w:r w:rsidRPr="00A01248">
        <w:rPr>
          <w:rFonts w:cs="Arial"/>
        </w:rPr>
        <w:t>omogućavanjem preduvjeta da sva tijela javne vlasti, uključujući ona manjih kapaciteta, ispunjavanju zakonsku obvezu proaktivne objave informacija</w:t>
      </w:r>
    </w:p>
    <w:p w14:paraId="4AC29742" w14:textId="01E7908A" w:rsidR="00E75CD6" w:rsidRPr="00A01248" w:rsidRDefault="00F9155A" w:rsidP="00021548">
      <w:pPr>
        <w:pBdr>
          <w:top w:val="single" w:sz="4" w:space="1" w:color="auto"/>
          <w:left w:val="single" w:sz="4" w:space="4" w:color="auto"/>
          <w:bottom w:val="single" w:sz="4" w:space="1" w:color="auto"/>
          <w:right w:val="single" w:sz="4" w:space="4" w:color="auto"/>
        </w:pBdr>
        <w:spacing w:after="0"/>
        <w:ind w:firstLine="426"/>
        <w:rPr>
          <w:rFonts w:cs="Arial"/>
        </w:rPr>
      </w:pPr>
      <w:r w:rsidRPr="00A01248">
        <w:rPr>
          <w:rFonts w:cs="Arial"/>
        </w:rPr>
        <w:t xml:space="preserve">- </w:t>
      </w:r>
      <w:r w:rsidR="00E70A3C" w:rsidRPr="00A01248">
        <w:rPr>
          <w:rFonts w:cs="Arial"/>
        </w:rPr>
        <w:t>izmjen</w:t>
      </w:r>
      <w:r w:rsidR="00DB308B" w:rsidRPr="00A01248">
        <w:rPr>
          <w:rFonts w:cs="Arial"/>
        </w:rPr>
        <w:t>ama</w:t>
      </w:r>
      <w:r w:rsidR="00E70A3C" w:rsidRPr="00A01248">
        <w:rPr>
          <w:rFonts w:cs="Arial"/>
        </w:rPr>
        <w:t xml:space="preserve"> odredbi zakona</w:t>
      </w:r>
      <w:r w:rsidR="00E75CD6" w:rsidRPr="00A01248">
        <w:rPr>
          <w:rFonts w:cs="Arial"/>
        </w:rPr>
        <w:t>.</w:t>
      </w:r>
    </w:p>
    <w:p w14:paraId="7D073C26" w14:textId="2631ADB9" w:rsidR="00CA3DD6" w:rsidRPr="00295531" w:rsidRDefault="00E75CD6" w:rsidP="00021548">
      <w:pPr>
        <w:pBdr>
          <w:top w:val="single" w:sz="4" w:space="1" w:color="auto"/>
          <w:left w:val="single" w:sz="4" w:space="4" w:color="auto"/>
          <w:bottom w:val="single" w:sz="4" w:space="1" w:color="auto"/>
          <w:right w:val="single" w:sz="4" w:space="4" w:color="auto"/>
        </w:pBdr>
        <w:spacing w:before="120"/>
        <w:rPr>
          <w:rFonts w:cs="Arial"/>
        </w:rPr>
      </w:pPr>
      <w:r w:rsidRPr="00A01248">
        <w:rPr>
          <w:rFonts w:cs="Arial"/>
        </w:rPr>
        <w:t xml:space="preserve">Vrijedi istaknuti i da je Povjerenik za informiranje </w:t>
      </w:r>
      <w:r w:rsidRPr="00E75CD6">
        <w:rPr>
          <w:rFonts w:cs="Arial"/>
        </w:rPr>
        <w:t>uključen u inicijativu Koalicije predvodnika (Coalition of the Frontrunners) za razvoj smjernica/međunarodnih standarda za smislenu proaktivnu objavu informacija (meaningful proactive disclosure), koju je pokrenula Nizozemska OGP inicijativa (Partnerstvo za otvorenu vlast), a podržala OECD-ova radna skupina za otvorenu vlasti (WPOG). Ured povjerenice je tijekom 2025. sudjelovao na pripremnim sastancima s drugim državama članicama (Armenija, Brazil, Kanada, Estonija, Finska, Njemačka, Nizozemska, Portugal, Rumunjska, Španjolska i Škotska) te izrazio spremnost za razmjenu iskustava i davanje doprinosa u daljnjem radu Koalicije.</w:t>
      </w:r>
    </w:p>
    <w:p w14:paraId="6891B06F" w14:textId="017C847B" w:rsidR="00DE0752" w:rsidRPr="00811052" w:rsidRDefault="00DE0752" w:rsidP="00811052">
      <w:pPr>
        <w:pStyle w:val="Naslov2"/>
        <w:ind w:left="1276" w:hanging="567"/>
      </w:pPr>
      <w:bookmarkStart w:id="169" w:name="_Toc4677869"/>
      <w:bookmarkStart w:id="170" w:name="_Toc192751445"/>
      <w:bookmarkStart w:id="171" w:name="_Toc225865621"/>
      <w:r w:rsidRPr="7D481D26">
        <w:t xml:space="preserve">Dostava informacija u Središnji katalog službenih dokumenata </w:t>
      </w:r>
      <w:bookmarkEnd w:id="169"/>
      <w:r w:rsidRPr="7D481D26">
        <w:t xml:space="preserve">Republike </w:t>
      </w:r>
      <w:r w:rsidRPr="00811052">
        <w:t>Hrvatske</w:t>
      </w:r>
      <w:bookmarkEnd w:id="170"/>
      <w:bookmarkEnd w:id="171"/>
    </w:p>
    <w:p w14:paraId="7B12EA11" w14:textId="77777777" w:rsidR="00CA3DD6" w:rsidRPr="001F6F97" w:rsidRDefault="00CA3DD6" w:rsidP="00CA3DD6">
      <w:pPr>
        <w:rPr>
          <w:rFonts w:cs="Arial"/>
        </w:rPr>
      </w:pPr>
      <w:bookmarkStart w:id="172" w:name="_Toc192751451"/>
      <w:r w:rsidRPr="001F6F97">
        <w:rPr>
          <w:rFonts w:cs="Arial"/>
        </w:rPr>
        <w:t xml:space="preserve">Članak 10. a ZPPI-ja dijelu tijela javne vlasti (tijela državne uprave i druga državna tijela, JLP(R)S, pravne osobe koje RH osniva zakonom ili podzakonskim propisom ili čije osnivanje zakonom izričito predviđa) nalaže obvezu dostave pojedinih dokumenata u Središnji katalog službenih dokumenata RH radi njihove trajne dostupnosti i informiranja javnosti, koja je </w:t>
      </w:r>
      <w:r w:rsidRPr="001F6F97">
        <w:rPr>
          <w:rFonts w:cs="Arial"/>
        </w:rPr>
        <w:lastRenderedPageBreak/>
        <w:t>dodatno uređena Pravilnikom o Središnjem katalogu („Narodne novine“, broj 123/22) i kojeg vodi i održava tijelo nadležno za razvoj digitalnog društva, od svibnja 2024. MPUDT.</w:t>
      </w:r>
    </w:p>
    <w:p w14:paraId="1FAA8D68" w14:textId="77777777" w:rsidR="00CA3DD6" w:rsidRDefault="00CA3DD6" w:rsidP="00CA3DD6">
      <w:r w:rsidRPr="001F6F97">
        <w:rPr>
          <w:rFonts w:cs="Arial"/>
        </w:rPr>
        <w:t>U Izvješću o provedbi članka 10.a ZPPI-ja za 202</w:t>
      </w:r>
      <w:r>
        <w:rPr>
          <w:rFonts w:cs="Arial"/>
        </w:rPr>
        <w:t>5</w:t>
      </w:r>
      <w:r w:rsidRPr="001F6F97">
        <w:rPr>
          <w:rFonts w:cs="Arial"/>
        </w:rPr>
        <w:t>., navedeno je da je u 202</w:t>
      </w:r>
      <w:r>
        <w:rPr>
          <w:rFonts w:cs="Arial"/>
        </w:rPr>
        <w:t>5</w:t>
      </w:r>
      <w:r w:rsidRPr="001F6F97">
        <w:rPr>
          <w:rFonts w:cs="Arial"/>
        </w:rPr>
        <w:t xml:space="preserve">. u Središnji katalog uključeno </w:t>
      </w:r>
      <w:r>
        <w:rPr>
          <w:rFonts w:cs="Arial"/>
        </w:rPr>
        <w:t>1.229</w:t>
      </w:r>
      <w:r w:rsidRPr="001F6F97">
        <w:rPr>
          <w:rFonts w:cs="Arial"/>
        </w:rPr>
        <w:t xml:space="preserve"> novih pravnih propisa, </w:t>
      </w:r>
      <w:r>
        <w:rPr>
          <w:rFonts w:cs="Arial"/>
        </w:rPr>
        <w:t>28</w:t>
      </w:r>
      <w:r w:rsidRPr="001F6F97">
        <w:rPr>
          <w:rFonts w:cs="Arial"/>
        </w:rPr>
        <w:t xml:space="preserve"> međunarodn</w:t>
      </w:r>
      <w:r>
        <w:rPr>
          <w:rFonts w:cs="Arial"/>
        </w:rPr>
        <w:t>ih</w:t>
      </w:r>
      <w:r w:rsidRPr="001F6F97">
        <w:rPr>
          <w:rFonts w:cs="Arial"/>
        </w:rPr>
        <w:t xml:space="preserve"> ugovora, </w:t>
      </w:r>
      <w:r>
        <w:rPr>
          <w:rFonts w:cs="Arial"/>
        </w:rPr>
        <w:t>4.982</w:t>
      </w:r>
      <w:r w:rsidRPr="001F6F97">
        <w:rPr>
          <w:rFonts w:cs="Arial"/>
        </w:rPr>
        <w:t xml:space="preserve"> svezaka službenih glasnika JLP(R)S te </w:t>
      </w:r>
      <w:r>
        <w:rPr>
          <w:rFonts w:cs="Arial"/>
        </w:rPr>
        <w:t>2.085</w:t>
      </w:r>
      <w:r w:rsidRPr="001F6F97">
        <w:rPr>
          <w:rFonts w:cs="Arial"/>
        </w:rPr>
        <w:t xml:space="preserve"> ostalih dokumenata i publikacija. Također, navedeno je da </w:t>
      </w:r>
      <w:r>
        <w:rPr>
          <w:rFonts w:cs="Arial"/>
        </w:rPr>
        <w:t>su dostavu izvršile 171 općina, 95 gradova, 19 županija, 7 ministarstava, Ured predsjednika RH i ostala tijela, kao što su sudovi, agencije, instituti, arhivi, komore, razne ustanove itd.</w:t>
      </w:r>
    </w:p>
    <w:p w14:paraId="519EB720" w14:textId="77777777" w:rsidR="00DE0752" w:rsidRPr="00F0315E" w:rsidRDefault="00DE0752" w:rsidP="00811052">
      <w:pPr>
        <w:pStyle w:val="Naslov2"/>
        <w:ind w:left="1276" w:hanging="567"/>
      </w:pPr>
      <w:bookmarkStart w:id="173" w:name="_Toc225865622"/>
      <w:r w:rsidRPr="7D481D26">
        <w:t>Savjetovanje s javnošću tijela javne vlasti</w:t>
      </w:r>
      <w:bookmarkEnd w:id="172"/>
      <w:bookmarkEnd w:id="173"/>
    </w:p>
    <w:p w14:paraId="57C19B3E" w14:textId="77777777" w:rsidR="00944C78" w:rsidRPr="00944C78" w:rsidRDefault="00944C78" w:rsidP="00944C78">
      <w:pPr>
        <w:rPr>
          <w:rFonts w:cs="Arial"/>
        </w:rPr>
      </w:pPr>
      <w:bookmarkStart w:id="174" w:name="_Toc131070632"/>
      <w:bookmarkStart w:id="175" w:name="_Toc192751452"/>
      <w:r w:rsidRPr="00944C78">
        <w:rPr>
          <w:rFonts w:cs="Arial"/>
        </w:rPr>
        <w:t>Tijekom 2025. godine nastavljene su aktivnosti praćenja provedbe savjetovanja s javnošću, postupanja po predstavkama te davanja mišljenja tijelima javne vlasti o obvezi provedbe savjetovanja s javnošću u postupcima pripreme zakona i podzakonskih propisa te općih akata i strateških i planskih dokumenata kad se njima utječe na interese građana i pravnih osoba.</w:t>
      </w:r>
    </w:p>
    <w:p w14:paraId="396D7D07" w14:textId="00413BB6" w:rsidR="00944C78" w:rsidRPr="00944C78" w:rsidRDefault="00944C78" w:rsidP="00944C78">
      <w:pPr>
        <w:rPr>
          <w:rFonts w:cs="Arial"/>
        </w:rPr>
      </w:pPr>
      <w:r w:rsidRPr="00944C78">
        <w:rPr>
          <w:rFonts w:cs="Arial"/>
        </w:rPr>
        <w:t xml:space="preserve">Prilikom utvrđivanja opsega i načina praćenja, </w:t>
      </w:r>
      <w:r w:rsidR="003E6FBE" w:rsidRPr="003E6FBE">
        <w:rPr>
          <w:rFonts w:cs="Arial"/>
        </w:rPr>
        <w:t xml:space="preserve">Ured povjerenice </w:t>
      </w:r>
      <w:r w:rsidRPr="00944C78">
        <w:rPr>
          <w:rFonts w:cs="Arial"/>
        </w:rPr>
        <w:t>uzima u obzir prethodna postupanja po predstavkama i odgovaranja na upite korisnika, a nakon provedenog praćenja, obraća se tijelima tražeći od njih da usklade svoja postupanja s odredbama ZPPI-ja.</w:t>
      </w:r>
    </w:p>
    <w:p w14:paraId="386257C6" w14:textId="77777777" w:rsidR="00944C78" w:rsidRPr="00944C78" w:rsidRDefault="00944C78" w:rsidP="00944C78">
      <w:pPr>
        <w:rPr>
          <w:rFonts w:cs="Arial"/>
        </w:rPr>
      </w:pPr>
      <w:r w:rsidRPr="00944C78">
        <w:rPr>
          <w:rFonts w:cs="Arial"/>
        </w:rPr>
        <w:t xml:space="preserve">Davanjem mišljenja i preporuka tijelima javne vlasti nastoji se doprinijeti standardizaciji primjene obveze savjetovanja s javnošću, s obzirom da zakonske odredbe o provedbi savjetovanja s javnošću ostavljaju prostor za različite interpretacije, poput one o trajanju savjetovanja od „u pravilu 30 dana“. </w:t>
      </w:r>
    </w:p>
    <w:p w14:paraId="2FCE25CA" w14:textId="6C0B55A9" w:rsidR="00944C78" w:rsidRPr="00944C78" w:rsidRDefault="00944C78" w:rsidP="00944C78">
      <w:pPr>
        <w:rPr>
          <w:rFonts w:cs="Arial"/>
        </w:rPr>
      </w:pPr>
      <w:r w:rsidRPr="00944C78">
        <w:rPr>
          <w:rFonts w:cs="Arial"/>
        </w:rPr>
        <w:t xml:space="preserve">Ured </w:t>
      </w:r>
      <w:r w:rsidR="003E6FBE">
        <w:rPr>
          <w:rFonts w:cs="Arial"/>
        </w:rPr>
        <w:t xml:space="preserve">povjerenice </w:t>
      </w:r>
      <w:r w:rsidRPr="00944C78">
        <w:rPr>
          <w:rFonts w:cs="Arial"/>
        </w:rPr>
        <w:t>redovito provodi edukacije o provedbi savjetovanja s javnošću za službenike za informiranje, koordinatore za savjetovanje, ali i druge službenike koji u svom radu primjenjuju odredbe ZPPI-ja.</w:t>
      </w:r>
    </w:p>
    <w:p w14:paraId="128C8E94" w14:textId="5D22C2EF" w:rsidR="00944C78" w:rsidRPr="00944C78" w:rsidRDefault="00944C78" w:rsidP="00944C78">
      <w:pPr>
        <w:rPr>
          <w:rFonts w:cs="Arial"/>
        </w:rPr>
      </w:pPr>
      <w:r w:rsidRPr="00944C78">
        <w:rPr>
          <w:rFonts w:cs="Arial"/>
        </w:rPr>
        <w:t>U svrhu prikaza provedbe savjetovanja s javnošću korišteni su podaci koje su dostavila tijela javne vlasti, podaci o praćenju provedbe savjetovanja pojedinih tijela prema zaprimljenim predstavkama korisnika, podaci iz analitičkih praćenja Ureda</w:t>
      </w:r>
      <w:r w:rsidR="003E6FBE">
        <w:rPr>
          <w:rFonts w:cs="Arial"/>
        </w:rPr>
        <w:t xml:space="preserve"> povjerenice</w:t>
      </w:r>
      <w:r w:rsidRPr="00944C78">
        <w:rPr>
          <w:rFonts w:cs="Arial"/>
        </w:rPr>
        <w:t xml:space="preserve"> o usklađenosti postupanja odabranih tijela javne vlasti s člankom 11. ZPPI-ja, kao i podaci Ureda za zakonodavstvo Vlade RH o provedenim savjetovanjima putem portala e-Savjetovanja.</w:t>
      </w:r>
    </w:p>
    <w:p w14:paraId="2945416C" w14:textId="2700BE03" w:rsidR="00E33BF9" w:rsidRPr="008A5F51" w:rsidRDefault="00944C78" w:rsidP="00944C78">
      <w:pPr>
        <w:rPr>
          <w:rFonts w:cs="Arial"/>
        </w:rPr>
      </w:pPr>
      <w:r w:rsidRPr="00944C78">
        <w:rPr>
          <w:rFonts w:cs="Arial"/>
        </w:rPr>
        <w:t xml:space="preserve">Dodatno, Ured </w:t>
      </w:r>
      <w:r w:rsidR="00CF32E4">
        <w:rPr>
          <w:rFonts w:cs="Arial"/>
        </w:rPr>
        <w:t xml:space="preserve">povjerenice </w:t>
      </w:r>
      <w:r w:rsidRPr="00944C78">
        <w:rPr>
          <w:rFonts w:cs="Arial"/>
        </w:rPr>
        <w:t>je tijekom 2025. godine proveo dva praćenja na određene dane tijekom kojih su utvrđena odstupanja u postupanju tijela koja koriste portal e-Savjetovanja.</w:t>
      </w:r>
    </w:p>
    <w:p w14:paraId="7A8E7806" w14:textId="48B41C32" w:rsidR="00DE0752" w:rsidRPr="00F0315E" w:rsidRDefault="00DE0752" w:rsidP="009032D7">
      <w:pPr>
        <w:pStyle w:val="Naslov3"/>
        <w:ind w:left="1985"/>
      </w:pPr>
      <w:bookmarkStart w:id="176" w:name="_Toc225865623"/>
      <w:r>
        <w:t>Izvješća tijela javne vlasti o postupcima savjetovanja s javnošću</w:t>
      </w:r>
      <w:bookmarkEnd w:id="174"/>
      <w:bookmarkEnd w:id="175"/>
      <w:bookmarkEnd w:id="176"/>
    </w:p>
    <w:p w14:paraId="216AF706" w14:textId="77777777" w:rsidR="00A60325" w:rsidRPr="00A60325" w:rsidRDefault="00A60325" w:rsidP="00A60325">
      <w:pPr>
        <w:rPr>
          <w:rFonts w:cs="Arial"/>
        </w:rPr>
      </w:pPr>
      <w:bookmarkStart w:id="177" w:name="_Toc131070633"/>
      <w:bookmarkStart w:id="178" w:name="_Toc192751453"/>
      <w:r w:rsidRPr="00A60325">
        <w:rPr>
          <w:rFonts w:cs="Arial"/>
        </w:rPr>
        <w:t xml:space="preserve">Analiza dostavljenih podataka tijela javne vlasti ukazuje da se 35% tijela javne vlasti koja su dostavila podatke, prepoznaju kao obveznici provedbe savjetovanja, što predstavlja povećanje od 3% u odnosu na prethodnu godinu. </w:t>
      </w:r>
    </w:p>
    <w:p w14:paraId="51D4CAA0" w14:textId="1F935FD2" w:rsidR="00E33BF9" w:rsidRPr="008A5F51" w:rsidRDefault="00A60325" w:rsidP="00A60325">
      <w:pPr>
        <w:rPr>
          <w:rFonts w:cs="Arial"/>
        </w:rPr>
      </w:pPr>
      <w:r w:rsidRPr="00A60325">
        <w:rPr>
          <w:rFonts w:cs="Arial"/>
        </w:rPr>
        <w:t xml:space="preserve">Iako članak 11. ZPPI-ja propisuje da su obveznici provedbe savjetovanja s javnošću tijela državne uprave, druga državna tijela, JLP(R)S i pravne osobe s javnim ovlastima, da nisu obveznici provedbe savjetovanja izjasnilo se 9 državnih tijela, 2 JLP(R)S te čak 3.323 ostale </w:t>
      </w:r>
      <w:r w:rsidRPr="00A60325">
        <w:rPr>
          <w:rFonts w:cs="Arial"/>
        </w:rPr>
        <w:lastRenderedPageBreak/>
        <w:t>pravne osobe (među kojima su pravne osobe s javnim ovlastima, agencije, ustanove, trgovačka društva i udruge).</w:t>
      </w:r>
    </w:p>
    <w:p w14:paraId="7D4C5571" w14:textId="54E8DD11" w:rsidR="00DE0752" w:rsidRPr="00AF25DD" w:rsidRDefault="00DE0752" w:rsidP="00AF25DD">
      <w:pPr>
        <w:spacing w:before="240"/>
        <w:rPr>
          <w:b/>
          <w:bCs/>
        </w:rPr>
      </w:pPr>
      <w:r w:rsidRPr="00AF25DD">
        <w:rPr>
          <w:b/>
          <w:bCs/>
        </w:rPr>
        <w:t>Objava godišnjeg plana savjetovanja s javnošću</w:t>
      </w:r>
      <w:bookmarkEnd w:id="177"/>
      <w:bookmarkEnd w:id="178"/>
    </w:p>
    <w:p w14:paraId="16325058" w14:textId="77777777" w:rsidR="001B7F8F" w:rsidRPr="001B7F8F" w:rsidRDefault="001B7F8F" w:rsidP="001B7F8F">
      <w:pPr>
        <w:rPr>
          <w:rFonts w:cs="Arial"/>
        </w:rPr>
      </w:pPr>
      <w:r w:rsidRPr="001B7F8F">
        <w:rPr>
          <w:rFonts w:cs="Arial"/>
        </w:rPr>
        <w:t>Tijela javne vlasti dužna su do kraja kalendarske godine za sljedeću godinu donijeti i objaviti na svojoj internetskoj stranici plan savjetovanja s javnošću koji treba sadržavati naziv nacrta akta za koji se provodi savjetovanje, očekivano vrijeme njegova donošenja ili usvajanja, okvirno vrijeme provođenja internetskog savjetovanja te druge predviđene oblike provedbe savjetovanja.</w:t>
      </w:r>
    </w:p>
    <w:p w14:paraId="2340FE89" w14:textId="77777777" w:rsidR="001B7F8F" w:rsidRPr="001B7F8F" w:rsidRDefault="001B7F8F" w:rsidP="001B7F8F">
      <w:pPr>
        <w:rPr>
          <w:rFonts w:cs="Arial"/>
        </w:rPr>
      </w:pPr>
      <w:r w:rsidRPr="001B7F8F">
        <w:rPr>
          <w:rFonts w:cs="Arial"/>
        </w:rPr>
        <w:t xml:space="preserve">Plan savjetovanja s javnošću objavilo je 520 tijela, odnosno 57,6% tijela koja se smatraju obveznicima provedbe savjetovanja, što je povećanje u odnosu na prethodnu godinu kada je plan savjetovanja objavilo 49,2% tijela. </w:t>
      </w:r>
    </w:p>
    <w:p w14:paraId="652E295D" w14:textId="0F719AF3" w:rsidR="00E33BF9" w:rsidRDefault="001B7F8F" w:rsidP="001B7F8F">
      <w:pPr>
        <w:rPr>
          <w:rFonts w:cs="Arial"/>
        </w:rPr>
      </w:pPr>
      <w:r w:rsidRPr="001B7F8F">
        <w:rPr>
          <w:rFonts w:cs="Arial"/>
        </w:rPr>
        <w:t>Iz podataka (Slika 8.5.) je vidljivo da ovu zakonsku obvezu u najvećoj mjeri ispunjavaju tijela državne uprave, dok je vrlo niska razina objave kod pravnih osoba s javnim ovlastima (trgovačka društva, ustanove, udruge).</w:t>
      </w:r>
    </w:p>
    <w:p w14:paraId="7F5C3E2F" w14:textId="53D26108" w:rsidR="00DE0752" w:rsidRPr="00F0315E" w:rsidRDefault="00DE0752" w:rsidP="00DC0397">
      <w:pPr>
        <w:keepNext/>
        <w:widowControl w:val="0"/>
        <w:spacing w:before="240" w:after="0"/>
        <w:rPr>
          <w:rFonts w:cs="Arial"/>
          <w:sz w:val="18"/>
          <w:szCs w:val="18"/>
        </w:rPr>
      </w:pPr>
      <w:r w:rsidRPr="00F0315E">
        <w:rPr>
          <w:rFonts w:cs="Arial"/>
          <w:sz w:val="18"/>
          <w:szCs w:val="18"/>
        </w:rPr>
        <w:t xml:space="preserve">Slika </w:t>
      </w:r>
      <w:r w:rsidR="00A45414" w:rsidRPr="00F0315E">
        <w:rPr>
          <w:rFonts w:cs="Arial"/>
          <w:sz w:val="18"/>
          <w:szCs w:val="18"/>
        </w:rPr>
        <w:t>8.</w:t>
      </w:r>
      <w:r w:rsidR="00E00E59" w:rsidRPr="00F0315E">
        <w:rPr>
          <w:rFonts w:cs="Arial"/>
          <w:sz w:val="18"/>
          <w:szCs w:val="18"/>
        </w:rPr>
        <w:t>5</w:t>
      </w:r>
      <w:r w:rsidR="00A45414" w:rsidRPr="00F0315E">
        <w:rPr>
          <w:rFonts w:cs="Arial"/>
          <w:sz w:val="18"/>
          <w:szCs w:val="18"/>
        </w:rPr>
        <w:t>.</w:t>
      </w:r>
      <w:r w:rsidRPr="00F0315E">
        <w:rPr>
          <w:rFonts w:cs="Arial"/>
          <w:sz w:val="18"/>
          <w:szCs w:val="18"/>
        </w:rPr>
        <w:t xml:space="preserve"> Objava godišnjeg plana savjetovanja s javnošću u 202</w:t>
      </w:r>
      <w:r w:rsidR="00CF32E4">
        <w:rPr>
          <w:rFonts w:cs="Arial"/>
          <w:sz w:val="18"/>
          <w:szCs w:val="18"/>
        </w:rPr>
        <w:t>5</w:t>
      </w:r>
      <w:r w:rsidRPr="00F0315E">
        <w:rPr>
          <w:rFonts w:cs="Arial"/>
          <w:sz w:val="18"/>
          <w:szCs w:val="18"/>
        </w:rPr>
        <w:t xml:space="preserve">. </w:t>
      </w:r>
    </w:p>
    <w:p w14:paraId="10CA99D2" w14:textId="76F8003C" w:rsidR="00DE0752" w:rsidRDefault="00E33BF9" w:rsidP="00DE0752">
      <w:pPr>
        <w:keepNext/>
        <w:spacing w:before="120"/>
        <w:jc w:val="center"/>
        <w:rPr>
          <w:sz w:val="23"/>
          <w:szCs w:val="23"/>
        </w:rPr>
      </w:pPr>
      <w:r>
        <w:rPr>
          <w:noProof/>
          <w14:ligatures w14:val="standardContextual"/>
        </w:rPr>
        <w:drawing>
          <wp:inline distT="0" distB="0" distL="0" distR="0" wp14:anchorId="232DE427" wp14:editId="2F554FCC">
            <wp:extent cx="5760720" cy="2873829"/>
            <wp:effectExtent l="0" t="0" r="0" b="3175"/>
            <wp:docPr id="1462025711" name="Grafikon 1">
              <a:extLst xmlns:a="http://schemas.openxmlformats.org/drawingml/2006/main">
                <a:ext uri="{FF2B5EF4-FFF2-40B4-BE49-F238E27FC236}">
                  <a16:creationId xmlns:a16="http://schemas.microsoft.com/office/drawing/2014/main" id="{73858962-080D-41CA-E251-A45121175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AD5CCC" w14:textId="77777777" w:rsidR="008C4412" w:rsidRPr="008C4412" w:rsidRDefault="008C4412" w:rsidP="008C4412">
      <w:pPr>
        <w:rPr>
          <w:rFonts w:cs="Arial"/>
        </w:rPr>
      </w:pPr>
      <w:bookmarkStart w:id="179" w:name="_Toc131070634"/>
      <w:bookmarkStart w:id="180" w:name="_Toc192751454"/>
      <w:r w:rsidRPr="008C4412">
        <w:rPr>
          <w:rFonts w:cs="Arial"/>
        </w:rPr>
        <w:t>Iako je postignut određeni napredak u ispunjavanju dijela zakonske obveze koja se odnosi na objavljivanje plana savjetovanja, činjenica da više od 40% tijela i dalje ne donosi i ne objavljuje planove savjetovanja s javnošću kao prvi i temeljni korak u provedbi savjetovanja, ukazuje na potrebu kontinuiranog educiranja obveznika provedbe savjetovanja s javnošću. Naime, i kada tijelo javne vlasti ne planira u sljedećoj kalendarskoj godini pripremati i usvajati akte za koje postoji zakonska obveza provedbe savjetovanja, trebalo bi informaciju o tome objaviti na internetskoj stranici.</w:t>
      </w:r>
    </w:p>
    <w:p w14:paraId="1BD43306" w14:textId="6CCDD88C" w:rsidR="00E33BF9" w:rsidRPr="002B137A" w:rsidRDefault="008C4412" w:rsidP="008C4412">
      <w:pPr>
        <w:rPr>
          <w:rFonts w:cs="Arial"/>
        </w:rPr>
      </w:pPr>
      <w:r w:rsidRPr="008C4412">
        <w:rPr>
          <w:rFonts w:cs="Arial"/>
        </w:rPr>
        <w:t xml:space="preserve">Kad je riječ o kvalitetnoj pripremi i upravljanju normativnim procesom, izrada i objava plana savjetovanja s javnošću predstavlja, uz plan zakonodavnih aktivnosti, prvi korak u planiranju, ali i informiranju javnosti pa osobitu pažnju valja posvetiti ispravnoj procjeni potrebe provedbe </w:t>
      </w:r>
      <w:r w:rsidRPr="008C4412">
        <w:rPr>
          <w:rFonts w:cs="Arial"/>
        </w:rPr>
        <w:lastRenderedPageBreak/>
        <w:t>savjetovanja s javnošću za akte koji će biti doneseni, a koja zahtijeva timski rad unutar tijela i ažuriranje plana prema potrebi.</w:t>
      </w:r>
    </w:p>
    <w:p w14:paraId="6368AAFE" w14:textId="2EB3EAA3" w:rsidR="00DE0752" w:rsidRPr="00AF25DD" w:rsidRDefault="00DE0752" w:rsidP="0052400E">
      <w:pPr>
        <w:spacing w:before="240" w:after="240"/>
        <w:rPr>
          <w:b/>
          <w:bCs/>
        </w:rPr>
      </w:pPr>
      <w:r w:rsidRPr="00AF25DD">
        <w:rPr>
          <w:b/>
          <w:bCs/>
        </w:rPr>
        <w:t>Proved</w:t>
      </w:r>
      <w:r w:rsidR="00EC4B3D" w:rsidRPr="00AF25DD">
        <w:rPr>
          <w:b/>
          <w:bCs/>
        </w:rPr>
        <w:t>b</w:t>
      </w:r>
      <w:r w:rsidRPr="00AF25DD">
        <w:rPr>
          <w:b/>
          <w:bCs/>
        </w:rPr>
        <w:t>a savjetovanja s javnošću</w:t>
      </w:r>
      <w:bookmarkEnd w:id="179"/>
      <w:bookmarkEnd w:id="180"/>
    </w:p>
    <w:p w14:paraId="59BE4315" w14:textId="77777777" w:rsidR="00E33BF9" w:rsidRPr="00A01248" w:rsidRDefault="00E33BF9" w:rsidP="00A01248">
      <w:pPr>
        <w:pBdr>
          <w:top w:val="single" w:sz="4" w:space="1" w:color="auto"/>
          <w:left w:val="single" w:sz="4" w:space="4" w:color="auto"/>
          <w:bottom w:val="single" w:sz="4" w:space="1" w:color="auto"/>
          <w:right w:val="single" w:sz="4" w:space="4" w:color="auto"/>
        </w:pBdr>
        <w:rPr>
          <w:rFonts w:cs="Arial"/>
        </w:rPr>
      </w:pPr>
      <w:r w:rsidRPr="002B137A">
        <w:rPr>
          <w:rFonts w:cs="Arial"/>
        </w:rPr>
        <w:t xml:space="preserve">Prema dostavljenim podacima tijela javne vlasti, u 2025. provedeno je ukupno 7.099 </w:t>
      </w:r>
      <w:r w:rsidRPr="008A5F51">
        <w:rPr>
          <w:rFonts w:cs="Arial"/>
        </w:rPr>
        <w:t>savjetovanj</w:t>
      </w:r>
      <w:r>
        <w:rPr>
          <w:rFonts w:cs="Arial"/>
        </w:rPr>
        <w:t>a</w:t>
      </w:r>
      <w:r w:rsidRPr="008A5F51">
        <w:rPr>
          <w:rFonts w:cs="Arial"/>
        </w:rPr>
        <w:t xml:space="preserve">, što je </w:t>
      </w:r>
      <w:r>
        <w:rPr>
          <w:rFonts w:cs="Arial"/>
        </w:rPr>
        <w:t xml:space="preserve">čak </w:t>
      </w:r>
      <w:r w:rsidRPr="008A5F51">
        <w:rPr>
          <w:rFonts w:cs="Arial"/>
        </w:rPr>
        <w:t>1</w:t>
      </w:r>
      <w:r>
        <w:rPr>
          <w:rFonts w:cs="Arial"/>
        </w:rPr>
        <w:t>4</w:t>
      </w:r>
      <w:r w:rsidRPr="008A5F51">
        <w:rPr>
          <w:rFonts w:cs="Arial"/>
        </w:rPr>
        <w:t xml:space="preserve">% </w:t>
      </w:r>
      <w:r>
        <w:rPr>
          <w:rFonts w:cs="Arial"/>
        </w:rPr>
        <w:t>više</w:t>
      </w:r>
      <w:r w:rsidRPr="008A5F51">
        <w:rPr>
          <w:rFonts w:cs="Arial"/>
        </w:rPr>
        <w:t xml:space="preserve"> provedenih savjetovanja nego </w:t>
      </w:r>
      <w:r w:rsidRPr="00A01248">
        <w:rPr>
          <w:rFonts w:cs="Arial"/>
        </w:rPr>
        <w:t>u 2024. Ujedno, to je najveći broj provedenih savjetovanja u jednoj godini do sada.</w:t>
      </w:r>
    </w:p>
    <w:p w14:paraId="737583CF" w14:textId="77777777" w:rsidR="000D6DAC" w:rsidRPr="000D6DAC" w:rsidRDefault="000D6DAC" w:rsidP="00CF32E4">
      <w:pPr>
        <w:rPr>
          <w:rFonts w:cs="Arial"/>
        </w:rPr>
      </w:pPr>
      <w:r w:rsidRPr="000D6DAC">
        <w:rPr>
          <w:rFonts w:cs="Arial"/>
        </w:rPr>
        <w:t xml:space="preserve">Ako se analizira kategorije tijela, značajan porast broja savjetovanja vidljiv je kod JLP(R)S. </w:t>
      </w:r>
    </w:p>
    <w:p w14:paraId="7E4E86BE" w14:textId="77777777" w:rsidR="000D6DAC" w:rsidRPr="000D6DAC" w:rsidRDefault="000D6DAC" w:rsidP="00CF32E4">
      <w:pPr>
        <w:rPr>
          <w:rFonts w:cs="Arial"/>
        </w:rPr>
      </w:pPr>
      <w:r w:rsidRPr="000D6DAC">
        <w:rPr>
          <w:rFonts w:cs="Arial"/>
        </w:rPr>
        <w:t>Kao i u prethodnim razdobljima, najviše savjetovanja su provele JLP(R)S – njih 5.798 (u 2024. provedeno 4.657 savjetovanja na lokalnoj razini). Tijela državne uprave provela su ukupno 695 savjetovanja, pravne osobe s javnim ovlastima 583 savjetovanja, a državna tijela 23 savjetovanja.</w:t>
      </w:r>
    </w:p>
    <w:p w14:paraId="7F57B79F" w14:textId="2594329E" w:rsidR="00E33BF9" w:rsidRPr="005146E0" w:rsidRDefault="000D6DAC" w:rsidP="00CF32E4">
      <w:pPr>
        <w:rPr>
          <w:rFonts w:cs="Arial"/>
        </w:rPr>
      </w:pPr>
      <w:r w:rsidRPr="000D6DAC">
        <w:rPr>
          <w:rFonts w:cs="Arial"/>
        </w:rPr>
        <w:t>Komparativni prikaz broja provedenih savjetovanja za razdoblje 2021.-2025. prema vrsti obveznika provedbe savjetovanja prikazan je na slici 8.6.</w:t>
      </w:r>
    </w:p>
    <w:p w14:paraId="2B3F12D3" w14:textId="4B72DD09" w:rsidR="00DE0752" w:rsidRPr="00F0315E" w:rsidRDefault="00DE0752" w:rsidP="00E77389">
      <w:pPr>
        <w:keepNext/>
        <w:widowControl w:val="0"/>
        <w:spacing w:before="240"/>
        <w:rPr>
          <w:rFonts w:cs="Arial"/>
          <w:sz w:val="18"/>
          <w:szCs w:val="18"/>
        </w:rPr>
      </w:pPr>
      <w:r w:rsidRPr="00021548">
        <w:rPr>
          <w:rFonts w:cs="Arial"/>
          <w:sz w:val="18"/>
          <w:szCs w:val="18"/>
        </w:rPr>
        <w:t xml:space="preserve">Slika </w:t>
      </w:r>
      <w:r w:rsidR="00F73ABB" w:rsidRPr="00021548">
        <w:rPr>
          <w:rFonts w:cs="Arial"/>
          <w:sz w:val="18"/>
          <w:szCs w:val="18"/>
        </w:rPr>
        <w:t>8.</w:t>
      </w:r>
      <w:r w:rsidR="00E00E59" w:rsidRPr="00021548">
        <w:rPr>
          <w:rFonts w:cs="Arial"/>
          <w:sz w:val="18"/>
          <w:szCs w:val="18"/>
        </w:rPr>
        <w:t>6</w:t>
      </w:r>
      <w:r w:rsidRPr="00021548">
        <w:rPr>
          <w:rFonts w:cs="Arial"/>
          <w:sz w:val="18"/>
          <w:szCs w:val="18"/>
        </w:rPr>
        <w:t>. Broj provedenih savjetovanja prema kategoriji tijela – usporedba 202</w:t>
      </w:r>
      <w:r w:rsidR="00E33BF9" w:rsidRPr="00021548">
        <w:rPr>
          <w:rFonts w:cs="Arial"/>
          <w:sz w:val="18"/>
          <w:szCs w:val="18"/>
        </w:rPr>
        <w:t>1</w:t>
      </w:r>
      <w:r w:rsidRPr="00021548">
        <w:rPr>
          <w:rFonts w:cs="Arial"/>
          <w:sz w:val="18"/>
          <w:szCs w:val="18"/>
        </w:rPr>
        <w:t>.-202</w:t>
      </w:r>
      <w:r w:rsidR="00E33BF9" w:rsidRPr="00021548">
        <w:rPr>
          <w:rFonts w:cs="Arial"/>
          <w:sz w:val="18"/>
          <w:szCs w:val="18"/>
        </w:rPr>
        <w:t>5</w:t>
      </w:r>
      <w:r w:rsidRPr="00021548">
        <w:rPr>
          <w:rFonts w:cs="Arial"/>
          <w:sz w:val="18"/>
          <w:szCs w:val="18"/>
        </w:rPr>
        <w:t>.</w:t>
      </w:r>
      <w:r w:rsidRPr="00F0315E">
        <w:rPr>
          <w:rFonts w:cs="Arial"/>
          <w:sz w:val="18"/>
          <w:szCs w:val="18"/>
        </w:rPr>
        <w:t xml:space="preserve"> </w:t>
      </w:r>
    </w:p>
    <w:p w14:paraId="2DC1E353" w14:textId="6BEA8DA4" w:rsidR="00DE0752" w:rsidRPr="00F0315E" w:rsidRDefault="00E33BF9" w:rsidP="00541C2F">
      <w:pPr>
        <w:jc w:val="right"/>
        <w:rPr>
          <w:sz w:val="23"/>
          <w:szCs w:val="23"/>
        </w:rPr>
      </w:pPr>
      <w:r>
        <w:rPr>
          <w:noProof/>
          <w14:ligatures w14:val="standardContextual"/>
        </w:rPr>
        <w:drawing>
          <wp:inline distT="0" distB="0" distL="0" distR="0" wp14:anchorId="2048BA80" wp14:editId="50C9AE78">
            <wp:extent cx="5760720" cy="2682815"/>
            <wp:effectExtent l="0" t="0" r="0" b="3810"/>
            <wp:docPr id="397113771" name="Grafikon 1">
              <a:extLst xmlns:a="http://schemas.openxmlformats.org/drawingml/2006/main">
                <a:ext uri="{FF2B5EF4-FFF2-40B4-BE49-F238E27FC236}">
                  <a16:creationId xmlns:a16="http://schemas.microsoft.com/office/drawing/2014/main" id="{A798ADB7-56CE-13FB-DBC9-596CA9BF1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3AA340" w14:textId="77777777" w:rsidR="00DE0752" w:rsidRPr="00AF25DD" w:rsidRDefault="00DE0752" w:rsidP="0052400E">
      <w:pPr>
        <w:spacing w:before="240" w:after="240"/>
        <w:rPr>
          <w:b/>
          <w:bCs/>
        </w:rPr>
      </w:pPr>
      <w:bookmarkStart w:id="181" w:name="_Toc131070635"/>
      <w:bookmarkStart w:id="182" w:name="_Toc192751455"/>
      <w:r w:rsidRPr="00AF25DD">
        <w:rPr>
          <w:b/>
          <w:bCs/>
        </w:rPr>
        <w:t>Trajanje savjetovanja s javnošću</w:t>
      </w:r>
      <w:bookmarkEnd w:id="181"/>
      <w:bookmarkEnd w:id="182"/>
    </w:p>
    <w:p w14:paraId="31139941" w14:textId="77777777" w:rsidR="00E33BF9" w:rsidRPr="00A01248" w:rsidRDefault="00E33BF9" w:rsidP="00A01248">
      <w:pPr>
        <w:pBdr>
          <w:top w:val="single" w:sz="4" w:space="1" w:color="auto"/>
          <w:left w:val="single" w:sz="4" w:space="4" w:color="auto"/>
          <w:bottom w:val="single" w:sz="4" w:space="1" w:color="auto"/>
          <w:right w:val="single" w:sz="4" w:space="4" w:color="auto"/>
        </w:pBdr>
        <w:rPr>
          <w:rFonts w:cs="Arial"/>
        </w:rPr>
      </w:pPr>
      <w:bookmarkStart w:id="183" w:name="_Hlk191642206"/>
      <w:r w:rsidRPr="00A01248">
        <w:rPr>
          <w:rFonts w:cs="Arial"/>
        </w:rPr>
        <w:t xml:space="preserve">Dostavljeni podaci o trajanju savjetovanja pokazuju da su tijela javne vlasti provodila savjetovanja u prosječnom trajanju od 23,5 dana, što predstavlja blagi pad u odnosu na 2024. kad su se savjetovanja provodila u prosječnom trajanju od 24,3 dana. Rezultati praćenja rokova provedbe savjetovanja s javnošću utemeljeni na podacima tijela podudaraju se s podacima portala e-Savjetovanja, koji ukazuju na prosječno trajanje savjetovanja od 24 dana. </w:t>
      </w:r>
    </w:p>
    <w:p w14:paraId="40B68ADF" w14:textId="59EC0A5C" w:rsidR="00DE0752" w:rsidRPr="00F0315E" w:rsidRDefault="00DE0752" w:rsidP="00DC0397">
      <w:pPr>
        <w:keepNext/>
        <w:widowControl w:val="0"/>
        <w:spacing w:before="240" w:after="0"/>
        <w:rPr>
          <w:rFonts w:cs="Arial"/>
          <w:sz w:val="18"/>
          <w:szCs w:val="18"/>
        </w:rPr>
      </w:pPr>
      <w:r w:rsidRPr="0020405C">
        <w:rPr>
          <w:rFonts w:cs="Arial"/>
          <w:sz w:val="18"/>
          <w:szCs w:val="18"/>
        </w:rPr>
        <w:lastRenderedPageBreak/>
        <w:t xml:space="preserve">Slika </w:t>
      </w:r>
      <w:r w:rsidR="000F1367" w:rsidRPr="0020405C">
        <w:rPr>
          <w:rFonts w:cs="Arial"/>
          <w:sz w:val="18"/>
          <w:szCs w:val="18"/>
        </w:rPr>
        <w:t>8</w:t>
      </w:r>
      <w:r w:rsidRPr="0020405C">
        <w:rPr>
          <w:rFonts w:cs="Arial"/>
          <w:sz w:val="18"/>
          <w:szCs w:val="18"/>
        </w:rPr>
        <w:t>.</w:t>
      </w:r>
      <w:r w:rsidR="00E00E59" w:rsidRPr="0020405C">
        <w:rPr>
          <w:rFonts w:cs="Arial"/>
          <w:sz w:val="18"/>
          <w:szCs w:val="18"/>
        </w:rPr>
        <w:t>7</w:t>
      </w:r>
      <w:r w:rsidRPr="0020405C">
        <w:rPr>
          <w:rFonts w:cs="Arial"/>
          <w:sz w:val="18"/>
          <w:szCs w:val="18"/>
        </w:rPr>
        <w:t xml:space="preserve">. Prosječni rokovi provedbe savjetovanja </w:t>
      </w:r>
      <w:r w:rsidR="00D618C8" w:rsidRPr="0020405C">
        <w:rPr>
          <w:rFonts w:cs="Arial"/>
          <w:sz w:val="18"/>
          <w:szCs w:val="18"/>
        </w:rPr>
        <w:t>u danima</w:t>
      </w:r>
      <w:r w:rsidR="00021548">
        <w:rPr>
          <w:rFonts w:cs="Arial"/>
          <w:sz w:val="18"/>
          <w:szCs w:val="18"/>
        </w:rPr>
        <w:t xml:space="preserve"> </w:t>
      </w:r>
    </w:p>
    <w:bookmarkEnd w:id="183"/>
    <w:p w14:paraId="35FA62BB" w14:textId="3540A656" w:rsidR="00DE0752" w:rsidRPr="000B13DD" w:rsidRDefault="0020405C" w:rsidP="00DE0752">
      <w:pPr>
        <w:spacing w:before="360"/>
        <w:jc w:val="center"/>
        <w:rPr>
          <w:sz w:val="23"/>
          <w:szCs w:val="23"/>
          <w14:textOutline w14:w="9525" w14:cap="rnd" w14:cmpd="sng" w14:algn="ctr">
            <w14:noFill/>
            <w14:prstDash w14:val="solid"/>
            <w14:bevel/>
          </w14:textOutline>
        </w:rPr>
      </w:pPr>
      <w:r>
        <w:rPr>
          <w:noProof/>
        </w:rPr>
        <w:drawing>
          <wp:inline distT="0" distB="0" distL="0" distR="0" wp14:anchorId="0C39EE9D" wp14:editId="5A1B42C1">
            <wp:extent cx="5760720" cy="1932709"/>
            <wp:effectExtent l="0" t="0" r="0" b="0"/>
            <wp:docPr id="1625751014" name="Grafikon 1">
              <a:extLst xmlns:a="http://schemas.openxmlformats.org/drawingml/2006/main">
                <a:ext uri="{FF2B5EF4-FFF2-40B4-BE49-F238E27FC236}">
                  <a16:creationId xmlns:a16="http://schemas.microsoft.com/office/drawing/2014/main" id="{991918EB-EEAE-A02B-D2B3-43E32CAA9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24E3B7" w14:textId="77777777" w:rsidR="00734A84" w:rsidRPr="00734A84" w:rsidRDefault="00734A84" w:rsidP="00734A84">
      <w:pPr>
        <w:rPr>
          <w:rFonts w:cs="Arial"/>
        </w:rPr>
      </w:pPr>
      <w:r w:rsidRPr="00734A84">
        <w:rPr>
          <w:rFonts w:cs="Arial"/>
        </w:rPr>
        <w:t>Zakonom propisani rok provedbe savjetovanja od, u pravilu, 30 dana najuspješnije ispunjavaju JLP(R)S koje su u izvještajnom razdoblju provodile savjetovanja u prosječnom trajanju od 29,9 dana. Tijela državne uprave, kao i pravne osobe s javnim ovlastima, provodila su savjetovanja u prosječnom trajanju od 27 dana, a državna tijela u prosječnom trajanju od 19,6 dana.</w:t>
      </w:r>
    </w:p>
    <w:p w14:paraId="6340A33E" w14:textId="77777777" w:rsidR="00734A84" w:rsidRPr="00734A84" w:rsidRDefault="00734A84" w:rsidP="00734A84">
      <w:pPr>
        <w:rPr>
          <w:rFonts w:cs="Arial"/>
        </w:rPr>
      </w:pPr>
      <w:r w:rsidRPr="00734A84">
        <w:rPr>
          <w:rFonts w:cs="Arial"/>
        </w:rPr>
        <w:t>Međutim, i dalje zabrinjava činjenica da se skraćivanje roka provedbe savjetovanja ne događa samo u iznimnim i opravdanim situacijama, već je često rezultat neadekvatnog planiranja unutar tijela javne vlasti.</w:t>
      </w:r>
    </w:p>
    <w:p w14:paraId="41C37177" w14:textId="77777777" w:rsidR="00734A84" w:rsidRPr="00734A84" w:rsidRDefault="00734A84" w:rsidP="00734A84">
      <w:pPr>
        <w:rPr>
          <w:rFonts w:cs="Arial"/>
        </w:rPr>
      </w:pPr>
      <w:r w:rsidRPr="00734A84">
        <w:rPr>
          <w:rFonts w:cs="Arial"/>
        </w:rPr>
        <w:t>Povjerenik u odgovorima na upite, postupanjima po predstavkama, edukacijama i u svim drugim prilikama opetovano upozorava obveznike provedbe savjetovanja na potrebu pravilne provedbe savjetovanja s javnošću, koje postiže svoju svrhu ako ostavlja dovoljno vremena za uključivanje svih zainteresiranih, osobito kad se radi o aktu koji je od interesa za velik broj građana. Svako skraćivanje roka odnosno odstupanje od pravila potrebno je obrazložiti opravdanim i izvanrednim razlozima u dokumentu koji se objavljuje uz akt koji se stavlja na savjetovanje.</w:t>
      </w:r>
    </w:p>
    <w:p w14:paraId="01E4CA4F" w14:textId="77777777" w:rsidR="00734A84" w:rsidRPr="00734A84" w:rsidRDefault="00734A84" w:rsidP="00734A84">
      <w:pPr>
        <w:rPr>
          <w:rFonts w:cs="Arial"/>
        </w:rPr>
      </w:pPr>
      <w:r w:rsidRPr="00734A84">
        <w:rPr>
          <w:rFonts w:cs="Arial"/>
        </w:rPr>
        <w:t>Prema prikupljenim podacima od tijela koja su provodila savjetovanja u 2025., njih 70% je objavljivalo ili djelomično objavljivalo obrazloženje razloga za skraćivanje roka provedbe savjetovanja s javnošću, što predstavlja povećanje od 9% u odnosu na prethodnu godinu. Mahom se radi o tijelima državne uprave, državnim tijelima i JLP(R)S. Navedena su obrazloženja osobito važna, jer predstavljaju jedan od mehanizama kontrole sukladnosti postupanja tijela s odredbama Zakona.</w:t>
      </w:r>
    </w:p>
    <w:p w14:paraId="4131F7A4" w14:textId="77777777" w:rsidR="00734A84" w:rsidRPr="00734A84" w:rsidRDefault="00734A84" w:rsidP="00734A84">
      <w:pPr>
        <w:rPr>
          <w:rFonts w:cs="Arial"/>
        </w:rPr>
      </w:pPr>
      <w:r w:rsidRPr="00734A84">
        <w:rPr>
          <w:rFonts w:cs="Arial"/>
        </w:rPr>
        <w:t>Kada je u pitanju objava dokumenta za savjetovanje s obrazloženjem razloga i ciljeva koji se žele postići donošenjem akta o kojem se provodi savjetovanje, 78% tijela javne vlasti izvijestilo je da je u 2025. objavljivalo navedene dokumente. S obzirom na to da je riječ o samoprocjeni, navedeni podatak treba uzeti s dozom opreza, jer praćenja Ureda ukazuju da tijela državne uprave, ali i JLP(R)S-i, često ne objavljuju poseban dokument koji na sažet način obrazlaže razloge i ciljeve koji se žele postići donošenjem akta. Naime, sadržaj koji je propisan poslovnicima (ocjena stanja, osnovna pitanja koja se trebaju urediti, posljedice koje će proizaći, obrazloženje), a koji se objavljuje u sklopu nacrta akata na savjetovanju, u pravilu je preopsežan i nedovoljno pregledan te se ne smatra obrazloženjem razloga i ciljeva u smislu ZPPI-ja.</w:t>
      </w:r>
    </w:p>
    <w:p w14:paraId="1F649592" w14:textId="34F6183C" w:rsidR="00E33BF9" w:rsidRDefault="00734A84" w:rsidP="00734A84">
      <w:pPr>
        <w:rPr>
          <w:rFonts w:cs="Arial"/>
        </w:rPr>
      </w:pPr>
      <w:r w:rsidRPr="00734A84">
        <w:rPr>
          <w:rFonts w:cs="Arial"/>
        </w:rPr>
        <w:lastRenderedPageBreak/>
        <w:t>Prilikom pokretanja savjetovanja s javnošću potrebno je objaviti i sastav radne skupine koja je izradila nacrt ako je odlukom čelnika tijela radna skupina osnovana. Prema dostavljenim podacima, sastave radnih skupina objavljivalo je 32% tijela javne vlasti, dok je njih 37% izvijestilo da ova zakonska odredba na njih nije bila primjenjiva. Isto predstavlja blago poboljšanje u odnosu na prethodnu godinu kada je sastave radnih skupina objavljivalo 29% tijela javne vlasti, dok je njih 35% izvijestilo da ova zakonska odredba na njih nije bila primjenjiva. Ukoliko za pojedine akte nije bila osnovana radna skupina, preporuka je Povjerenika da se ta informacija svakako objavi prilikom pokretanja savjetovanja s javnošću, kako bi bilo jasno da u tom slučaju sastav radne skupine nije ni moguće objaviti.</w:t>
      </w:r>
    </w:p>
    <w:p w14:paraId="6AD70DDF" w14:textId="72A1384A" w:rsidR="00E33BF9" w:rsidRPr="00AF25DD" w:rsidRDefault="00E33BF9" w:rsidP="0052400E">
      <w:pPr>
        <w:spacing w:before="240" w:after="240"/>
        <w:rPr>
          <w:b/>
          <w:bCs/>
        </w:rPr>
      </w:pPr>
      <w:r w:rsidRPr="00AF25DD">
        <w:rPr>
          <w:b/>
          <w:bCs/>
        </w:rPr>
        <w:t>Objava izvješća o provedenom savjetovanju</w:t>
      </w:r>
    </w:p>
    <w:p w14:paraId="6BB4E87C" w14:textId="469630C6" w:rsidR="00E33BF9" w:rsidRPr="008A5F51" w:rsidRDefault="00574F9B" w:rsidP="00E33BF9">
      <w:pPr>
        <w:rPr>
          <w:rFonts w:cs="Arial"/>
        </w:rPr>
      </w:pPr>
      <w:r w:rsidRPr="00574F9B">
        <w:rPr>
          <w:rFonts w:cs="Arial"/>
        </w:rPr>
        <w:t>Jedan od ključnih koraka provedbe savjetovanja s javnošću jest objava izvješća o provedenom savjetovanju (s odgovorima na pristigle komentare, mišljenja i prijedloge), kao posljednji korak dijaloga s javnošću u postupku pripreme akata i drugih propisa. 89% tijela javne vlasti je izvijestilo kako objavljuju izvješća ili to čine makar djelomično, što je povećanje od 9% u odnosu na prethodnu godinu. Valja naglasiti da izostanak objave izvješća bitno narušava odnos povjerenja i suradnje između građana i javne uprave, posebno na lokalnoj razini.</w:t>
      </w:r>
    </w:p>
    <w:p w14:paraId="43D9BCAB" w14:textId="15F15169" w:rsidR="00DE0752" w:rsidRPr="00F0315E" w:rsidRDefault="00DE0752" w:rsidP="00E77389">
      <w:pPr>
        <w:keepNext/>
        <w:widowControl w:val="0"/>
        <w:spacing w:before="240"/>
        <w:rPr>
          <w:rFonts w:cs="Arial"/>
          <w:sz w:val="18"/>
          <w:szCs w:val="18"/>
        </w:rPr>
      </w:pPr>
      <w:r w:rsidRPr="00F0315E">
        <w:rPr>
          <w:rFonts w:cs="Arial"/>
          <w:sz w:val="18"/>
          <w:szCs w:val="18"/>
        </w:rPr>
        <w:t xml:space="preserve">Slika </w:t>
      </w:r>
      <w:r w:rsidR="00414489" w:rsidRPr="00F0315E">
        <w:rPr>
          <w:rFonts w:cs="Arial"/>
          <w:sz w:val="18"/>
          <w:szCs w:val="18"/>
        </w:rPr>
        <w:t>8.</w:t>
      </w:r>
      <w:r w:rsidR="00E00E59" w:rsidRPr="00F0315E">
        <w:rPr>
          <w:rFonts w:cs="Arial"/>
          <w:sz w:val="18"/>
          <w:szCs w:val="18"/>
        </w:rPr>
        <w:t>8</w:t>
      </w:r>
      <w:r w:rsidRPr="00F0315E">
        <w:rPr>
          <w:rFonts w:cs="Arial"/>
          <w:sz w:val="18"/>
          <w:szCs w:val="18"/>
        </w:rPr>
        <w:t>. Objava izvješća o savjetovanjima u 202</w:t>
      </w:r>
      <w:r w:rsidR="00E33BF9">
        <w:rPr>
          <w:rFonts w:cs="Arial"/>
          <w:sz w:val="18"/>
          <w:szCs w:val="18"/>
        </w:rPr>
        <w:t>5</w:t>
      </w:r>
      <w:r w:rsidRPr="00F0315E">
        <w:rPr>
          <w:rFonts w:cs="Arial"/>
          <w:sz w:val="18"/>
          <w:szCs w:val="18"/>
        </w:rPr>
        <w:t xml:space="preserve">.  </w:t>
      </w:r>
    </w:p>
    <w:p w14:paraId="1327C464" w14:textId="58F3D663" w:rsidR="00DE0752" w:rsidRPr="00F0315E" w:rsidRDefault="00E33BF9" w:rsidP="00DE0752">
      <w:pPr>
        <w:rPr>
          <w:sz w:val="23"/>
          <w:szCs w:val="23"/>
        </w:rPr>
      </w:pPr>
      <w:r>
        <w:rPr>
          <w:noProof/>
          <w14:ligatures w14:val="standardContextual"/>
        </w:rPr>
        <w:drawing>
          <wp:inline distT="0" distB="0" distL="0" distR="0" wp14:anchorId="1D746EC8" wp14:editId="2C9671AF">
            <wp:extent cx="5760720" cy="2631057"/>
            <wp:effectExtent l="0" t="0" r="0" b="0"/>
            <wp:docPr id="1163033698" name="Grafikon 1">
              <a:extLst xmlns:a="http://schemas.openxmlformats.org/drawingml/2006/main">
                <a:ext uri="{FF2B5EF4-FFF2-40B4-BE49-F238E27FC236}">
                  <a16:creationId xmlns:a16="http://schemas.microsoft.com/office/drawing/2014/main" id="{F39475E6-612D-D070-DFAD-0CECAFB553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F8E952" w14:textId="77777777" w:rsidR="00DE0752" w:rsidRPr="00021548" w:rsidRDefault="00DE0752" w:rsidP="009032D7">
      <w:pPr>
        <w:pStyle w:val="Naslov3"/>
        <w:ind w:left="1985"/>
      </w:pPr>
      <w:bookmarkStart w:id="184" w:name="_Toc131070636"/>
      <w:bookmarkStart w:id="185" w:name="_Toc192751456"/>
      <w:bookmarkStart w:id="186" w:name="_Toc225865624"/>
      <w:r>
        <w:t>Praćenje provedbe savjetovanja s javnošću od strane Povjerenika</w:t>
      </w:r>
      <w:bookmarkEnd w:id="184"/>
      <w:bookmarkEnd w:id="185"/>
      <w:bookmarkEnd w:id="186"/>
    </w:p>
    <w:p w14:paraId="038A75E3" w14:textId="77777777" w:rsidR="00E4272A" w:rsidRPr="00E4272A" w:rsidRDefault="00E4272A" w:rsidP="00E4272A">
      <w:pPr>
        <w:rPr>
          <w:rFonts w:cs="Arial"/>
        </w:rPr>
      </w:pPr>
      <w:r w:rsidRPr="00E4272A">
        <w:rPr>
          <w:rFonts w:cs="Arial"/>
        </w:rPr>
        <w:t xml:space="preserve">Povjerenik redovito, postupajući po predstavkama ili samoinicijativno, prati provedbu savjetovanja s javnošću uvidom u internetske stranice tijela javne vlasti i portal e-Savjetovanja. </w:t>
      </w:r>
    </w:p>
    <w:p w14:paraId="71D93E56" w14:textId="77777777" w:rsidR="00E4272A" w:rsidRPr="00E4272A" w:rsidRDefault="00E4272A" w:rsidP="00E4272A">
      <w:pPr>
        <w:rPr>
          <w:rFonts w:cs="Arial"/>
        </w:rPr>
      </w:pPr>
      <w:r w:rsidRPr="00E4272A">
        <w:rPr>
          <w:rFonts w:cs="Arial"/>
        </w:rPr>
        <w:t xml:space="preserve">Najčešće nepravilnosti utvrđene praćenjima odnosile su se na trajanje savjetovanja i nedostatak obrazloženja za skraćivanje roka trajanja savjetovanja. U situacijama kada je akt još bio u proceduri donošenja, Povjerenik je tražio produljenje roka savjetovanja ili organiziranje još jednog kruga savjetovanja do kumulativno ispunjenog zakonskog roka za akte o kojima savjetovanje još nije bilo zatvoreno. Tijela koja su bila stručni nositelji izrade akta upućivalo se na ispravnu procjenu valjanih razloga za skraćivanje roka provedbe </w:t>
      </w:r>
      <w:r w:rsidRPr="00E4272A">
        <w:rPr>
          <w:rFonts w:cs="Arial"/>
        </w:rPr>
        <w:lastRenderedPageBreak/>
        <w:t>savjetovanja, kao i na objavu argumentiranog obrazloženja za skraćivanje roka u dokumentu uz savjetovanje koji se, prema ZPPI-ju, objavljuje uz akt koji se stavlja na savjetovanje.</w:t>
      </w:r>
    </w:p>
    <w:p w14:paraId="363954E8" w14:textId="77777777" w:rsidR="00E4272A" w:rsidRPr="00E4272A" w:rsidRDefault="00E4272A" w:rsidP="00E4272A">
      <w:pPr>
        <w:rPr>
          <w:rFonts w:cs="Arial"/>
        </w:rPr>
      </w:pPr>
      <w:r w:rsidRPr="00E4272A">
        <w:rPr>
          <w:rFonts w:cs="Arial"/>
        </w:rPr>
        <w:t>Korisnici su, osim skraćivanja roka, ukazivali i na neobjavljivanje izvješća o provedenom savjetovanju te na neobjavljivanje i neažuriranje plana savjetovanja s javnošću. Osim navedenog, korisnici su u svojim predstavkama ukazivali i na izostanak provedbe savjetovanja s javnošću o aktima koje donose JLP(R)S , a koje još uvijek nedovoljno precizno identificiraju akte za koje je potrebno provoditi savjetovanje s javnošću.</w:t>
      </w:r>
    </w:p>
    <w:p w14:paraId="507B1395" w14:textId="77777777" w:rsidR="00E4272A" w:rsidRPr="00E4272A" w:rsidRDefault="00E4272A" w:rsidP="00E4272A">
      <w:pPr>
        <w:rPr>
          <w:rFonts w:cs="Arial"/>
        </w:rPr>
      </w:pPr>
      <w:r w:rsidRPr="00E4272A">
        <w:rPr>
          <w:rFonts w:cs="Arial"/>
        </w:rPr>
        <w:t>Međutim, korisnici su podnosili i predstavke vezane za već donesene akte o kojima prethodno nije bilo provedeno savjetovanje. Povjerenik je u takvim slučajevima upućivao korisnike na mogućnost pokretanja postupka ocjene zakonitosti općeg akta pred Visokim upravnim sudom RH, jer Povjerenik nema ovlast obustave ni stavljanja akata izvan snage u slučaju nepravilno provedenog postupka savjetovanja.</w:t>
      </w:r>
    </w:p>
    <w:p w14:paraId="715493C0" w14:textId="1CAB2A06" w:rsidR="007F683F" w:rsidRPr="008A5F51" w:rsidRDefault="00E4272A" w:rsidP="00E4272A">
      <w:pPr>
        <w:rPr>
          <w:rFonts w:cs="Arial"/>
        </w:rPr>
      </w:pPr>
      <w:r w:rsidRPr="00E4272A">
        <w:rPr>
          <w:rFonts w:cs="Arial"/>
        </w:rPr>
        <w:t>Ukazivanje korisnika na nepravilnosti u provedbi savjetovanja s javnošću zahtijeva kontinuiranu provedbu inspekcijskih nadzora te edukaciju u tom važnom području, posebno na lokalnoj razini.</w:t>
      </w:r>
    </w:p>
    <w:p w14:paraId="296F72AE" w14:textId="3904E058" w:rsidR="00DE0752" w:rsidRPr="00021548" w:rsidRDefault="00DE0752" w:rsidP="009032D7">
      <w:pPr>
        <w:pStyle w:val="Naslov3"/>
        <w:ind w:left="1985"/>
      </w:pPr>
      <w:bookmarkStart w:id="187" w:name="_Toc131070637"/>
      <w:bookmarkStart w:id="188" w:name="_Toc192751457"/>
      <w:bookmarkStart w:id="189" w:name="_Toc225865625"/>
      <w:r>
        <w:t>Analitička praćenja provedbe savjetovanja s ja</w:t>
      </w:r>
      <w:bookmarkEnd w:id="187"/>
      <w:r>
        <w:t>vnošću</w:t>
      </w:r>
      <w:bookmarkEnd w:id="188"/>
      <w:bookmarkEnd w:id="189"/>
    </w:p>
    <w:p w14:paraId="1DBE63AB" w14:textId="77777777" w:rsidR="003F544E" w:rsidRPr="003F544E" w:rsidRDefault="003F544E" w:rsidP="003F544E">
      <w:pPr>
        <w:rPr>
          <w:rFonts w:cs="Arial"/>
        </w:rPr>
      </w:pPr>
      <w:bookmarkStart w:id="190" w:name="_Toc131070641"/>
      <w:bookmarkStart w:id="191" w:name="_Toc192751458"/>
      <w:r w:rsidRPr="003F544E">
        <w:rPr>
          <w:rFonts w:cs="Arial"/>
        </w:rPr>
        <w:t>Povjerenik kao neovisno tijelo koje štiti, prati i promiče pravo na pristup informacijama, od 2016. godine sustavno prati primjenu članka 11. Zakona, odnosno provedbu savjetovanja s javnošću pri donošenju zakona i podzakonskih propisa, kao i pri donošenju strateških i planskih dokumenata kojima se utječe na interese građana i pravnih osoba u tijelima javne vlasti na središnjoj državnoj razini.</w:t>
      </w:r>
    </w:p>
    <w:p w14:paraId="2C026905" w14:textId="77777777" w:rsidR="003F544E" w:rsidRPr="003F544E" w:rsidRDefault="003F544E" w:rsidP="003F544E">
      <w:pPr>
        <w:rPr>
          <w:rFonts w:cs="Arial"/>
        </w:rPr>
      </w:pPr>
      <w:r w:rsidRPr="003F544E">
        <w:rPr>
          <w:rFonts w:cs="Arial"/>
        </w:rPr>
        <w:t xml:space="preserve">Od 2021. godine Povjerenik, uz dubinska analitička praćenja pojedinih tijela, prati i provedbu savjetovanja s javnošću pregledom središnjeg portala za provedbu savjetovanja s javnošću „e-Savjetovanja“ na odabrani dan. </w:t>
      </w:r>
    </w:p>
    <w:p w14:paraId="7383ACBF" w14:textId="77777777" w:rsidR="003F544E" w:rsidRPr="003F544E" w:rsidRDefault="003F544E" w:rsidP="003F544E">
      <w:pPr>
        <w:rPr>
          <w:rFonts w:cs="Arial"/>
        </w:rPr>
      </w:pPr>
      <w:r w:rsidRPr="003F544E">
        <w:rPr>
          <w:rFonts w:cs="Arial"/>
        </w:rPr>
        <w:t xml:space="preserve">U 2025. godini pregled savjetovanja na portalu izvršen je na dane 30. lipnja i 20. studenog studenoga te se pregledom utvrđivalo: koja se savjetovanja ne provode u odgovarajućem roku, za koja savjetovanja nije objavljeno obrazloženje za skraćivanje roka te za koja završena savjetovanja nije objavljeno izvješće s odgovorima na pristigle komentare i mišljenja. Pregledom su bila obuhvaćena sva tijela koja koriste portal kao platformu za ispunjavanje obaveze provedbe savjetovanja s javnošću. Traženjem postupanja zbog uočenih nepravilnosti bili su obuhvaćeni Ministarstvo zdravstva (30. lipnja 2025.), Ministarstvo mora, prometa i infrastrukture (30. lipnja 2025.), Ministarstvo poljoprivrede, šumarstva i ribarstva (30. lipnja 2025.), Ministarstvo pravosuđa, uprave i digitalne transformacije (20. studenog 2025.) i Ministarstvo kulture i medija (20. studenog 2025.). </w:t>
      </w:r>
    </w:p>
    <w:p w14:paraId="1D87039D" w14:textId="77777777" w:rsidR="003F544E" w:rsidRPr="003F544E" w:rsidRDefault="003F544E" w:rsidP="003F544E">
      <w:pPr>
        <w:rPr>
          <w:rFonts w:cs="Arial"/>
        </w:rPr>
      </w:pPr>
      <w:r w:rsidRPr="003F544E">
        <w:rPr>
          <w:rFonts w:cs="Arial"/>
        </w:rPr>
        <w:t>Nadalje, provedeno je dubinsko analitičko praćenje provedbe savjetovanja u 2025. godini za tri ministarstva: Ministarstvo pravosuđa, uprave i digitalne transformacije, Ministarstvo financija i Ministarstvo unutarnjih poslova.</w:t>
      </w:r>
    </w:p>
    <w:p w14:paraId="5FA26AFC" w14:textId="77777777" w:rsidR="003F544E" w:rsidRPr="003F544E" w:rsidRDefault="003F544E" w:rsidP="003F544E">
      <w:pPr>
        <w:rPr>
          <w:rFonts w:cs="Arial"/>
        </w:rPr>
      </w:pPr>
      <w:r w:rsidRPr="003F544E">
        <w:rPr>
          <w:rFonts w:cs="Arial"/>
        </w:rPr>
        <w:t xml:space="preserve">Provedenim praćenjima se ujedno ispunjavaju aktivnosti br. 109. i 110. Akcijskog plana za razdoblje od 2025. do 2027. godine uz Strategiju sprječavanja korupcije za razdoblje od 2021. do 2030. godine. Nalazi analitičkih praćenja su se razlikovali za svako pojedino tijelo, a </w:t>
      </w:r>
      <w:r w:rsidRPr="003F544E">
        <w:rPr>
          <w:rFonts w:cs="Arial"/>
        </w:rPr>
        <w:lastRenderedPageBreak/>
        <w:t>preporuke Povjerenika su se odnosile na potrebu redovitog ažuriranja plana savjetovanja s javnošću koji treba uključivati sve akte o kojima se planira provesti savjetovanje; na ustrojavanje rubrike vezane za savjetovanja s javnošću na internetskoj stranici; na informiranje javnosti o otvaranju savjetovanja s javnošću putem svoje internetske stranice; na objavljivanje dokumenta s adekvatnim obrazloženjem opravdanosti razloga koji su doveli do skraćivanja roka savjetovanja; na objavljivanje sastava radne skupine koja je izradila nacrt ako je odlukom čelnika tijela radna skupina bila osnovana, kao i obavijesti da za izradu akta nije osnovana radna skupina; na vođenje računa o kvalitetnoj i argumentiranoj obradi pristiglih komentara i prijedloga javnosti i dr.</w:t>
      </w:r>
    </w:p>
    <w:p w14:paraId="74EF344A" w14:textId="77777777" w:rsidR="003F544E" w:rsidRPr="003F544E" w:rsidRDefault="003F544E" w:rsidP="003F544E">
      <w:pPr>
        <w:rPr>
          <w:rFonts w:cs="Arial"/>
        </w:rPr>
      </w:pPr>
      <w:r w:rsidRPr="003F544E">
        <w:rPr>
          <w:rFonts w:cs="Arial"/>
        </w:rPr>
        <w:t xml:space="preserve">Dodatno praćenje, nazvano Ispunjenje obveze savjetovanja s javnošću tijela javne vlasti, provedeno je za potrebe edukacija o provedbi savjetovanja s javnošću koje Povjerenik kontinuirano provodi putem Državne škole za javnu upravu. Predmetnim praćenjem analizirane su internetske stranice tijela javne vlasti čiji službenici su bili polaznici edukacija te su rezultati analiza prikazani na edukacijama. Tijekom 2025. godine u Državnoj školi za javnu upravu održane su tri poludnevne edukacije „Provedba savjetovanja s javnošću sukladno Zakonu o pravu na pristup informacijama“. </w:t>
      </w:r>
    </w:p>
    <w:p w14:paraId="761C7F8D" w14:textId="0B61A5F6" w:rsidR="007F683F" w:rsidRPr="008A5F51" w:rsidRDefault="003F544E" w:rsidP="003F544E">
      <w:pPr>
        <w:rPr>
          <w:rFonts w:cs="Arial"/>
          <w:u w:val="single"/>
        </w:rPr>
      </w:pPr>
      <w:r w:rsidRPr="003F544E">
        <w:rPr>
          <w:rFonts w:cs="Arial"/>
        </w:rPr>
        <w:t xml:space="preserve">Sva spomenuta analitička praćenja se mogu pronaći na internetskoj stranici Povjerenika na poveznici </w:t>
      </w:r>
      <w:hyperlink r:id="rId38" w:history="1">
        <w:r w:rsidRPr="00366BDF">
          <w:rPr>
            <w:rStyle w:val="Hiperveza"/>
            <w:rFonts w:cs="Arial"/>
          </w:rPr>
          <w:t>https://pristupinfo.hr/dokumenti-i-publikacije/analiticka-izvjesca/</w:t>
        </w:r>
      </w:hyperlink>
      <w:r w:rsidRPr="003F544E">
        <w:rPr>
          <w:rFonts w:cs="Arial"/>
        </w:rPr>
        <w:t>.</w:t>
      </w:r>
    </w:p>
    <w:p w14:paraId="0D06DF97" w14:textId="77777777" w:rsidR="00DE0752" w:rsidRPr="00021548" w:rsidRDefault="00DE0752" w:rsidP="009032D7">
      <w:pPr>
        <w:pStyle w:val="Naslov3"/>
        <w:ind w:left="1985"/>
      </w:pPr>
      <w:bookmarkStart w:id="192" w:name="_Toc225865626"/>
      <w:r>
        <w:t>Provedba savjetovanja putem portala e-Savjetovanja</w:t>
      </w:r>
      <w:bookmarkEnd w:id="190"/>
      <w:bookmarkEnd w:id="191"/>
      <w:bookmarkEnd w:id="192"/>
    </w:p>
    <w:p w14:paraId="1EBE627C" w14:textId="77777777" w:rsidR="00802D69" w:rsidRPr="00802D69" w:rsidRDefault="00802D69" w:rsidP="00802D69">
      <w:pPr>
        <w:rPr>
          <w:rFonts w:cs="Arial"/>
        </w:rPr>
      </w:pPr>
      <w:r w:rsidRPr="00802D69">
        <w:rPr>
          <w:rFonts w:cs="Arial"/>
        </w:rPr>
        <w:t>Važan segment za praćenje trendova ispunjavanja zakonske obveze savjetovanja s javnošću su informacije o korištenju portala e-Savjetovanja. Portal koriste sva tijela državne uprave, druga državna tijela, ali i tri jedinice lokalne i područne (regionalne) samouprave. Naime, kao rezultat projekta „e-Savjetovanja - proširenja, nadgradnje i unaprjeđenje zakonodavnih procesa savjetovanja s javnošću“, u svibnju 2024. pušten je u rad unaprjeđeni portal te je jedinicama lokalne i područne (regionalne) samouprave omogućeno provođenje savjetovanja putem portala.</w:t>
      </w:r>
    </w:p>
    <w:p w14:paraId="08D50059" w14:textId="77777777" w:rsidR="00802D69" w:rsidRPr="00802D69" w:rsidRDefault="00802D69" w:rsidP="00802D69">
      <w:pPr>
        <w:rPr>
          <w:rFonts w:cs="Arial"/>
        </w:rPr>
      </w:pPr>
      <w:r w:rsidRPr="00802D69">
        <w:rPr>
          <w:rFonts w:cs="Arial"/>
        </w:rPr>
        <w:t xml:space="preserve">Prema podacima Ureda za zakonodavstvo Vlade RH, putem portala je u 2025. provedeno ukupno 809 savjetovanja, što je nešto manje provedenih savjetovanja u odnosu na 2024. kada su ukupno provedena 896 savjetovanja. </w:t>
      </w:r>
    </w:p>
    <w:p w14:paraId="6E7B0CE1" w14:textId="77777777" w:rsidR="00802D69" w:rsidRPr="00802D69" w:rsidRDefault="00802D69" w:rsidP="00802D69">
      <w:pPr>
        <w:rPr>
          <w:rFonts w:cs="Arial"/>
        </w:rPr>
      </w:pPr>
      <w:r w:rsidRPr="00802D69">
        <w:rPr>
          <w:rFonts w:cs="Arial"/>
        </w:rPr>
        <w:t>Kada je riječ o trajanju savjetovanja, podaci iz sustava e-Savjetovanja pokazuju kako su savjetovanja prosječno trajala 24 dana za propise svih razina, što predstavlja povećanje u odnosu na podatke iz 2024., kad su savjetovanja u prosjeku trajala 22 dana.</w:t>
      </w:r>
    </w:p>
    <w:p w14:paraId="01A9F693" w14:textId="77777777" w:rsidR="00802D69" w:rsidRPr="00802D69" w:rsidRDefault="00802D69" w:rsidP="00802D69">
      <w:pPr>
        <w:rPr>
          <w:rFonts w:cs="Arial"/>
        </w:rPr>
      </w:pPr>
      <w:r w:rsidRPr="00802D69">
        <w:rPr>
          <w:rFonts w:cs="Arial"/>
        </w:rPr>
        <w:t xml:space="preserve">Od ukupno 809 provedenih savjetovanja, njih 94, odnosno 12% trajalo je 30 ili više dana, dok je preostalih 715 savjetovanja trajalo do 30 dana. Praćenja Povjerenika pokazala su da tijela često dan postavljanja nacrta akta na savjetovanje uračunavaju u rok provedbe savjetovanja, te posljedično određen broj savjetovanja provode zapravo u trajanju od 28 ili 29 dana. </w:t>
      </w:r>
    </w:p>
    <w:p w14:paraId="706508FE" w14:textId="77777777" w:rsidR="00802D69" w:rsidRPr="00802D69" w:rsidRDefault="00802D69" w:rsidP="00802D69">
      <w:pPr>
        <w:rPr>
          <w:rFonts w:cs="Arial"/>
        </w:rPr>
      </w:pPr>
      <w:r w:rsidRPr="00802D69">
        <w:rPr>
          <w:rFonts w:cs="Arial"/>
        </w:rPr>
        <w:t>Najveći broj savjetovanja s javnošću tijekom 2025. proveli su Ministarstvo poljoprivrede, šumarstva i ribarstva (142) i Ministarstvo financija (110), zatim slijede Ministarstvo pravosuđa, uprave i digitalne transformacije (59) te Hrvatska agencija za nadzor financijskih usluga (58).</w:t>
      </w:r>
    </w:p>
    <w:p w14:paraId="6F16DCD3" w14:textId="77777777" w:rsidR="00802D69" w:rsidRPr="00802D69" w:rsidRDefault="00802D69" w:rsidP="00802D69">
      <w:pPr>
        <w:rPr>
          <w:rFonts w:cs="Arial"/>
        </w:rPr>
      </w:pPr>
      <w:r w:rsidRPr="00802D69">
        <w:rPr>
          <w:rFonts w:cs="Arial"/>
        </w:rPr>
        <w:lastRenderedPageBreak/>
        <w:t xml:space="preserve">U 2025. godini putem portala e-Savjetovanja ukupno je zaprimljeno 25.657 komentara od strane 6.911 osoba (najčešće pojedinci, trgovačka društva, udruge). </w:t>
      </w:r>
    </w:p>
    <w:p w14:paraId="088DFFD5" w14:textId="5B228D40" w:rsidR="007F683F" w:rsidRDefault="00802D69" w:rsidP="00802D69">
      <w:pPr>
        <w:rPr>
          <w:rFonts w:cs="Arial"/>
        </w:rPr>
      </w:pPr>
      <w:r w:rsidRPr="00802D69">
        <w:rPr>
          <w:rFonts w:cs="Arial"/>
        </w:rPr>
        <w:t>Sukladno članku 30. Zakona o instrumentima politike boljih propisa, Vlada RH, na prijedlog Ureda za zakonodavstvo Vlade RH, usvaja Godišnje izvješće o provedbi savjetovanja s javnošću u postupcima donošenja zakona i drugih propisa u prvom tromjesečju tekuće godine za prethodnu godinu. Stoga će detaljni podaci o broju pristiglih komentara, broju i sastavu sudionika u savjetovanjima te udjelima prihvaćenih i neprihvaćenih komentara u okviru savjetovanja provedenih putem portala e-Savjetovanja biti sadržani u predmetnom izvješću.</w:t>
      </w:r>
    </w:p>
    <w:p w14:paraId="4FDD4CC4" w14:textId="77777777" w:rsidR="007F683F" w:rsidRPr="00021548" w:rsidRDefault="007F683F" w:rsidP="009032D7">
      <w:pPr>
        <w:pStyle w:val="Naslov3"/>
        <w:ind w:left="1985"/>
      </w:pPr>
      <w:bookmarkStart w:id="193" w:name="_Toc225511736"/>
      <w:bookmarkStart w:id="194" w:name="_Toc225865627"/>
      <w:bookmarkStart w:id="195" w:name="_Hlk225510096"/>
      <w:r>
        <w:t>Davanje mišljenja tijelima javne vlasti o provedbi savjetovanja</w:t>
      </w:r>
      <w:bookmarkEnd w:id="193"/>
      <w:bookmarkEnd w:id="194"/>
    </w:p>
    <w:bookmarkEnd w:id="195"/>
    <w:p w14:paraId="3B9C6AC9" w14:textId="77777777" w:rsidR="008E0EA5" w:rsidRPr="008E0EA5" w:rsidRDefault="008E0EA5" w:rsidP="008E0EA5">
      <w:pPr>
        <w:rPr>
          <w:rFonts w:cs="Arial"/>
        </w:rPr>
      </w:pPr>
      <w:r w:rsidRPr="008E0EA5">
        <w:rPr>
          <w:rFonts w:cs="Arial"/>
        </w:rPr>
        <w:t xml:space="preserve">U 2025. godini Povjerenik je nastavio s praksom davanja mišljenja i preporuka tijelima javne vlasti s ciljem ujednačene primjene članka 11. ZPPI-ja. Poseban izazov tijelima predstavlja identificiranje akata za koje je potrebno provesti postupak savjetovanja s javnošću, odnosno utvrđivanje općih akata te strateških i planskih dokumenata kojima se utječe na interese građana i pravnih osoba. </w:t>
      </w:r>
    </w:p>
    <w:p w14:paraId="7AB961FB" w14:textId="77777777" w:rsidR="008E0EA5" w:rsidRPr="008E0EA5" w:rsidRDefault="008E0EA5" w:rsidP="008E0EA5">
      <w:pPr>
        <w:rPr>
          <w:rFonts w:cs="Arial"/>
        </w:rPr>
      </w:pPr>
      <w:r w:rsidRPr="008E0EA5">
        <w:rPr>
          <w:rFonts w:cs="Arial"/>
        </w:rPr>
        <w:t>Povjerenik ukazuje da tijelo javne vlasti (koje je nositelj izrade nacrta/prijedloga akta) s obzirom na karakter i vrstu akta kojeg donosi (ili čije donošenje predlaže) treba samostalno utvrditi utječe li se tim aktom na interese građana i pravnih osoba i je li prilikom njegovog donošenja dužno provesti postupak savjetovanja s javnošću.</w:t>
      </w:r>
    </w:p>
    <w:p w14:paraId="34F0C688" w14:textId="77777777" w:rsidR="008E0EA5" w:rsidRPr="008E0EA5" w:rsidRDefault="008E0EA5" w:rsidP="008E0EA5">
      <w:pPr>
        <w:rPr>
          <w:rFonts w:cs="Arial"/>
        </w:rPr>
      </w:pPr>
      <w:r w:rsidRPr="008E0EA5">
        <w:rPr>
          <w:rFonts w:cs="Arial"/>
        </w:rPr>
        <w:t>Iako ZPPI ne propisuje iznimke od provedbe savjetovanja s javnošću, u praksi se pokazalo da postoje slučajevi kada provedba savjetovanja s javnošću nije svrsishodna. Sukladno tome, Povjerenik je u Smjernicama za primjenu članka 11. ZPPI-ja zauzeo stav kako za izmjene i dopune akata koje se odnose na tehničko usklađivanje s aktima više razine (primjerice prilagodba akata u smislu izmjene naziva tijela i slično) nije potrebno provoditi savjetovanja, uz uvjet da se izmjene odnose samo na spomenute izmjene tehničkog karaktera. Također, Povjerenik je ukazao da opći akti koji imaju interni karakter u smislu primjene na samo unutarnje funkcioniranje tijela (npr. strateški planovi sukladno Zakonu o proračunu, godišnji plan rada), nisu akti za koje je potrebno provoditi savjetovanja s javnošću.</w:t>
      </w:r>
    </w:p>
    <w:p w14:paraId="5E42CFD0" w14:textId="13FD1C10" w:rsidR="007F683F" w:rsidRPr="00557980" w:rsidRDefault="008E0EA5" w:rsidP="008E0EA5">
      <w:pPr>
        <w:rPr>
          <w:rFonts w:cs="Arial"/>
        </w:rPr>
      </w:pPr>
      <w:r w:rsidRPr="008E0EA5">
        <w:rPr>
          <w:rFonts w:cs="Arial"/>
        </w:rPr>
        <w:t>Uzimajući u obzir dugogodišnju praksu, ali i sve češće zahtjeve tijela za tumačenjem mogućih iznimki od provedbe savjetovanja, utvrđeno je kako je potrebno odrediti eventualne iznimke od provedbe savjetovanja s javnošću. Isto tako, iako Zakon ne propisuje mogućnost skraćivanja roka savjetovanja, u praksi se pojavljuju situacije kada objektivno nije moguće provesti savjetovanje u roku od 30 dana, stoga je potrebno razmotriti određivanje situacija u kojima savjetovanje iznimno može trajati kraće od 30 dana.</w:t>
      </w:r>
    </w:p>
    <w:p w14:paraId="5B1F8926" w14:textId="77777777" w:rsidR="00741ADB" w:rsidRPr="00741ADB" w:rsidRDefault="00741ADB" w:rsidP="00741ADB">
      <w:pPr>
        <w:pBdr>
          <w:top w:val="single" w:sz="4" w:space="1" w:color="auto"/>
          <w:left w:val="single" w:sz="4" w:space="4" w:color="auto"/>
          <w:bottom w:val="single" w:sz="4" w:space="1" w:color="auto"/>
          <w:right w:val="single" w:sz="4" w:space="4" w:color="auto"/>
        </w:pBdr>
        <w:rPr>
          <w:rFonts w:cs="Arial"/>
        </w:rPr>
      </w:pPr>
      <w:r w:rsidRPr="00741ADB">
        <w:rPr>
          <w:rFonts w:cs="Arial"/>
        </w:rPr>
        <w:t>U 2025. godini tijela javne vlasti provela su ukupno 7.099 savjetovanja s javnošću, što je najviše savjetovanja s javnošću od početka praćenja ispunjavanja ove zakonske obveze.</w:t>
      </w:r>
    </w:p>
    <w:p w14:paraId="63DD525D" w14:textId="77777777" w:rsidR="00741ADB" w:rsidRPr="00741ADB" w:rsidRDefault="00741ADB" w:rsidP="00741ADB">
      <w:pPr>
        <w:pBdr>
          <w:top w:val="single" w:sz="4" w:space="1" w:color="auto"/>
          <w:left w:val="single" w:sz="4" w:space="4" w:color="auto"/>
          <w:bottom w:val="single" w:sz="4" w:space="1" w:color="auto"/>
          <w:right w:val="single" w:sz="4" w:space="4" w:color="auto"/>
        </w:pBdr>
        <w:rPr>
          <w:rFonts w:cs="Arial"/>
        </w:rPr>
      </w:pPr>
      <w:r w:rsidRPr="00741ADB">
        <w:rPr>
          <w:rFonts w:cs="Arial"/>
        </w:rPr>
        <w:t>Uočen je blagi napredak u ispunjavanju razine zakonske obveze koja se odnosi na objavu plana savjetovanja s javnošću, iako i dalje tek nešto više od polovice tijela objavljuje planove savjetovanja, što ukazuje na nedovoljnu razinu planiranja unutar tijela javne vlasti.</w:t>
      </w:r>
    </w:p>
    <w:p w14:paraId="3CADB8A4" w14:textId="77777777" w:rsidR="00741ADB" w:rsidRPr="00741ADB" w:rsidRDefault="00741ADB" w:rsidP="00741ADB">
      <w:pPr>
        <w:pBdr>
          <w:top w:val="single" w:sz="4" w:space="1" w:color="auto"/>
          <w:left w:val="single" w:sz="4" w:space="4" w:color="auto"/>
          <w:bottom w:val="single" w:sz="4" w:space="1" w:color="auto"/>
          <w:right w:val="single" w:sz="4" w:space="4" w:color="auto"/>
        </w:pBdr>
        <w:rPr>
          <w:rFonts w:cs="Arial"/>
        </w:rPr>
      </w:pPr>
      <w:r w:rsidRPr="00741ADB">
        <w:rPr>
          <w:rFonts w:cs="Arial"/>
        </w:rPr>
        <w:lastRenderedPageBreak/>
        <w:t xml:space="preserve">Slijedom navedenog, dolazi do skraćivanja rokova provedbe savjetovanja s javnošću, što je razvidno i iz dostavljenih podataka tijela javne vlasti koja su u 2025. provodila savjetovanja u prosječnom trajanju od 24 dana. </w:t>
      </w:r>
    </w:p>
    <w:p w14:paraId="6F9132E8" w14:textId="77777777" w:rsidR="00741ADB" w:rsidRPr="00741ADB" w:rsidRDefault="00741ADB" w:rsidP="00741ADB">
      <w:pPr>
        <w:pBdr>
          <w:top w:val="single" w:sz="4" w:space="1" w:color="auto"/>
          <w:left w:val="single" w:sz="4" w:space="4" w:color="auto"/>
          <w:bottom w:val="single" w:sz="4" w:space="1" w:color="auto"/>
          <w:right w:val="single" w:sz="4" w:space="4" w:color="auto"/>
        </w:pBdr>
        <w:rPr>
          <w:rFonts w:cs="Arial"/>
        </w:rPr>
      </w:pPr>
      <w:r w:rsidRPr="00741ADB">
        <w:rPr>
          <w:rFonts w:cs="Arial"/>
        </w:rPr>
        <w:t xml:space="preserve">Sukladno uputi Povjerenika da je skraćivanje roka provedbe savjetovanja opravdano samo u iznimnim slučajevima i da je u tim slučajevima nužno objaviti obrazloženje razloga koji su doveli do skraćivanja roka, tijela sve više objavljuju takva obrazloženja, što potvrđuju i podaci prema kojima se povećao broj tijela koji objavljuju obrazloženja s razlozima skraćivanja rokova za 9%. </w:t>
      </w:r>
    </w:p>
    <w:p w14:paraId="305AEB7D" w14:textId="77777777" w:rsidR="00741ADB" w:rsidRPr="00741ADB" w:rsidRDefault="00741ADB" w:rsidP="00741ADB">
      <w:pPr>
        <w:pBdr>
          <w:top w:val="single" w:sz="4" w:space="1" w:color="auto"/>
          <w:left w:val="single" w:sz="4" w:space="4" w:color="auto"/>
          <w:bottom w:val="single" w:sz="4" w:space="1" w:color="auto"/>
          <w:right w:val="single" w:sz="4" w:space="4" w:color="auto"/>
        </w:pBdr>
        <w:rPr>
          <w:rFonts w:cs="Arial"/>
        </w:rPr>
      </w:pPr>
      <w:r w:rsidRPr="00741ADB">
        <w:rPr>
          <w:rFonts w:cs="Arial"/>
        </w:rPr>
        <w:t>Samo trećina tijela javne vlasti objavljivala je sastave radnih skupina koje su izradile nacrte akata koji se stavljaju na savjetovanje. S obzirom da iz navedenih podatka (kada podaci o radnim skupinama nisu objavljeni) nije razvidno jesu li radne skupine bile osnovane ili nisu, uputa je Povjerenika da se svakako objavi i informacija o neosnivanju radne skupine ako ista nije bila osnovana.</w:t>
      </w:r>
    </w:p>
    <w:p w14:paraId="2B08E1F8" w14:textId="77777777" w:rsidR="00741ADB" w:rsidRPr="00741ADB" w:rsidRDefault="00741ADB" w:rsidP="00741ADB">
      <w:pPr>
        <w:pBdr>
          <w:top w:val="single" w:sz="4" w:space="1" w:color="auto"/>
          <w:left w:val="single" w:sz="4" w:space="4" w:color="auto"/>
          <w:bottom w:val="single" w:sz="4" w:space="1" w:color="auto"/>
          <w:right w:val="single" w:sz="4" w:space="4" w:color="auto"/>
        </w:pBdr>
        <w:rPr>
          <w:rFonts w:cs="Arial"/>
        </w:rPr>
      </w:pPr>
      <w:r w:rsidRPr="00741ADB">
        <w:rPr>
          <w:rFonts w:cs="Arial"/>
        </w:rPr>
        <w:t>U 2025. došlo je do povećanja od čak 9% u ispunjavanju obveze objave izvješća o provedenim savjetovanjima.</w:t>
      </w:r>
    </w:p>
    <w:p w14:paraId="202FDD05" w14:textId="0ED1AC7B" w:rsidR="007F683F" w:rsidRPr="00557980" w:rsidRDefault="00741ADB" w:rsidP="00741ADB">
      <w:pPr>
        <w:pBdr>
          <w:top w:val="single" w:sz="4" w:space="1" w:color="auto"/>
          <w:left w:val="single" w:sz="4" w:space="4" w:color="auto"/>
          <w:bottom w:val="single" w:sz="4" w:space="1" w:color="auto"/>
          <w:right w:val="single" w:sz="4" w:space="4" w:color="auto"/>
        </w:pBdr>
        <w:rPr>
          <w:rFonts w:cs="Arial"/>
        </w:rPr>
      </w:pPr>
      <w:r w:rsidRPr="00741ADB">
        <w:rPr>
          <w:rFonts w:cs="Arial"/>
        </w:rPr>
        <w:t>Iako je u gotovo svim segmentima provedbe savjetovanja s javnošću došlo do blagog poboljšanja, potrebno je i dalje kontinuirano provoditi edukacije službenika za informiranje, koordinatora za savjetovanje, ali i drugih službenika koji u svom radu primjenjuju odredbe ZPPI-ja, o pravilnoj primjeni članka 11. Zakona.</w:t>
      </w:r>
    </w:p>
    <w:p w14:paraId="4B01AA6D" w14:textId="77777777" w:rsidR="007F683F" w:rsidRPr="009032D7" w:rsidRDefault="007F683F" w:rsidP="009032D7">
      <w:pPr>
        <w:pStyle w:val="Naslov3"/>
        <w:ind w:left="1985"/>
      </w:pPr>
      <w:bookmarkStart w:id="196" w:name="_Toc225511737"/>
      <w:bookmarkStart w:id="197" w:name="_Toc225865628"/>
      <w:bookmarkStart w:id="198" w:name="_Toc192751436"/>
      <w:r>
        <w:t>Sudska praksa</w:t>
      </w:r>
      <w:bookmarkEnd w:id="196"/>
      <w:bookmarkEnd w:id="197"/>
    </w:p>
    <w:p w14:paraId="19F40153" w14:textId="35708D6C" w:rsidR="007F683F" w:rsidRPr="00F43BEB" w:rsidRDefault="00FB60E3" w:rsidP="007F683F">
      <w:pPr>
        <w:rPr>
          <w:rFonts w:cs="Arial"/>
        </w:rPr>
      </w:pPr>
      <w:r w:rsidRPr="00FB60E3">
        <w:rPr>
          <w:rFonts w:cs="Arial"/>
        </w:rPr>
        <w:t xml:space="preserve">U postupcima ostvarivanja prava na pristup i ponovnu uporabu informacija sudski nadzor je u isključivoj nadležnosti Visokoga upravnog suda RH. Stoga će u nastavku biti iznesene značajnije sudske odluke koje se, u rješavanju o tužbama pokrenutim radi ostvarivanja prava na pristup informacijama, odnose i na proaktivnu objavu informacija u smislu ZPPI-ja. Također, prikazana je i sudska praksa Ustavnog suda RH u postupku ocjene suglasnosti drugog propisa s Ustavom RH i praksa Visokog upravnog suda RH u postupcima ocjene zakonitosti općih akata, zbog neprovedbe savjetovanja s javnošću prema članku 11. ZPPI-ja (tzv. formalni nedostatak). </w:t>
      </w:r>
      <w:r w:rsidR="007F683F" w:rsidRPr="00F43BEB">
        <w:rPr>
          <w:rFonts w:cs="Arial"/>
        </w:rPr>
        <w:t xml:space="preserve"> </w:t>
      </w:r>
    </w:p>
    <w:p w14:paraId="6638896C" w14:textId="43B7BD38" w:rsidR="00F07963" w:rsidRPr="00A01248" w:rsidRDefault="00F07963" w:rsidP="00F07963">
      <w:pPr>
        <w:rPr>
          <w:rFonts w:cs="Arial"/>
        </w:rPr>
      </w:pPr>
      <w:r w:rsidRPr="00A01248">
        <w:rPr>
          <w:rFonts w:cs="Arial"/>
        </w:rPr>
        <w:t>Presudom Visokog upravnog suda</w:t>
      </w:r>
      <w:bookmarkStart w:id="199" w:name="_Hlk225853977"/>
      <w:r w:rsidR="00230D88" w:rsidRPr="00A01248">
        <w:rPr>
          <w:rFonts w:cs="Arial"/>
        </w:rPr>
        <w:t xml:space="preserve"> RH</w:t>
      </w:r>
      <w:bookmarkEnd w:id="199"/>
      <w:r w:rsidRPr="00A01248">
        <w:rPr>
          <w:rFonts w:cs="Arial"/>
        </w:rPr>
        <w:t>, poslovni broj: Usoz-268/2023 od 27. siječnja 2025. godine, kojom je ukinuta Odluka o proglašenju javnog parkinga Žbare - javnim dobrom u općoj uporabi, KLASA: 024-01/23-01/4, URBROJ: 2181-6-02-01-23-2 od 17. ožujka 2023. („Glasnik Grada Makarske“, 5/23.), zauzeto je stajalište da je osporenom Odlukom jedna nekretnina u gradu Makarskoj proglašena javnim dobrom u općoj uporabi iz čega valja zaključiti da je riječ o općem aktu koji uređuje pitanja od interesa za građane na području Grada Makarske. Dakle, predmetna je Odluka opći akt jedinice lokalne samouprave kojim se neposredno uređuju pitanja od interesa za građane na području Grada Makarske. Stoga je jedinica lokalne samouprave u postupku donošenja osporenog općeg akta bila dužna postupiti prema članku 11. ZPPI-</w:t>
      </w:r>
      <w:r w:rsidR="006E3175" w:rsidRPr="00A01248">
        <w:rPr>
          <w:rFonts w:cs="Arial"/>
        </w:rPr>
        <w:t>j</w:t>
      </w:r>
      <w:r w:rsidRPr="00A01248">
        <w:rPr>
          <w:rFonts w:cs="Arial"/>
        </w:rPr>
        <w:t>a.</w:t>
      </w:r>
    </w:p>
    <w:p w14:paraId="21FCE36E" w14:textId="72CA2AAB" w:rsidR="00F07963" w:rsidRPr="00F07963" w:rsidRDefault="00F07963" w:rsidP="00F07963">
      <w:pPr>
        <w:rPr>
          <w:rFonts w:cs="Arial"/>
          <w:b/>
          <w:bCs/>
        </w:rPr>
      </w:pPr>
      <w:r w:rsidRPr="00A01248">
        <w:rPr>
          <w:rFonts w:cs="Arial"/>
        </w:rPr>
        <w:t>Presudom Visokog upravnog suda</w:t>
      </w:r>
      <w:r w:rsidR="00230D88" w:rsidRPr="00A01248">
        <w:rPr>
          <w:rFonts w:cs="Arial"/>
        </w:rPr>
        <w:t xml:space="preserve"> RH</w:t>
      </w:r>
      <w:r w:rsidRPr="00A01248">
        <w:rPr>
          <w:rFonts w:cs="Arial"/>
        </w:rPr>
        <w:t>, poslovni broj: Usoz-303/2023 od 27. siječnja 2025. godine, kojom je ukinuta Odluka o proglašenju Kačićevog trga - javnim dobrom u općoj uporabi,</w:t>
      </w:r>
      <w:r w:rsidRPr="00F07963">
        <w:rPr>
          <w:rFonts w:cs="Arial"/>
        </w:rPr>
        <w:t xml:space="preserve"> </w:t>
      </w:r>
      <w:r w:rsidRPr="00F07963">
        <w:rPr>
          <w:rFonts w:cs="Arial"/>
        </w:rPr>
        <w:lastRenderedPageBreak/>
        <w:t>KLASA: 024-01/23-01/1, URBROJ: 2181-6-02-1-23-1 od 6. listopada 2023. („Glasnik Grada Makarske“, 21/23.), zauzeto je stajalište da je osporenom Odlukom jedna nekretnina (trg) u središtu grada Makarske proglašena javnim dobrom u općoj uporabi iz čega valja zaključiti da je riječ o općem aktu koji uređuje pitanja od interesa za građane na području Grada Makarske. Dakle, predmetna je Odluka opći akt jedinice lokalne samouprave kojim se neposredno uređuju pitanja od interesa za građane na području Grada Makarske. Stoga je jedinica lokalne samouprave u postupku donošenja osporenog općeg akta bila dužna postupiti prema članku 11. ZPPI-</w:t>
      </w:r>
      <w:r w:rsidR="006E3175">
        <w:rPr>
          <w:rFonts w:cs="Arial"/>
        </w:rPr>
        <w:t>j</w:t>
      </w:r>
      <w:r w:rsidRPr="00F07963">
        <w:rPr>
          <w:rFonts w:cs="Arial"/>
        </w:rPr>
        <w:t>a.</w:t>
      </w:r>
    </w:p>
    <w:p w14:paraId="7DADBBB6" w14:textId="50D3E0C0" w:rsidR="00F07963" w:rsidRPr="00A01248" w:rsidRDefault="00F07963" w:rsidP="00F07963">
      <w:pPr>
        <w:rPr>
          <w:rFonts w:cs="Arial"/>
        </w:rPr>
      </w:pPr>
      <w:r w:rsidRPr="00A01248">
        <w:rPr>
          <w:rFonts w:cs="Arial"/>
        </w:rPr>
        <w:t>Presudom Visokog upravnog suda</w:t>
      </w:r>
      <w:r w:rsidR="00230D88" w:rsidRPr="00A01248">
        <w:rPr>
          <w:rFonts w:cs="Arial"/>
        </w:rPr>
        <w:t xml:space="preserve"> RH</w:t>
      </w:r>
      <w:r w:rsidRPr="00A01248">
        <w:rPr>
          <w:rFonts w:cs="Arial"/>
        </w:rPr>
        <w:t>, poslovni broj: Usoz-118/2023 od 27. veljače 2025. godine, kojim nije prihvaćen prijedlog za ocjenu zakonitosti Pravilnika o radu upravnih tijela Katoličkog bogoslovnog fakulteta, zauzeto je stajalište da nije riječ o aktu kojim se utječe na interese građana i pravnih osoba u smislu članka 11. stavka 1. ZPPI-</w:t>
      </w:r>
      <w:r w:rsidR="006E3175" w:rsidRPr="00A01248">
        <w:rPr>
          <w:rFonts w:cs="Arial"/>
        </w:rPr>
        <w:t>j</w:t>
      </w:r>
      <w:r w:rsidRPr="00A01248">
        <w:rPr>
          <w:rFonts w:cs="Arial"/>
        </w:rPr>
        <w:t>a, već je riječ o internom općem aktu koji je objavljen na mrežnim stranicama i na oglasnoj ploči fakulteta, čime je dana mogućnost njegovim adresatima da se upoznaju sa sadržajem osporavanog Pravilnika, slijedom čega pri njegovu donošenju nije postojala obveza provođenja savjetovanja s javnošću sukladno članku 11. ZPPI-a.</w:t>
      </w:r>
    </w:p>
    <w:p w14:paraId="0D0743A2" w14:textId="6B61FEB0" w:rsidR="00F07963" w:rsidRPr="00A01248" w:rsidRDefault="00F07963" w:rsidP="00F07963">
      <w:pPr>
        <w:rPr>
          <w:rFonts w:cs="Arial"/>
        </w:rPr>
      </w:pPr>
      <w:r w:rsidRPr="00A01248">
        <w:rPr>
          <w:rFonts w:cs="Arial"/>
        </w:rPr>
        <w:t>Presudom Visokog upravnog suda</w:t>
      </w:r>
      <w:r w:rsidR="00230D88" w:rsidRPr="00A01248">
        <w:rPr>
          <w:rFonts w:cs="Arial"/>
        </w:rPr>
        <w:t xml:space="preserve"> RH</w:t>
      </w:r>
      <w:r w:rsidRPr="00A01248">
        <w:rPr>
          <w:rFonts w:cs="Arial"/>
        </w:rPr>
        <w:t>, poslovni broj: Usoz-295/2023 od 31. ožujka 2025. godine, kojom je ukinut članak 22. stavak 4. i članak 123. alineja 16. Odluke o komunalnom redu Grada Svete Nedelje (Glasnik Grada Svete Nedelje 7/20, 3/22), zauzeto je stajalište da bi se ostvario cilj savjetovanja s javnošću sukladno članku 11. stavku 2. ZPPI-</w:t>
      </w:r>
      <w:r w:rsidR="006E3175" w:rsidRPr="00A01248">
        <w:rPr>
          <w:rFonts w:cs="Arial"/>
        </w:rPr>
        <w:t>j</w:t>
      </w:r>
      <w:r w:rsidRPr="00A01248">
        <w:rPr>
          <w:rFonts w:cs="Arial"/>
        </w:rPr>
        <w:t>a (upoznavanje javnosti sa razlozima i ciljevima koji se žele postići donošenjem akta te informirano sudjelovanje javnosti u procesu donošenja propisa) potrebno je nacrt općeg akta objaviti u integralnom obliku i sadržaju, jer se podnošenje prijedloga i mišljenja javnosti, da bi bila ostvarena suština ove zakonske obveze, mora omogućiti u odnosu na svaku odredbu Odluke.</w:t>
      </w:r>
    </w:p>
    <w:p w14:paraId="6ABA63E8" w14:textId="29749715" w:rsidR="00F07963" w:rsidRPr="00F07963" w:rsidRDefault="00F07963" w:rsidP="00F07963">
      <w:pPr>
        <w:rPr>
          <w:rFonts w:cs="Arial"/>
        </w:rPr>
      </w:pPr>
      <w:r w:rsidRPr="00A01248">
        <w:rPr>
          <w:rFonts w:cs="Arial"/>
        </w:rPr>
        <w:t>Presudom Visokog upravnog suda</w:t>
      </w:r>
      <w:r w:rsidR="00230D88" w:rsidRPr="00A01248">
        <w:rPr>
          <w:rFonts w:cs="Arial"/>
        </w:rPr>
        <w:t xml:space="preserve"> RH</w:t>
      </w:r>
      <w:r w:rsidRPr="00A01248">
        <w:rPr>
          <w:rFonts w:cs="Arial"/>
        </w:rPr>
        <w:t>, poslovni broj: Usoz-251/2023 od 30. listopada 2025. godine, kojom je ukinuta Odluka o mjerilima za utvrđivanje učešća roditelja u ekonomskoj cijeni programa predškolskog odgoja i obrazovanja te skrbi o djeci predškolske dobi DJEČJEG VRTIĆA BUJE – ASILO</w:t>
      </w:r>
      <w:r w:rsidRPr="00F07963">
        <w:rPr>
          <w:rFonts w:cs="Arial"/>
        </w:rPr>
        <w:t xml:space="preserve"> INFANTILE BUIE I TALIJANSKOG DJEČJEG VRTIĆA MRVICA – SCUOLA D'INFANZIA ITALIANA FREGOLA – BUIE ("Službene novine grada Buja", broj: 13/23.), zauzeto je stajalište da je ZPPI kao pravilo trajanja savjetovanja s javnošću odredio 30 dana, te je odstupanje od tog pravila dopušteno samo u iznimnim i opravdanim okolnostima. Dopuštanje širokog tumačenja iznimke od pravila moglo bi dovesti u pitanje primjenu propisanog roka uopće. Uz to Sud napominje i da prema smjernicama Povjerenika za informiranje za primjenu članka 11. ZPPI-</w:t>
      </w:r>
      <w:r w:rsidR="00F365F1">
        <w:rPr>
          <w:rFonts w:cs="Arial"/>
        </w:rPr>
        <w:t>j</w:t>
      </w:r>
      <w:r w:rsidRPr="00F07963">
        <w:rPr>
          <w:rFonts w:cs="Arial"/>
        </w:rPr>
        <w:t xml:space="preserve">a od 21. prosinca 2016., u kojima se u odnosu na trajanje savjetovanja navodi da savjetovanje s javnošću može trajati kraće samo onda kad su nastupili izvanredni uvjeti radi kojih nije moguće provesti savjetovanje u zakonskom roku, s time da je u tom slučaju razlog za skraćeno trajanje savjetovanja nužno jasno obrazložiti u obrazloženju uz dokument koji se stavlja na savjetovanje. Eventualno kašnjenje u izradi nacrta akta i kratkoća vremena do sazivanja sjednice Gradskog vijeća na kojoj je trebalo razmotriti prijedlog Odluke te time ispoštovati rok za utvrđivanje ekonomske cijene programa kao i potreba primjene Odluke sa početkom sljedeće pedagoške godine, te propust u planiranju rada u samom tijelu, ne može se smatrati opravdanim razlogom za skraćeno trajanje savjetovanja i odstupanja od zakonom propisanog pravila. Činjenica što je javnost bila upoznata sa izradom i pripremom nacrta </w:t>
      </w:r>
      <w:r w:rsidRPr="00F07963">
        <w:rPr>
          <w:rFonts w:cs="Arial"/>
        </w:rPr>
        <w:lastRenderedPageBreak/>
        <w:t xml:space="preserve">prijedloga Odluke, te što na isti nisu dostavljene primjedbe, nije odlučna. Donositelj općeg akta dužan je pridržavati se zakonom propisanog postupka za donošenje odluka iz svoje nadležnosti, čime se osiguravaju formalni uvjeti za zakonitost njegovog postupanja i donesene odluke. </w:t>
      </w:r>
    </w:p>
    <w:p w14:paraId="0B97B51E" w14:textId="78D4BEE4" w:rsidR="00F07963" w:rsidRPr="00A01248" w:rsidRDefault="00F07963" w:rsidP="00F07963">
      <w:pPr>
        <w:rPr>
          <w:rFonts w:cs="Arial"/>
        </w:rPr>
      </w:pPr>
      <w:r w:rsidRPr="00A01248">
        <w:rPr>
          <w:rFonts w:cs="Arial"/>
        </w:rPr>
        <w:t>Presudom Visokog upravnog suda</w:t>
      </w:r>
      <w:r w:rsidR="00230D88" w:rsidRPr="00A01248">
        <w:rPr>
          <w:rFonts w:cs="Arial"/>
        </w:rPr>
        <w:t xml:space="preserve"> RH</w:t>
      </w:r>
      <w:r w:rsidRPr="00A01248">
        <w:rPr>
          <w:rFonts w:cs="Arial"/>
        </w:rPr>
        <w:t>, poslovni broj: Usoz-172/2024 od 26. studenoga 2025. godine, kojom je ukinuta Odluka o ograničenju korištenju prometnica u Park-šumi Marjan („Službeni glasnik Grada Splita“, 67/24.), zauzeto je stajalište da postupak koji je prethodio donošenju osporene Odluke nije proveden u skladu sa ZPPI-</w:t>
      </w:r>
      <w:r w:rsidR="00010642" w:rsidRPr="00A01248">
        <w:rPr>
          <w:rFonts w:cs="Arial"/>
        </w:rPr>
        <w:t>j</w:t>
      </w:r>
      <w:r w:rsidRPr="00A01248">
        <w:rPr>
          <w:rFonts w:cs="Arial"/>
        </w:rPr>
        <w:t>em, jer je jedinica lokalne samouprave u postupku donošenja osporenog općeg akta kojim se uređuju navedena pitanja bila dužna postupiti prema članku 11. ZPPI-</w:t>
      </w:r>
      <w:r w:rsidR="00F365F1" w:rsidRPr="00A01248">
        <w:rPr>
          <w:rFonts w:cs="Arial"/>
        </w:rPr>
        <w:t>j</w:t>
      </w:r>
      <w:r w:rsidRPr="00A01248">
        <w:rPr>
          <w:rFonts w:cs="Arial"/>
        </w:rPr>
        <w:t>a, zbog čega osporena Odluka nije zakonita u formalnom smislu.</w:t>
      </w:r>
    </w:p>
    <w:p w14:paraId="080E7F24" w14:textId="560C00B6" w:rsidR="007F683F" w:rsidRDefault="00F07963" w:rsidP="00F07963">
      <w:r w:rsidRPr="00A01248">
        <w:rPr>
          <w:rFonts w:cs="Arial"/>
        </w:rPr>
        <w:t>Odlukom Ustavnog suda Republike Hrvatske broj: U-III-660/2025 od 10. prosinca 2025. godine, u postupku koji je ustavnom tužbom pokrenulo trgovačko društvo Vrana d.o.o.,</w:t>
      </w:r>
      <w:r w:rsidRPr="00F07963">
        <w:rPr>
          <w:rFonts w:cs="Arial"/>
        </w:rPr>
        <w:t xml:space="preserve"> Biograd na Moru i kojim je ukinuta presuda Visokog upravnog suda Republike Hrvatske broj: Usoz-94/2024-7 od 17. prosinca 2024., u odlomku „Mjerodavno pravo“ spominje i Smjernice Povjerenika za informiranje o primjeni članka 11. Zakona o pravu na pristup informacijama, KLASA: 008-01/14-01/01, URBROJ: 401-01/13-16-01 od 21. prosinca 2016.</w:t>
      </w:r>
    </w:p>
    <w:p w14:paraId="2E125D3D" w14:textId="6518EB79" w:rsidR="00DE0752" w:rsidRDefault="00DE0752" w:rsidP="00811052">
      <w:pPr>
        <w:pStyle w:val="Naslov2"/>
        <w:ind w:left="1276" w:hanging="567"/>
      </w:pPr>
      <w:bookmarkStart w:id="200" w:name="_Toc225865629"/>
      <w:r>
        <w:t>Javnost rada</w:t>
      </w:r>
      <w:bookmarkEnd w:id="200"/>
      <w:r>
        <w:t xml:space="preserve"> </w:t>
      </w:r>
      <w:bookmarkEnd w:id="198"/>
    </w:p>
    <w:p w14:paraId="551A9AFB" w14:textId="77777777" w:rsidR="007A2DA3" w:rsidRPr="007A2DA3" w:rsidRDefault="007A2DA3" w:rsidP="007A2DA3">
      <w:pPr>
        <w:rPr>
          <w:rFonts w:cs="Arial"/>
        </w:rPr>
      </w:pPr>
      <w:bookmarkStart w:id="201" w:name="_Toc4677868"/>
      <w:r w:rsidRPr="007A2DA3">
        <w:rPr>
          <w:rFonts w:cs="Arial"/>
        </w:rPr>
        <w:t xml:space="preserve">Obveza osiguravanja javnosti rada iz članka 12. ZPPI-ja u širem smislu obuhvaća i obvezu proaktivne objave informacija iz članka 10. stavka 1. točke 12. ZPPI-ja. </w:t>
      </w:r>
    </w:p>
    <w:p w14:paraId="78B8742F" w14:textId="77777777" w:rsidR="007A2DA3" w:rsidRPr="007A2DA3" w:rsidRDefault="007A2DA3" w:rsidP="007A2DA3">
      <w:pPr>
        <w:rPr>
          <w:rFonts w:cs="Arial"/>
        </w:rPr>
      </w:pPr>
      <w:r w:rsidRPr="007A2DA3">
        <w:rPr>
          <w:rFonts w:cs="Arial"/>
        </w:rPr>
        <w:t>Tijela javne vlasti dužna su objavljivati informacije o dnevnom redu sjednica službenih tijela i vremenu njihova održavanja, načinu rada, zaključke sa službenih sjednica i službene dokumente usvojene na tim sjednicama, informacije o formalnim radnim tijelima te obavijest o omogućavanju neposrednog uvida u rad na sjednicama (prisustvovanje javnosti).</w:t>
      </w:r>
    </w:p>
    <w:p w14:paraId="574E2995" w14:textId="77777777" w:rsidR="007A2DA3" w:rsidRPr="007A2DA3" w:rsidRDefault="007A2DA3" w:rsidP="007A2DA3">
      <w:pPr>
        <w:rPr>
          <w:rFonts w:cs="Arial"/>
        </w:rPr>
      </w:pPr>
      <w:r w:rsidRPr="007A2DA3">
        <w:rPr>
          <w:rFonts w:cs="Arial"/>
        </w:rPr>
        <w:t xml:space="preserve">ZPPI ne propisuje izuzetke od obveze objave informacija koje se odnose na javnost rada u odnosu na vrstu službenog tijela unutar TJV. </w:t>
      </w:r>
    </w:p>
    <w:p w14:paraId="6C9E125E" w14:textId="77777777" w:rsidR="007A2DA3" w:rsidRPr="007A2DA3" w:rsidRDefault="007A2DA3" w:rsidP="007A2DA3">
      <w:pPr>
        <w:rPr>
          <w:rFonts w:cs="Arial"/>
        </w:rPr>
      </w:pPr>
      <w:r w:rsidRPr="007A2DA3">
        <w:rPr>
          <w:rFonts w:cs="Arial"/>
        </w:rPr>
        <w:t xml:space="preserve">Sukladno odredbi članka 12. ZPPI-ja tijela javne vlasti trebaju objavljivati dnevne redove zasjedanja i sjednica službenih tijela kao i vrijeme njihovog održavanja jer se radi o obvezama koje su određene kogentnim pravnim normama prema stajalištu Visokog upravnog suda Republike Hrvatske izraženom u više presuda (npr., poslovni brojevi: UsII-286/17 od 20. rujna 2018. godine, UsII-287/17 od 20. rujna 2018. godine, UsII-182/2023-5 od 11. siječnja 2024.). Izuzetak od obveze javnosti rada propisan je u članku 12. stavku 2. ZPPI-ja i odnosi se isključivo na osiguravanje neposrednog uvida u rad.    </w:t>
      </w:r>
    </w:p>
    <w:p w14:paraId="073386CE" w14:textId="77777777" w:rsidR="007A2DA3" w:rsidRPr="007A2DA3" w:rsidRDefault="007A2DA3" w:rsidP="007A2DA3">
      <w:pPr>
        <w:rPr>
          <w:rFonts w:cs="Arial"/>
        </w:rPr>
      </w:pPr>
      <w:r w:rsidRPr="007A2DA3">
        <w:rPr>
          <w:rFonts w:cs="Arial"/>
        </w:rPr>
        <w:t>U odnosu na obvezu objave informacija iz članka 10. stavka 1. točke 12. ZPPI-ja, izuzetak od predmetne obveze propisan je u članku 10. stavku 2. ZPPI-ja i odnosi se na informacije za koje postoje ograničenja prava na pristup prema odredbama ZPPI-ja.</w:t>
      </w:r>
    </w:p>
    <w:p w14:paraId="2BCCF76A" w14:textId="5EC73A9E" w:rsidR="007F683F" w:rsidRPr="001E05AC" w:rsidRDefault="007A2DA3" w:rsidP="007A2DA3">
      <w:pPr>
        <w:rPr>
          <w:rFonts w:cs="Arial"/>
        </w:rPr>
      </w:pPr>
      <w:r w:rsidRPr="007A2DA3">
        <w:rPr>
          <w:rFonts w:cs="Arial"/>
        </w:rPr>
        <w:t xml:space="preserve">Kogentnost ovih zakonskih odredbi utječe na kompleksnost ispunjavanja predmetnih obveza jer neka TJV imaju veliki broj službenih tijela za koja trebaju objavljivati propisane informacije, </w:t>
      </w:r>
      <w:r w:rsidRPr="007A2DA3">
        <w:rPr>
          <w:rFonts w:cs="Arial"/>
        </w:rPr>
        <w:lastRenderedPageBreak/>
        <w:t>a nisu prepoznali da se obveznost objave informacija odnosi na sva službena tijela unutar TJV koja rade na sjednicama.</w:t>
      </w:r>
    </w:p>
    <w:p w14:paraId="645A337A" w14:textId="1C9A6E61" w:rsidR="00DE0752" w:rsidRPr="00F0315E" w:rsidRDefault="00DE0752" w:rsidP="00DC0397">
      <w:pPr>
        <w:keepNext/>
        <w:widowControl w:val="0"/>
        <w:spacing w:before="240" w:after="0"/>
        <w:rPr>
          <w:rFonts w:cs="Arial"/>
          <w:sz w:val="18"/>
          <w:szCs w:val="18"/>
        </w:rPr>
      </w:pPr>
      <w:r w:rsidRPr="00F0315E">
        <w:rPr>
          <w:rFonts w:cs="Arial"/>
          <w:sz w:val="18"/>
          <w:szCs w:val="18"/>
        </w:rPr>
        <w:t>Slika 8.</w:t>
      </w:r>
      <w:r w:rsidR="00E00E59" w:rsidRPr="00F0315E">
        <w:rPr>
          <w:rFonts w:cs="Arial"/>
          <w:sz w:val="18"/>
          <w:szCs w:val="18"/>
        </w:rPr>
        <w:t>9</w:t>
      </w:r>
      <w:r w:rsidR="004B3791" w:rsidRPr="00F0315E">
        <w:rPr>
          <w:rFonts w:cs="Arial"/>
          <w:sz w:val="18"/>
          <w:szCs w:val="18"/>
        </w:rPr>
        <w:t>.</w:t>
      </w:r>
      <w:r w:rsidRPr="00F0315E">
        <w:rPr>
          <w:rFonts w:cs="Arial"/>
          <w:sz w:val="18"/>
          <w:szCs w:val="18"/>
        </w:rPr>
        <w:t xml:space="preserve"> Objava informacija o javnosti rada kolegijalnih tijela</w:t>
      </w:r>
    </w:p>
    <w:p w14:paraId="7375ADF4" w14:textId="1EE82C30" w:rsidR="00DE0752" w:rsidRPr="00F0315E" w:rsidRDefault="007F683F" w:rsidP="00DE0752">
      <w:pPr>
        <w:keepNext/>
        <w:spacing w:before="360"/>
        <w:rPr>
          <w:rFonts w:cs="Arial"/>
          <w:sz w:val="23"/>
          <w:szCs w:val="23"/>
        </w:rPr>
      </w:pPr>
      <w:r w:rsidRPr="001E05AC">
        <w:rPr>
          <w:noProof/>
          <w:color w:val="FFFFFF" w:themeColor="background1"/>
          <w14:ligatures w14:val="standardContextual"/>
        </w:rPr>
        <w:drawing>
          <wp:inline distT="0" distB="0" distL="0" distR="0" wp14:anchorId="4BF3F465" wp14:editId="01355117">
            <wp:extent cx="5760720" cy="2668905"/>
            <wp:effectExtent l="0" t="0" r="11430" b="17145"/>
            <wp:docPr id="2056588545" name="Grafikon 1">
              <a:extLst xmlns:a="http://schemas.openxmlformats.org/drawingml/2006/main">
                <a:ext uri="{FF2B5EF4-FFF2-40B4-BE49-F238E27FC236}">
                  <a16:creationId xmlns:a16="http://schemas.microsoft.com/office/drawing/2014/main" id="{5112119D-21A3-4286-A90C-F51CC788E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93939F" w14:textId="77777777" w:rsidR="00CA4865" w:rsidRDefault="00CA4865" w:rsidP="007F683F">
      <w:pPr>
        <w:rPr>
          <w:rFonts w:cs="Arial"/>
        </w:rPr>
      </w:pPr>
      <w:r w:rsidRPr="00CA4865">
        <w:rPr>
          <w:rFonts w:cs="Arial"/>
        </w:rPr>
        <w:t xml:space="preserve">TJV su u 2025. najviše objavljivala zaključke sa službenih sjednica (55% prema 52% u 2024.), pri čemu 16% TJV smatra da navedena obveza na njih nije primjenjiva (tri JLP(R)S - </w:t>
      </w:r>
      <w:r w:rsidRPr="00EF7120">
        <w:rPr>
          <w:rFonts w:cs="Arial"/>
        </w:rPr>
        <w:t>gradovi Oroslavje i Županja te Općina Slivno, i cijeli niz javnih ustanova i trgovačkih društa</w:t>
      </w:r>
      <w:r w:rsidRPr="00CA4865">
        <w:rPr>
          <w:rFonts w:cs="Arial"/>
        </w:rPr>
        <w:t xml:space="preserve">va, koji pogrešno smatraju da se obveza objave zaključaka na njih ne odnosi). </w:t>
      </w:r>
    </w:p>
    <w:p w14:paraId="6F2AFDFE" w14:textId="3C6A16AA" w:rsidR="007F683F" w:rsidRPr="001E05AC" w:rsidRDefault="00AA20CE" w:rsidP="007F683F">
      <w:pPr>
        <w:rPr>
          <w:rFonts w:cs="Arial"/>
        </w:rPr>
      </w:pPr>
      <w:r w:rsidRPr="00AA20CE">
        <w:rPr>
          <w:rFonts w:cs="Arial"/>
        </w:rPr>
        <w:t>Dnevne redove objavljuje 49% TJV (godinu ranije 47%), a 18 % TJV smatra da se predmetna obveza na njih ne odnosi. I dalje predmetnu obvezu ne prepoznaju sedam JLS: (2024. – devet,) i to općine Donji Vidovec, Kijevo, Podturen, Slivno, Svetvinčenat, Voćin i Zažablje, što ukazuje na to da i dalje postoji nerazumijevanje u osiguravanju javnosti rada predstavničkog tijela.</w:t>
      </w:r>
      <w:r>
        <w:rPr>
          <w:rFonts w:cs="Arial"/>
        </w:rPr>
        <w:t xml:space="preserve"> </w:t>
      </w:r>
      <w:r w:rsidR="007F683F" w:rsidRPr="00440D6E">
        <w:rPr>
          <w:rFonts w:cs="Arial"/>
        </w:rPr>
        <w:t>Ovu obvezu ne ispunjava 21% TJV, u koja spadaju 36 JLS (prethodne godine - 43), te obrazovne, znanstvene i druge javne ustanove i trgovačka društva, koji su dužna ispunjavati ovu obvezu.</w:t>
      </w:r>
      <w:r w:rsidR="007F683F" w:rsidRPr="001E05AC">
        <w:rPr>
          <w:rFonts w:cs="Arial"/>
        </w:rPr>
        <w:t xml:space="preserve"> </w:t>
      </w:r>
    </w:p>
    <w:p w14:paraId="0B445AC0" w14:textId="77777777" w:rsidR="0099366A" w:rsidRPr="0099366A" w:rsidRDefault="0099366A" w:rsidP="0099366A">
      <w:pPr>
        <w:rPr>
          <w:rFonts w:cs="Arial"/>
        </w:rPr>
      </w:pPr>
      <w:r w:rsidRPr="0099366A">
        <w:rPr>
          <w:rFonts w:cs="Arial"/>
        </w:rPr>
        <w:t xml:space="preserve">Razina objave informacija o mogućnostima neposrednog prisustvovanja sjednicama je u porastu u odnosu na godinu prije, te iznosi 30% (2024. – 28%). Njih 34% (2024.-35%) ne objavljuje navedene informacije (među kojima i 107 JLS), dok Grad Valpovo i Općine Slavonski Šamac, Slivno, Svetvinčenat i Voćin pogrešno smatraju da ta obveza nije na njih primjenjiva. </w:t>
      </w:r>
    </w:p>
    <w:p w14:paraId="585A2EAC" w14:textId="77777777" w:rsidR="0099366A" w:rsidRPr="0099366A" w:rsidRDefault="0099366A" w:rsidP="0099366A">
      <w:pPr>
        <w:rPr>
          <w:rFonts w:cs="Arial"/>
        </w:rPr>
      </w:pPr>
      <w:r w:rsidRPr="0099366A">
        <w:rPr>
          <w:rFonts w:cs="Arial"/>
        </w:rPr>
        <w:t xml:space="preserve">Informacije o formalnim radnim tijelima objavljuje 44% TJV (2024. - 42%), dok navedene informacije ne objavljuje 19% (u 2024. - 20%). Ove godine 30 JLS (pet gradova i 25 općina) smatra da ova obveza na njih nije primjenjiva (godinu ranije ih je bilo 31), iako su u statutima propisali da predstavnička tijela JLS imaju formalna radna tijela (odbore, komisije, povjerenstva). </w:t>
      </w:r>
    </w:p>
    <w:p w14:paraId="16BD5BCC" w14:textId="77777777" w:rsidR="0099366A" w:rsidRPr="0099366A" w:rsidRDefault="0099366A" w:rsidP="0099366A">
      <w:pPr>
        <w:rPr>
          <w:rFonts w:cs="Arial"/>
        </w:rPr>
      </w:pPr>
      <w:r w:rsidRPr="0099366A">
        <w:rPr>
          <w:rFonts w:cs="Arial"/>
        </w:rPr>
        <w:t xml:space="preserve">Zaključno, u 2025. godini je prema prikazanim rezultatima došlo do blagog napretka u ispunjavanju zakonske obveze javnosti rada (najviše se objavljuju dnevni redovi i zaključci sa službenih sjednica). Razina objave ZPPI-jem propisanih informacija u odnosu na druga službena tijela (tzv. stručna, savjetodavna, nadzorna, izvršna, disciplinska i dr.) izrazito je niska </w:t>
      </w:r>
      <w:r w:rsidRPr="0099366A">
        <w:rPr>
          <w:rFonts w:cs="Arial"/>
        </w:rPr>
        <w:lastRenderedPageBreak/>
        <w:t xml:space="preserve">i odnosi se eventualno na objavu informacija o radu tih službenih tijela kroz objavu statuta i poslovnika. </w:t>
      </w:r>
    </w:p>
    <w:p w14:paraId="79775661" w14:textId="77777777" w:rsidR="0099366A" w:rsidRPr="0099366A" w:rsidRDefault="0099366A" w:rsidP="0099366A">
      <w:pPr>
        <w:rPr>
          <w:rFonts w:cs="Arial"/>
        </w:rPr>
      </w:pPr>
      <w:r w:rsidRPr="0099366A">
        <w:rPr>
          <w:rFonts w:cs="Arial"/>
        </w:rPr>
        <w:t>Međutim, Povjerenik kontinuirano ističe da je za ispunjavanje ove obveze nužna podrška čelnika tijela i ostalih zaposlenika tijela javne vlasti, poglavito onih zaduženih za provođenje sjednica, kako bi se pravodobno, potpuno i točno objavljivale sve propisane informacije.</w:t>
      </w:r>
    </w:p>
    <w:p w14:paraId="7239CD0F" w14:textId="77777777" w:rsidR="0099366A" w:rsidRPr="0099366A" w:rsidRDefault="0099366A" w:rsidP="0099366A">
      <w:pPr>
        <w:rPr>
          <w:rFonts w:cs="Arial"/>
        </w:rPr>
      </w:pPr>
      <w:r w:rsidRPr="0099366A">
        <w:rPr>
          <w:rFonts w:cs="Arial"/>
        </w:rPr>
        <w:t xml:space="preserve">Sve navedeno utječe da se ova zakonska obveza u pravilu ne ispunjava na zadovoljavajući način jer se propisane informacije objavljuju samo u odnosu na upravljačka službena tijela i to djelomično, dok se u pravilu ne objavljuju za druga službena tijela. </w:t>
      </w:r>
    </w:p>
    <w:p w14:paraId="5D1D7A7B" w14:textId="2E7CA22D" w:rsidR="007F683F" w:rsidRDefault="0099366A" w:rsidP="0099366A">
      <w:pPr>
        <w:rPr>
          <w:rFonts w:asciiTheme="minorBidi" w:hAnsiTheme="minorBidi" w:cstheme="minorBidi"/>
        </w:rPr>
      </w:pPr>
      <w:r w:rsidRPr="0099366A">
        <w:rPr>
          <w:rFonts w:cs="Arial"/>
        </w:rPr>
        <w:t>Osim navedenog, a u svrhu lakše primjene zakonske obveze, potrebno je i razmotriti pitanje sadašnjeg uređenja članka 10. stavka 1. točke 12. ZPPI-ja i članka 12. ZPPI-ja na način da sve obveze koje se odnose na objavu informacija o sjednicama budu sadržane u jednoj zakonskoj odredbi, te da se propiše obveza objave sastava službenog tijela kao temeljne informacije o nekom službenom tijelu.</w:t>
      </w:r>
    </w:p>
    <w:p w14:paraId="1D4C9574" w14:textId="7C47B1E3" w:rsidR="00EE4125" w:rsidRPr="00EE4125" w:rsidRDefault="00EE4125" w:rsidP="00EE4125">
      <w:pPr>
        <w:rPr>
          <w:rFonts w:asciiTheme="minorBidi" w:hAnsiTheme="minorBidi" w:cstheme="minorBidi"/>
        </w:rPr>
      </w:pPr>
      <w:r w:rsidRPr="00EE4125">
        <w:rPr>
          <w:rFonts w:asciiTheme="minorBidi" w:hAnsiTheme="minorBidi" w:cstheme="minorBidi"/>
        </w:rPr>
        <w:t>Naime, sadašnje normiranje u praksi dovodi do niza sadržajnih i jezičnih dvojbi jer se u predmetnim odredbama govori o službenim sjednicama, službenim dokumentima i sjednicama službenih tijela, iako samo neka tijela javne vlasti odlučuju na (službenim) sjednicama, dok druga tijela javne vlasti imaju svoja tijela koja rade na sjednicama.</w:t>
      </w:r>
    </w:p>
    <w:p w14:paraId="247AA421" w14:textId="354A54FD" w:rsidR="001C11BB" w:rsidRPr="00F0315E" w:rsidRDefault="00EE4125" w:rsidP="00EE4125">
      <w:pPr>
        <w:rPr>
          <w:rFonts w:cs="Arial"/>
        </w:rPr>
      </w:pPr>
      <w:r w:rsidRPr="00EE4125">
        <w:rPr>
          <w:rFonts w:asciiTheme="minorBidi" w:hAnsiTheme="minorBidi" w:cstheme="minorBidi"/>
        </w:rPr>
        <w:t>Također, ZPPI propisuje i obvezu objave informacija o formalnim radnim tijelima koja odlučuju o pravima i interesima korisnika, iako u pravilu navedena tijela ne odlučuju o pravima i interesima korisnika</w:t>
      </w:r>
      <w:r w:rsidR="00DF0908">
        <w:rPr>
          <w:rFonts w:asciiTheme="minorBidi" w:hAnsiTheme="minorBidi" w:cstheme="minorBidi"/>
        </w:rPr>
        <w:t>.</w:t>
      </w:r>
    </w:p>
    <w:p w14:paraId="29DF46FF" w14:textId="77777777" w:rsidR="00DE0752" w:rsidRPr="00F0315E" w:rsidRDefault="00DE0752" w:rsidP="00811052">
      <w:pPr>
        <w:pStyle w:val="Naslov2"/>
        <w:ind w:left="1276" w:hanging="567"/>
      </w:pPr>
      <w:bookmarkStart w:id="202" w:name="_Toc192751444"/>
      <w:bookmarkStart w:id="203" w:name="_Toc225865630"/>
      <w:r>
        <w:t>Analitička praćenja proaktivne objave i</w:t>
      </w:r>
      <w:bookmarkEnd w:id="201"/>
      <w:r>
        <w:t>nformacija</w:t>
      </w:r>
      <w:bookmarkEnd w:id="202"/>
      <w:bookmarkEnd w:id="203"/>
    </w:p>
    <w:p w14:paraId="572C17BE" w14:textId="77777777" w:rsidR="0045779D" w:rsidRPr="0045779D" w:rsidRDefault="0045779D" w:rsidP="0045779D">
      <w:pPr>
        <w:rPr>
          <w:rFonts w:cs="Arial"/>
        </w:rPr>
      </w:pPr>
      <w:r w:rsidRPr="0045779D">
        <w:rPr>
          <w:rFonts w:cs="Arial"/>
        </w:rPr>
        <w:t xml:space="preserve">Povjerenik je nastavio s provedbom analitičkih praćenja ispunjenja proaktivne objave informacija na internetskim stranicama odabranih tijela javne vlasti. Ukupno je objavljeno sedam analitičkih izvješća o provedenim praćenjima internetskih stranica, od kojih su se pet odnosila na ispunjenje obveze provedbe savjetovanja s javnošću. </w:t>
      </w:r>
    </w:p>
    <w:p w14:paraId="5197BB20" w14:textId="77777777" w:rsidR="0045779D" w:rsidRPr="0045779D" w:rsidRDefault="0045779D" w:rsidP="0045779D">
      <w:pPr>
        <w:rPr>
          <w:rFonts w:cs="Arial"/>
        </w:rPr>
      </w:pPr>
      <w:r w:rsidRPr="0045779D">
        <w:rPr>
          <w:rFonts w:cs="Arial"/>
        </w:rPr>
        <w:t>Vezano za konkretna praćenja pojedinih segmenata članka 10. ZPPI-ja, praćene su internetske stranice 100 narodnih knjižnica, muzeja i centara za kulturu (točka 13. članka 10. i članak 13. ZPPI-ja), a u zasebnom izvješću prikazani su i rezultati segmentiranih praćenja provedenih uoči održanih edukacija tijekom 2025. (tri osnovna modula Pravo na pristup informacijama u DŠJU), vezano za ispunjenje obveze osiguravanja javnosti rada sjednica tijela javne vlasti - polaznika edukacije, sukladno odredbama članka 10. stavka 1. točke 12. i članka 12. ZPPI-ja (obuhvaćeno ukupno 40 tijela). U izvješćima su prikazani uočeni nedostaci u ispunjavanju zakonskih obveza te su tijelima dane preporuke za usklađenje. Također, vezano za narodne knjižnice, muzeje i centre za kulturu za koje je praćenjem utvrđeno da ne ispunjavaju obveze propisane člankom 10. stavkom 1. točkom 13. i člankom 13. ZPPI-ja, provedeni su posredni inspekcijski nadzori.</w:t>
      </w:r>
    </w:p>
    <w:p w14:paraId="179866D3" w14:textId="44F29211" w:rsidR="007F683F" w:rsidRPr="00F0315E" w:rsidRDefault="0045779D" w:rsidP="0045779D">
      <w:pPr>
        <w:rPr>
          <w:rFonts w:cs="Arial"/>
          <w:u w:val="single"/>
        </w:rPr>
      </w:pPr>
      <w:r w:rsidRPr="0045779D">
        <w:rPr>
          <w:rFonts w:cs="Arial"/>
        </w:rPr>
        <w:t>Sva analitička izvješća dostupna su na poveznici</w:t>
      </w:r>
      <w:r w:rsidR="007F683F" w:rsidRPr="002B2E6E">
        <w:rPr>
          <w:rFonts w:cs="Arial"/>
        </w:rPr>
        <w:t xml:space="preserve"> https://www.pristupinfo.hr/dokumenti-i-publikacije/analiticka-izvjesca/.</w:t>
      </w:r>
    </w:p>
    <w:p w14:paraId="49E11779" w14:textId="17197C38" w:rsidR="00DE0752" w:rsidRPr="00F0315E" w:rsidRDefault="00730ACA" w:rsidP="00811052">
      <w:pPr>
        <w:pStyle w:val="Naslov2"/>
        <w:ind w:left="1276" w:hanging="567"/>
      </w:pPr>
      <w:bookmarkStart w:id="204" w:name="_Toc192751446"/>
      <w:bookmarkStart w:id="205" w:name="_Toc225865631"/>
      <w:bookmarkStart w:id="206" w:name="_Toc66103181"/>
      <w:r>
        <w:lastRenderedPageBreak/>
        <w:t>P</w:t>
      </w:r>
      <w:r w:rsidR="00DE0752">
        <w:t>onovn</w:t>
      </w:r>
      <w:r>
        <w:t>a</w:t>
      </w:r>
      <w:r w:rsidR="00DE0752">
        <w:t xml:space="preserve"> uporab</w:t>
      </w:r>
      <w:bookmarkEnd w:id="204"/>
      <w:r>
        <w:t>a informacija</w:t>
      </w:r>
      <w:bookmarkEnd w:id="205"/>
      <w:r w:rsidR="00DE0752">
        <w:t xml:space="preserve"> </w:t>
      </w:r>
    </w:p>
    <w:p w14:paraId="2AB316DF" w14:textId="77777777" w:rsidR="007F683F" w:rsidRPr="00F0315E" w:rsidRDefault="007F683F" w:rsidP="007F683F">
      <w:pPr>
        <w:rPr>
          <w:rFonts w:cs="Arial"/>
        </w:rPr>
      </w:pPr>
      <w:bookmarkStart w:id="207" w:name="_Toc192751441"/>
      <w:bookmarkStart w:id="208" w:name="_Hlk128641965"/>
      <w:bookmarkStart w:id="209" w:name="_Toc36308985"/>
      <w:bookmarkStart w:id="210" w:name="_Toc66103177"/>
      <w:r w:rsidRPr="001A30B7">
        <w:rPr>
          <w:rFonts w:cs="Arial"/>
        </w:rPr>
        <w:t>Podaci koje tijela javne vlasti u okviru obavljanja poslova iz svoje nadležnosti prikupljaju, obrađuju i pohranjuju u obliku baza podataka, registara, upisnika, popisa ili drugih skupova podataka predstavljaju važan resurs s velikim gospodarskim i društvenim potencijalom</w:t>
      </w:r>
      <w:r w:rsidRPr="00F0315E">
        <w:rPr>
          <w:rFonts w:cs="Arial"/>
        </w:rPr>
        <w:t xml:space="preserve">. </w:t>
      </w:r>
    </w:p>
    <w:p w14:paraId="657E20C0" w14:textId="77777777" w:rsidR="00730ACA" w:rsidRPr="00F0315E" w:rsidRDefault="00730ACA" w:rsidP="009032D7">
      <w:pPr>
        <w:pStyle w:val="Naslov3"/>
        <w:ind w:left="1985"/>
      </w:pPr>
      <w:bookmarkStart w:id="211" w:name="_Toc225865632"/>
      <w:r>
        <w:t>Registri i evidencije tijela javne vlasti</w:t>
      </w:r>
      <w:bookmarkEnd w:id="207"/>
      <w:bookmarkEnd w:id="211"/>
    </w:p>
    <w:p w14:paraId="0CB082A9" w14:textId="77777777" w:rsidR="00BC44CB" w:rsidRPr="00BC44CB" w:rsidRDefault="00BC44CB" w:rsidP="00BC44CB">
      <w:pPr>
        <w:rPr>
          <w:rFonts w:cs="Arial"/>
        </w:rPr>
      </w:pPr>
      <w:r w:rsidRPr="00BC44CB">
        <w:rPr>
          <w:rFonts w:cs="Arial"/>
        </w:rPr>
        <w:t>Temeljni preduvjet ispunjenja zakonske obveze iz članka 10. stavka 1. točke 5. Zakona odnosi se na identificiranje svih skupova podataka koje tijela vode u okviru propisanih nadležnosti ili svog djelokruga, popisivanje istih u obliku tzv. asset liste i opisivanje istih metapodacima.</w:t>
      </w:r>
    </w:p>
    <w:p w14:paraId="6A91419E" w14:textId="77777777" w:rsidR="00BC44CB" w:rsidRPr="00BC44CB" w:rsidRDefault="00BC44CB" w:rsidP="00BC44CB">
      <w:pPr>
        <w:rPr>
          <w:rFonts w:cs="Arial"/>
        </w:rPr>
      </w:pPr>
      <w:r w:rsidRPr="00BC44CB">
        <w:rPr>
          <w:rFonts w:cs="Arial"/>
        </w:rPr>
        <w:t>Asset liste, odnosno popisi skupova podataka koje tijelo vodi, s metapodacima, preduvjet su ostvarivanja transparentnosti i informiranja korisnika o registrima i bazama podataka te o načinu i opsegu pristupa istima.</w:t>
      </w:r>
    </w:p>
    <w:p w14:paraId="666E5A0D" w14:textId="618F3B63" w:rsidR="007F683F" w:rsidRPr="00EA7E14" w:rsidRDefault="00BC44CB" w:rsidP="00BC44CB">
      <w:pPr>
        <w:rPr>
          <w:rFonts w:cs="Arial"/>
        </w:rPr>
      </w:pPr>
      <w:r w:rsidRPr="00BC44CB">
        <w:rPr>
          <w:rFonts w:cs="Arial"/>
        </w:rPr>
        <w:t>U nastavku se prikazuju odgovori 5.280 tijela koja su dostavila godišnje izvješće za 2025., u dijelu koji se odnosi na navedenu zakonsku obvezu objave asset lista i otvorenih podataka.</w:t>
      </w:r>
    </w:p>
    <w:p w14:paraId="1A01C851" w14:textId="1E57761D" w:rsidR="00730ACA" w:rsidRPr="00F0315E" w:rsidRDefault="00730ACA" w:rsidP="00730ACA">
      <w:pPr>
        <w:keepNext/>
        <w:spacing w:before="240"/>
        <w:rPr>
          <w:rFonts w:cs="Arial"/>
          <w:sz w:val="18"/>
          <w:szCs w:val="18"/>
        </w:rPr>
      </w:pPr>
      <w:r w:rsidRPr="00F0315E">
        <w:rPr>
          <w:rFonts w:cs="Arial"/>
          <w:sz w:val="18"/>
          <w:szCs w:val="18"/>
        </w:rPr>
        <w:t>Slika 8.</w:t>
      </w:r>
      <w:r w:rsidR="00E00E59" w:rsidRPr="00F0315E">
        <w:rPr>
          <w:rFonts w:cs="Arial"/>
          <w:sz w:val="18"/>
          <w:szCs w:val="18"/>
        </w:rPr>
        <w:t>10</w:t>
      </w:r>
      <w:r w:rsidRPr="00F0315E">
        <w:rPr>
          <w:rFonts w:cs="Arial"/>
          <w:sz w:val="18"/>
          <w:szCs w:val="18"/>
        </w:rPr>
        <w:t>. Objava registara / evidencija i informacija o registrima / evidencijama tijela javne vlasti</w:t>
      </w:r>
      <w:r w:rsidR="00F927D7" w:rsidRPr="00F0315E">
        <w:rPr>
          <w:rFonts w:cs="Arial"/>
          <w:sz w:val="18"/>
          <w:szCs w:val="18"/>
        </w:rPr>
        <w:t xml:space="preserve"> </w:t>
      </w:r>
    </w:p>
    <w:p w14:paraId="68AA916C" w14:textId="0A7D2D49" w:rsidR="007F683F" w:rsidRDefault="007F683F" w:rsidP="00322568">
      <w:pPr>
        <w:keepNext/>
        <w:spacing w:before="240"/>
        <w:rPr>
          <w:rFonts w:cs="Arial"/>
        </w:rPr>
      </w:pPr>
      <w:r w:rsidRPr="00EA7E14">
        <w:rPr>
          <w:noProof/>
          <w14:ligatures w14:val="standardContextual"/>
        </w:rPr>
        <w:drawing>
          <wp:inline distT="0" distB="0" distL="0" distR="0" wp14:anchorId="7F3EFB6B" wp14:editId="259FB2FE">
            <wp:extent cx="5760720" cy="3217653"/>
            <wp:effectExtent l="0" t="0" r="11430" b="1905"/>
            <wp:docPr id="760691577" name="Chart 1">
              <a:extLst xmlns:a="http://schemas.openxmlformats.org/drawingml/2006/main">
                <a:ext uri="{FF2B5EF4-FFF2-40B4-BE49-F238E27FC236}">
                  <a16:creationId xmlns:a16="http://schemas.microsoft.com/office/drawing/2014/main" id="{1C2DD60F-3402-4D21-B875-EBA6DB58F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B90F02" w14:textId="77777777" w:rsidR="00F87BF1" w:rsidRPr="00F87BF1" w:rsidRDefault="00F87BF1" w:rsidP="00F87BF1">
      <w:pPr>
        <w:rPr>
          <w:rFonts w:cs="Arial"/>
        </w:rPr>
      </w:pPr>
      <w:bookmarkStart w:id="212" w:name="_Toc192751449"/>
      <w:bookmarkEnd w:id="208"/>
      <w:r w:rsidRPr="00F87BF1">
        <w:rPr>
          <w:rFonts w:cs="Arial"/>
        </w:rPr>
        <w:t xml:space="preserve">U 2025. godini je 22% tijela navelo da ispunjava zakonsku obvezu objave asset liste (15% ispunjava i 7% djelomično ispunjava), dok ih 56% smatra da se na njih navedena obveza ne odnosi, među kojima i 29 JLS (u 2024. - 30), 16 agencija i drugih pravnih osoba s javnim ovlastima, 3 tijela državne uprave i 13 državnih tijela. Također, 22% tijela odgovorilo je da nemaju objavljenu asset listu, iako su očito svjesni predmetne obveze (čak 158 JLP(R)S). </w:t>
      </w:r>
    </w:p>
    <w:p w14:paraId="76819584" w14:textId="77777777" w:rsidR="00F87BF1" w:rsidRPr="00F87BF1" w:rsidRDefault="00F87BF1" w:rsidP="00F87BF1">
      <w:pPr>
        <w:rPr>
          <w:rFonts w:cs="Arial"/>
        </w:rPr>
      </w:pPr>
      <w:r w:rsidRPr="00021548">
        <w:rPr>
          <w:rFonts w:cs="Arial"/>
        </w:rPr>
        <w:lastRenderedPageBreak/>
        <w:t>Za razliku od prethodnih godina, ove godine je vidljiva usuglašenost odgovora koji se odnose na objavu skupova podataka koja ne sadrže ograničenja i njihovu objavu u strojno čitljivom formatu (21%).</w:t>
      </w:r>
    </w:p>
    <w:p w14:paraId="6451E854" w14:textId="77777777" w:rsidR="00F87BF1" w:rsidRPr="00F87BF1" w:rsidRDefault="00F87BF1" w:rsidP="00F87BF1">
      <w:pPr>
        <w:rPr>
          <w:rFonts w:cs="Arial"/>
        </w:rPr>
      </w:pPr>
      <w:r w:rsidRPr="00F87BF1">
        <w:rPr>
          <w:rFonts w:cs="Arial"/>
        </w:rPr>
        <w:t>Broj tijela koji objavljuje skupove podataka u realitetu je daleko manji, a što je vidljivo iz odgovora tijela koja su odgovorila potvrdno (škole, vrtići, ustanove iz sustava socijalne skrbi i razna druga tijela koja u okviru svog djelokruga ne vode skupove podataka) jer su zapravo trebali odgovoriti s „nije primjenjivo“.</w:t>
      </w:r>
    </w:p>
    <w:p w14:paraId="4F427BCE" w14:textId="0A4B39B4" w:rsidR="006D7D67" w:rsidRDefault="00F87BF1" w:rsidP="00F87BF1">
      <w:pPr>
        <w:rPr>
          <w:rFonts w:cs="Arial"/>
        </w:rPr>
      </w:pPr>
      <w:r w:rsidRPr="00F87BF1">
        <w:rPr>
          <w:rFonts w:cs="Arial"/>
        </w:rPr>
        <w:t>Kao i prošle godine, zakonsku obvezu objave skupova podataka dostupnih za ponovnu uporabu na Portalu otvorenih podataka, zajedno s metapodacima i u skladu s otvorenim standardima, ispunilo je tek 11% tijela (7% u potpunosti i 4% djelomično).</w:t>
      </w:r>
    </w:p>
    <w:p w14:paraId="3A450704" w14:textId="77777777" w:rsidR="00DE0752" w:rsidRPr="00F0315E" w:rsidRDefault="00DE0752" w:rsidP="009032D7">
      <w:pPr>
        <w:pStyle w:val="Naslov3"/>
        <w:ind w:left="1985"/>
      </w:pPr>
      <w:bookmarkStart w:id="213" w:name="_Toc225865633"/>
      <w:r>
        <w:t>Objava otvorenih podataka i portali otvorenih podataka</w:t>
      </w:r>
      <w:bookmarkEnd w:id="212"/>
      <w:bookmarkEnd w:id="213"/>
    </w:p>
    <w:p w14:paraId="11A6DD3C" w14:textId="77777777" w:rsidR="00F1181F" w:rsidRPr="00F1181F" w:rsidRDefault="00F1181F" w:rsidP="00F1181F">
      <w:pPr>
        <w:rPr>
          <w:rFonts w:cs="Arial"/>
        </w:rPr>
      </w:pPr>
      <w:bookmarkStart w:id="214" w:name="_Toc192751448"/>
      <w:r w:rsidRPr="00F1181F">
        <w:rPr>
          <w:rFonts w:cs="Arial"/>
        </w:rPr>
        <w:t>Portal otvorenih podataka Republike Hrvatske predstavlja centralno mjesto za prikupljanje, kategorizaciju i distribuciju otvorenih podataka tijela javne vlasti i jedinstveno mjesto pristupa otvorenim podacima za ponovnu uporabu od strane svih građana. Portal predstavlja svojevrsni katalog metapodataka putem kojega korisnici pretragom lakše dolaze do željenih javnih podataka, odnosno informacija.</w:t>
      </w:r>
    </w:p>
    <w:p w14:paraId="4982140C" w14:textId="77777777" w:rsidR="00F1181F" w:rsidRPr="00F1181F" w:rsidRDefault="00F1181F" w:rsidP="00F1181F">
      <w:pPr>
        <w:rPr>
          <w:rFonts w:cs="Arial"/>
        </w:rPr>
      </w:pPr>
      <w:r w:rsidRPr="00F1181F">
        <w:rPr>
          <w:rFonts w:cs="Arial"/>
        </w:rPr>
        <w:t>Portal otvorenih podataka trenutačno sadrži 3.213 objavljenih skupova podataka, što predstavlja povećanje od oko 14% u odnosu na 2024. godinu. Više od polovice skupova podataka objavljeno je u formatima kao što su CSV, JSON, KML, SHP ili XML/HTML, što znači da su podaci strojno čitljivi i strukturirani te koriste URL identifikatore pri označavanju, čime dosežu razinu otvorenosti od tri zvjezdice ili više prema modelu procjene otvorenosti podataka.</w:t>
      </w:r>
    </w:p>
    <w:p w14:paraId="1E47F49E" w14:textId="77777777" w:rsidR="00F1181F" w:rsidRPr="00F1181F" w:rsidRDefault="00F1181F" w:rsidP="00F1181F">
      <w:pPr>
        <w:rPr>
          <w:rFonts w:cs="Arial"/>
        </w:rPr>
      </w:pPr>
      <w:r w:rsidRPr="00F1181F">
        <w:rPr>
          <w:rFonts w:cs="Arial"/>
        </w:rPr>
        <w:t>Tijekom 2025. godine broj izdavača skupova podataka na Portalu povećao se s 486 na 786, odnosno za gotovo 62%. Izdavači s najvećim brojem objavljenih skupova podataka su:</w:t>
      </w:r>
    </w:p>
    <w:p w14:paraId="49800639" w14:textId="77777777" w:rsidR="00F1181F" w:rsidRPr="00F1181F" w:rsidRDefault="00F1181F" w:rsidP="0083074F">
      <w:pPr>
        <w:pStyle w:val="Odlomakpopisa"/>
        <w:numPr>
          <w:ilvl w:val="0"/>
          <w:numId w:val="14"/>
        </w:numPr>
        <w:spacing w:after="0"/>
        <w:ind w:left="568" w:hanging="284"/>
        <w:rPr>
          <w:rFonts w:ascii="Roboto" w:hAnsi="Roboto" w:cs="Arial"/>
        </w:rPr>
      </w:pPr>
      <w:r w:rsidRPr="00F1181F">
        <w:rPr>
          <w:rFonts w:ascii="Roboto" w:hAnsi="Roboto" w:cs="Arial"/>
        </w:rPr>
        <w:t>Grad Rijeka (236)</w:t>
      </w:r>
    </w:p>
    <w:p w14:paraId="4F7B94B8" w14:textId="77777777" w:rsidR="00F1181F" w:rsidRPr="00F1181F" w:rsidRDefault="00F1181F" w:rsidP="0083074F">
      <w:pPr>
        <w:pStyle w:val="Odlomakpopisa"/>
        <w:numPr>
          <w:ilvl w:val="0"/>
          <w:numId w:val="14"/>
        </w:numPr>
        <w:spacing w:after="0"/>
        <w:ind w:left="568" w:hanging="284"/>
        <w:rPr>
          <w:rFonts w:ascii="Roboto" w:hAnsi="Roboto" w:cs="Arial"/>
        </w:rPr>
      </w:pPr>
      <w:r w:rsidRPr="00F1181F">
        <w:rPr>
          <w:rFonts w:ascii="Roboto" w:hAnsi="Roboto" w:cs="Arial"/>
        </w:rPr>
        <w:t>Grad Zagreb (210)</w:t>
      </w:r>
    </w:p>
    <w:p w14:paraId="530532C8" w14:textId="77777777" w:rsidR="00F1181F" w:rsidRPr="00F1181F" w:rsidRDefault="00F1181F" w:rsidP="0083074F">
      <w:pPr>
        <w:pStyle w:val="Odlomakpopisa"/>
        <w:numPr>
          <w:ilvl w:val="0"/>
          <w:numId w:val="14"/>
        </w:numPr>
        <w:spacing w:after="0"/>
        <w:ind w:left="568" w:hanging="284"/>
        <w:rPr>
          <w:rFonts w:ascii="Roboto" w:hAnsi="Roboto" w:cs="Arial"/>
        </w:rPr>
      </w:pPr>
      <w:r w:rsidRPr="00F1181F">
        <w:rPr>
          <w:rFonts w:ascii="Roboto" w:hAnsi="Roboto" w:cs="Arial"/>
        </w:rPr>
        <w:t>Državna geodetska uprava (203)</w:t>
      </w:r>
    </w:p>
    <w:p w14:paraId="0979F7A1" w14:textId="77777777" w:rsidR="00F1181F" w:rsidRPr="00F1181F" w:rsidRDefault="00F1181F" w:rsidP="0083074F">
      <w:pPr>
        <w:pStyle w:val="Odlomakpopisa"/>
        <w:numPr>
          <w:ilvl w:val="0"/>
          <w:numId w:val="14"/>
        </w:numPr>
        <w:spacing w:after="0"/>
        <w:ind w:left="568" w:hanging="284"/>
        <w:rPr>
          <w:rFonts w:ascii="Roboto" w:hAnsi="Roboto" w:cs="Arial"/>
        </w:rPr>
      </w:pPr>
      <w:r w:rsidRPr="00F1181F">
        <w:rPr>
          <w:rFonts w:ascii="Roboto" w:hAnsi="Roboto" w:cs="Arial"/>
        </w:rPr>
        <w:t>Ministarstvo unutarnjih poslova (104)</w:t>
      </w:r>
    </w:p>
    <w:p w14:paraId="271D8E37" w14:textId="77777777" w:rsidR="00F1181F" w:rsidRPr="00021548" w:rsidRDefault="00F1181F" w:rsidP="005F0EC0">
      <w:pPr>
        <w:pStyle w:val="Odlomakpopisa"/>
        <w:numPr>
          <w:ilvl w:val="0"/>
          <w:numId w:val="14"/>
        </w:numPr>
        <w:ind w:left="567" w:hanging="283"/>
        <w:rPr>
          <w:rFonts w:ascii="Roboto" w:hAnsi="Roboto" w:cs="Arial"/>
        </w:rPr>
      </w:pPr>
      <w:r w:rsidRPr="00F1181F">
        <w:rPr>
          <w:rFonts w:ascii="Roboto" w:hAnsi="Roboto" w:cs="Arial"/>
        </w:rPr>
        <w:t xml:space="preserve">Državni zavod </w:t>
      </w:r>
      <w:r w:rsidRPr="00021548">
        <w:rPr>
          <w:rFonts w:ascii="Roboto" w:hAnsi="Roboto" w:cs="Arial"/>
        </w:rPr>
        <w:t>za statistiku (99)</w:t>
      </w:r>
    </w:p>
    <w:p w14:paraId="33E5ACB2" w14:textId="77777777" w:rsidR="00F1181F" w:rsidRPr="00F1181F" w:rsidRDefault="00F1181F" w:rsidP="00F1181F">
      <w:pPr>
        <w:rPr>
          <w:rFonts w:cs="Arial"/>
        </w:rPr>
      </w:pPr>
      <w:r w:rsidRPr="00F1181F">
        <w:rPr>
          <w:rFonts w:cs="Arial"/>
        </w:rPr>
        <w:t>Na Portalu je objavljeno deset aplikacija koje koriste otvorene podatke. Budući da ne postoji obveza objave aplikacija na Portalu, potrebno je dodatno promovirati Portal kako bi se potaknulo što više razvojnih inženjera da svoje aplikacije razvijene na temelju otvorenih podataka objave na nacionalnom Portalu otvorenih podataka.</w:t>
      </w:r>
    </w:p>
    <w:p w14:paraId="0D1F04E7" w14:textId="77777777" w:rsidR="00F1181F" w:rsidRPr="00F1181F" w:rsidRDefault="00F1181F" w:rsidP="00F1181F">
      <w:pPr>
        <w:rPr>
          <w:rFonts w:cs="Arial"/>
        </w:rPr>
      </w:pPr>
      <w:r w:rsidRPr="00F1181F">
        <w:rPr>
          <w:rFonts w:cs="Arial"/>
        </w:rPr>
        <w:t>Tijekom 2025. godine na Portalu je zaprimljeno 257 prijedloga za unaprjeđenje, ispravak ili objavu novog skupa podataka, koji su proslijeđeni nadležnim izdavačima na postupanje.</w:t>
      </w:r>
    </w:p>
    <w:p w14:paraId="7A0BDC65" w14:textId="77777777" w:rsidR="00F1181F" w:rsidRPr="00F1181F" w:rsidRDefault="00F1181F" w:rsidP="00F1181F">
      <w:pPr>
        <w:rPr>
          <w:rFonts w:cs="Arial"/>
        </w:rPr>
      </w:pPr>
      <w:r w:rsidRPr="00F1181F">
        <w:rPr>
          <w:rFonts w:cs="Arial"/>
        </w:rPr>
        <w:t xml:space="preserve">U 2025. godini na Portalu je implementirana nova verzija standarda DCAT-AP, čime je dodatno unaprijeđena interoperabilnost metapodataka. Time je omogućeno redovito prikupljanje (harvestiranje) metapodataka s nacionalnog portala od strane Europskog portala podataka (data.europa.eu), uključujući metapodatke o zaštićenim i visokovrijednim skupovima </w:t>
      </w:r>
      <w:r w:rsidRPr="00F1181F">
        <w:rPr>
          <w:rFonts w:cs="Arial"/>
        </w:rPr>
        <w:lastRenderedPageBreak/>
        <w:t>podataka. Nacionalni Portal otvorenih podataka ujedno je na europskom portalu registriran kao nacionalna jedinstvena informacijska točka za zaštićene podatke.</w:t>
      </w:r>
    </w:p>
    <w:p w14:paraId="2E3C6E60" w14:textId="3412FDA9" w:rsidR="006D7D67" w:rsidRPr="00EA7E14" w:rsidRDefault="00F1181F" w:rsidP="00F1181F">
      <w:pPr>
        <w:rPr>
          <w:rFonts w:cs="Arial"/>
        </w:rPr>
      </w:pPr>
      <w:r w:rsidRPr="00F1181F">
        <w:rPr>
          <w:rFonts w:cs="Arial"/>
        </w:rPr>
        <w:t>Tijekom 2025. godine u evidenciji drugih portala otvorenih podataka koju vodi Ministarstvo pravosuđa, uprave i digitalne transformacije evidentirano je sedam portala otvorenih podataka: Portal otvorenih podataka Grada Velike Gorice, Portal otvorenih podataka Grada Rijeke, Portal otvorenih podataka Grada Zagreba, Portal otvorenih podataka Grada Krka, Portal otvorenih podataka Općine Grožnjan-Grisignana, Portal otvorenih podataka Brodsko-posavske županije i Portal otvorenih podataka Grada Obrovca.</w:t>
      </w:r>
    </w:p>
    <w:p w14:paraId="6C533B9E" w14:textId="77777777" w:rsidR="006D7D67" w:rsidRPr="00F0315E" w:rsidRDefault="006D7D67" w:rsidP="009032D7">
      <w:pPr>
        <w:pStyle w:val="Naslov3"/>
        <w:ind w:left="1985"/>
      </w:pPr>
      <w:bookmarkStart w:id="215" w:name="_Toc225511743"/>
      <w:bookmarkStart w:id="216" w:name="_Toc225865634"/>
      <w:bookmarkEnd w:id="214"/>
      <w:r>
        <w:t>Politika otvorenih podataka</w:t>
      </w:r>
      <w:bookmarkEnd w:id="215"/>
      <w:bookmarkEnd w:id="216"/>
      <w:r>
        <w:t xml:space="preserve"> </w:t>
      </w:r>
    </w:p>
    <w:p w14:paraId="7D4F868F" w14:textId="77777777" w:rsidR="00983A46" w:rsidRPr="00983A46" w:rsidRDefault="00983A46" w:rsidP="00983A46">
      <w:pPr>
        <w:rPr>
          <w:rFonts w:cs="Arial"/>
        </w:rPr>
      </w:pPr>
      <w:r w:rsidRPr="00983A46">
        <w:rPr>
          <w:rFonts w:cs="Arial"/>
        </w:rPr>
        <w:t>Vlada Republike Hrvatske donijela je na 93. sjednici dana 27. svibnja 2025. novu Politiku otvorenih podataka koja predstavlja strateški smjer daljnjeg razvoja otvorenosti i transparentnosti podataka javne uprave, a donosi se kao slijedni dokument nakon prethodne Politike otvorenih podataka iz 2018. godine.</w:t>
      </w:r>
    </w:p>
    <w:p w14:paraId="6EEA0A8A" w14:textId="77777777" w:rsidR="00983A46" w:rsidRPr="00983A46" w:rsidRDefault="00983A46" w:rsidP="00983A46">
      <w:pPr>
        <w:rPr>
          <w:rFonts w:cs="Arial"/>
        </w:rPr>
      </w:pPr>
      <w:r w:rsidRPr="00983A46">
        <w:rPr>
          <w:rFonts w:cs="Arial"/>
        </w:rPr>
        <w:t>Politika otvorenih podataka Republike Hrvatske definira načela i ciljeve za otvaranje i ponovnu uporabu podataka javnog sektora u Republici Hrvatskoj. Politika naglašava važnost otvorenih podataka kao temelja za digitalnu transformaciju, inovacije, gospodarski rast te jačanje transparentnosti i odgovornosti tijela javne vlasti. Dokument uključuje pravni okvir EU-a i Republike Hrvatske te propisuje načine osiguravanja dostupnosti visokovrijednih skupova podataka. Također, definiraju se mehanizmi koordinacije i praćenja provedbe politike, uloga Portala otvorenih podataka, kao i planovi za budući razvoj i suradnju na nacionalnoj i europskoj razini.</w:t>
      </w:r>
    </w:p>
    <w:p w14:paraId="23A3543C" w14:textId="77777777" w:rsidR="00983A46" w:rsidRPr="00983A46" w:rsidRDefault="00983A46" w:rsidP="00983A46">
      <w:pPr>
        <w:rPr>
          <w:rFonts w:cs="Arial"/>
        </w:rPr>
      </w:pPr>
      <w:r w:rsidRPr="00983A46">
        <w:rPr>
          <w:rFonts w:cs="Arial"/>
        </w:rPr>
        <w:t>Akcijski plan za provedbu Politike otvorenih podataka za razdoblje do kraja 2026. godine usvojen je na 136. sjednici Vlade Republike Hrvatske dana 30. prosinca 2025. godine.</w:t>
      </w:r>
    </w:p>
    <w:p w14:paraId="4BE33E43" w14:textId="77777777" w:rsidR="00983A46" w:rsidRPr="00983A46" w:rsidRDefault="00983A46" w:rsidP="00983A46">
      <w:pPr>
        <w:rPr>
          <w:rFonts w:cs="Arial"/>
        </w:rPr>
      </w:pPr>
      <w:r w:rsidRPr="00983A46">
        <w:rPr>
          <w:rFonts w:cs="Arial"/>
        </w:rPr>
        <w:t>Cilj donošenja Akcijskog plana je postići povećanje objave i kvalitete otvorenih podataka, uložiti daljnje napore u osiguravanju dostupnosti visokovrijednih skupova podataka, kao i svih ostalih skupova podataka, ukloniti prepreke za objavu podataka te osigurati automatiziranu objavu skupova podataka. Također, nužno je potaknuti svijest o mogućnostima korištenja otvorenih podataka kako bi se kreirao politički, društveni, okolišni i ekonomski utjecaj prilikom njihovog korištenja.</w:t>
      </w:r>
    </w:p>
    <w:p w14:paraId="272ACA3E" w14:textId="67D88095" w:rsidR="00DE0752" w:rsidRPr="00322568" w:rsidRDefault="00983A46" w:rsidP="00983A46">
      <w:pPr>
        <w:rPr>
          <w:rFonts w:cs="Arial"/>
        </w:rPr>
      </w:pPr>
      <w:r w:rsidRPr="00983A46">
        <w:rPr>
          <w:rFonts w:cs="Arial"/>
        </w:rPr>
        <w:t>Provedbu aktivnosti utvrđenih Akcijskim planom prati Koordinacija za provedbu Politike otvorenih podataka koju čine predstavnici Ministarstva pravosuđa, uprave i digitalne transformacije, Državne geodetske uprave i Povjerenika za informiranje.</w:t>
      </w:r>
    </w:p>
    <w:p w14:paraId="493D6C2E" w14:textId="64E2C309" w:rsidR="0053328A" w:rsidRPr="00F0315E" w:rsidRDefault="00994FAA" w:rsidP="009032D7">
      <w:pPr>
        <w:pStyle w:val="Naslov3"/>
        <w:ind w:left="1985"/>
      </w:pPr>
      <w:bookmarkStart w:id="217" w:name="_Toc192751447"/>
      <w:bookmarkStart w:id="218" w:name="_Toc225865635"/>
      <w:r>
        <w:t>Zrelost</w:t>
      </w:r>
      <w:r w:rsidR="0053328A">
        <w:t xml:space="preserve"> otvorenih podataka</w:t>
      </w:r>
      <w:bookmarkEnd w:id="217"/>
      <w:bookmarkEnd w:id="218"/>
    </w:p>
    <w:p w14:paraId="6BB1806F" w14:textId="77777777" w:rsidR="00774486" w:rsidRPr="00774486" w:rsidRDefault="00774486" w:rsidP="00774486">
      <w:pPr>
        <w:rPr>
          <w:rFonts w:cs="Arial"/>
        </w:rPr>
      </w:pPr>
      <w:bookmarkStart w:id="219" w:name="_Toc192751450"/>
      <w:r w:rsidRPr="00774486">
        <w:rPr>
          <w:rFonts w:cs="Arial"/>
        </w:rPr>
        <w:t xml:space="preserve">Prema Izvješću o zrelosti otvorenih podataka za 2025. godinu (Open Data Maturity Report), Hrvatska se u 2025. godini nalazi na 28. mjestu od ukupno 36 zemalja koje sudjeluju u istraživanju.  </w:t>
      </w:r>
    </w:p>
    <w:p w14:paraId="139919B0" w14:textId="77777777" w:rsidR="00774486" w:rsidRPr="00774486" w:rsidRDefault="00774486" w:rsidP="00774486">
      <w:pPr>
        <w:rPr>
          <w:rFonts w:cs="Arial"/>
        </w:rPr>
      </w:pPr>
      <w:r w:rsidRPr="00774486">
        <w:rPr>
          <w:rFonts w:cs="Arial"/>
        </w:rPr>
        <w:lastRenderedPageBreak/>
        <w:t>Zrelost otvorenih podataka procijenjena je na temelju četiri ključna pokazatelja: nacionalne politike i strategije u i instrumenti provedbe,  značajke nacionalnih portala otvorenih podataka, kvaliteta objavljenih podataka te društveni i gospodarski utjecaj ponovne uporabe podataka.</w:t>
      </w:r>
    </w:p>
    <w:p w14:paraId="737B360C" w14:textId="77777777" w:rsidR="00774486" w:rsidRPr="00774486" w:rsidRDefault="00774486" w:rsidP="00774486">
      <w:pPr>
        <w:rPr>
          <w:rFonts w:cs="Arial"/>
        </w:rPr>
      </w:pPr>
      <w:r w:rsidRPr="00774486">
        <w:rPr>
          <w:rFonts w:cs="Arial"/>
        </w:rPr>
        <w:t>Hrvatska je u 2025. godini ostvarila vidljiv napredak u području otvorenih podataka, ponajprije kroz unapređenje funkcionalnosti nacionalnog portala i poboljšanje kvalitete metapodataka. Portal data.gov.hr moderniziran je tako da korisnicima nudi bolje mogućnosti pretraživanja, jasniju kategorizaciju skupova podataka i preglednije vizualizacije njihove uporabe, što doprinosi većoj pristupačnosti i boljem korisničkom iskustvu. Uz to, uvedeni su europski standardi poput DCAT-AP 2.0 te je uspostavljen poseban odjeljak za visokovrijedne skupove podataka, čime se Hrvatska dodatno uskladila s europskim regulatornim okvirom.</w:t>
      </w:r>
    </w:p>
    <w:p w14:paraId="58D564A4" w14:textId="77777777" w:rsidR="00774486" w:rsidRPr="00774486" w:rsidRDefault="00774486" w:rsidP="00774486">
      <w:pPr>
        <w:rPr>
          <w:rFonts w:cs="Arial"/>
        </w:rPr>
      </w:pPr>
      <w:r w:rsidRPr="00774486">
        <w:rPr>
          <w:rFonts w:cs="Arial"/>
        </w:rPr>
        <w:t xml:space="preserve">Prema rezultatima istraživanja, Republika Hrvatska ostvarila je poseban napredak u odnosu na indikator kojim se ocjenjuju nacionalne politike i strategije, kao rezultat donošenja Politike otvorenih podataka te osnivanja Koordinacije za provedbu politike otvorenih podataka kao tijela koje nadzire provedbu aktivnosti utvrđenih Akcijskim planom za provedbu Politike otvorenih podataka. </w:t>
      </w:r>
    </w:p>
    <w:p w14:paraId="02BB015D" w14:textId="0D82D234" w:rsidR="006D7D67" w:rsidRPr="00EA7E14" w:rsidRDefault="00774486" w:rsidP="00774486">
      <w:pPr>
        <w:rPr>
          <w:rFonts w:cs="Arial"/>
        </w:rPr>
      </w:pPr>
      <w:r w:rsidRPr="00774486">
        <w:rPr>
          <w:rFonts w:cs="Arial"/>
        </w:rPr>
        <w:t>Ipak, unatoč tim naprecima, i dalje postoje određeni nedostaci. Najvažniji među njima je izostanak sustavnog praćenja stvarne ponovne uporabe otvorenih podataka, zbog čega je otežano procijeniti njihov konkretan učinak na društvo i gospodarstvo. Upravo taj segment predstavlja ključan prostor za daljnje poboljšanje kako bi se u potpunosti iskoristio potencijal otvorenih podataka u Hrvatskoj.</w:t>
      </w:r>
    </w:p>
    <w:p w14:paraId="6D221275" w14:textId="77777777" w:rsidR="0053328A" w:rsidRPr="00F0315E" w:rsidRDefault="0053328A" w:rsidP="009032D7">
      <w:pPr>
        <w:pStyle w:val="Naslov3"/>
        <w:ind w:left="1985"/>
      </w:pPr>
      <w:bookmarkStart w:id="220" w:name="_Toc225865636"/>
      <w:r>
        <w:t>Poseban pravni režim ponovne uporabe informacija za knjižnice, muzeje i arhive</w:t>
      </w:r>
      <w:bookmarkEnd w:id="219"/>
      <w:bookmarkEnd w:id="220"/>
    </w:p>
    <w:p w14:paraId="51E7F682" w14:textId="77777777" w:rsidR="0043257E" w:rsidRPr="0043257E" w:rsidRDefault="0043257E" w:rsidP="0043257E">
      <w:pPr>
        <w:rPr>
          <w:rFonts w:cs="Arial"/>
        </w:rPr>
      </w:pPr>
      <w:r w:rsidRPr="0043257E">
        <w:rPr>
          <w:rFonts w:cs="Arial"/>
        </w:rPr>
        <w:t>Prema podacima koje je Povjereniku za informiranje dostavila Nacionalna i sveučilišna knjižnica (NSK), u 2025. godini nastavljen je program redovne digitalizacije knjižnične građe NSK i proveden je projekt Digitalizacija i dostupnost zbirke Croatica: stare novine, časopisi i knjige uz financijsku potporu Ministarstva kulture i medija. U 2025. digitalizirano je ukupno 332.943 stranice knjižnične građe.</w:t>
      </w:r>
    </w:p>
    <w:p w14:paraId="4AE8CCB1" w14:textId="77777777" w:rsidR="0043257E" w:rsidRPr="0043257E" w:rsidRDefault="0043257E" w:rsidP="0043257E">
      <w:pPr>
        <w:rPr>
          <w:rFonts w:cs="Arial"/>
        </w:rPr>
      </w:pPr>
      <w:r w:rsidRPr="0043257E">
        <w:rPr>
          <w:rFonts w:cs="Arial"/>
        </w:rPr>
        <w:t>U sustave Digitalne knjižnice NSK (Digitalne zbirke NSK, HAW, ZIR, DR i Repozitorij NSK) u 2025. uneseno je 50.23 1 jedinica građe te su sustavi krajem 2025. sadržavali 525.925 jedinica građe, što je u odnosu na 2024. godinu rast od skoro 13%. U sklopu 15. pobiranja (harvestiranja) hrvatske domene (.hr) prikupljeno je 111.791 mrežnih stranica (URL-ova).</w:t>
      </w:r>
    </w:p>
    <w:p w14:paraId="6001789E" w14:textId="77777777" w:rsidR="0043257E" w:rsidRPr="0043257E" w:rsidRDefault="0043257E" w:rsidP="0043257E">
      <w:pPr>
        <w:rPr>
          <w:rFonts w:cs="Arial"/>
        </w:rPr>
      </w:pPr>
      <w:r w:rsidRPr="0043257E">
        <w:rPr>
          <w:rFonts w:cs="Arial"/>
        </w:rPr>
        <w:t>Sva građa koja nije zaštićena autorskopravnim odredbama označena je oznakom javno dobro te joj je omogućen slobodan, neograničen pristup i ponovna upotreba.</w:t>
      </w:r>
    </w:p>
    <w:p w14:paraId="337D28D4" w14:textId="77777777" w:rsidR="0043257E" w:rsidRPr="0043257E" w:rsidRDefault="0043257E" w:rsidP="0043257E">
      <w:pPr>
        <w:rPr>
          <w:rFonts w:cs="Arial"/>
        </w:rPr>
      </w:pPr>
      <w:r w:rsidRPr="0043257E">
        <w:rPr>
          <w:rFonts w:cs="Arial"/>
        </w:rPr>
        <w:t>Na Portalu otvorenih podataka Republike Hrvatske dostupno je ukupno 13 objavljenih skupova otvorenih podataka NSK u Zagrebu (https://data.gov.hr/ckan/organization/nacionalna-i-sveucilisna-knjiznica). Objavljena su četiri nova skupa otvorenih podataka - adresari za sve vrste knjižnica za 2024. godinu (Adresar specijalnih knjižnica za 2024. godinu, Adresar narodnih knjižnica za 2024. godinu, Adresar sveučilišnih, visokoškolskih i znanstvenih knjižnica za 2024. godinu, Adresar školskih knjižnica za 2024. godinu).</w:t>
      </w:r>
    </w:p>
    <w:p w14:paraId="63942847" w14:textId="77777777" w:rsidR="0043257E" w:rsidRPr="0043257E" w:rsidRDefault="0043257E" w:rsidP="0043257E">
      <w:pPr>
        <w:rPr>
          <w:rFonts w:cs="Arial"/>
        </w:rPr>
      </w:pPr>
      <w:r w:rsidRPr="0043257E">
        <w:rPr>
          <w:rFonts w:cs="Arial"/>
        </w:rPr>
        <w:lastRenderedPageBreak/>
        <w:t>NSK od 2022. godine održava portal otvorenih podataka data.nsk.hr na kojem objavljuje podatkovne setove bibliografskih podataka u formatima rdf, json i marcxml prema zahtjevima korisnika. Objavljeno je ukupno četiri seta otvorenih podataka za koje je omogućeno pretraživanje putem upitnog jezika sparql.</w:t>
      </w:r>
    </w:p>
    <w:p w14:paraId="45DA0EC6" w14:textId="77777777" w:rsidR="0043257E" w:rsidRPr="0043257E" w:rsidRDefault="0043257E" w:rsidP="0043257E">
      <w:pPr>
        <w:rPr>
          <w:rFonts w:cs="Arial"/>
        </w:rPr>
      </w:pPr>
      <w:r w:rsidRPr="0043257E">
        <w:rPr>
          <w:rFonts w:cs="Arial"/>
        </w:rPr>
        <w:t>NSK je, kao jedna od četiri partnerske institucije u nacionalnom infrastrukturnom projektu e-Sveučilišta: digitalna preobrazba visokih učilišta u Republici Hrvatskoj (NPOO 2021. - 2026.), započela aktivnosti digitalne transformacije knjižničnog poslovanja NSK te knjižnica visokog obrazovanja i znanosti implementacijom platforme knjižničnih usluga u oblaku Alma/Primo VE te je uspostavila hrvatski visokoškolski knjižnični sustav u oblaku - Bukinet koji funkcionalno povezuje NSK i 82 knjižnice visokog obrazovanja i znanosti. Novi knjižnični sustav Bukinet korisnicima omogućuje:</w:t>
      </w:r>
    </w:p>
    <w:p w14:paraId="597599BF" w14:textId="77777777" w:rsidR="0043257E" w:rsidRPr="0043257E" w:rsidRDefault="0043257E" w:rsidP="005F0EC0">
      <w:pPr>
        <w:pStyle w:val="Odlomakpopisa"/>
        <w:numPr>
          <w:ilvl w:val="0"/>
          <w:numId w:val="15"/>
        </w:numPr>
        <w:rPr>
          <w:rFonts w:ascii="Roboto" w:hAnsi="Roboto" w:cs="Arial"/>
        </w:rPr>
      </w:pPr>
      <w:r w:rsidRPr="0043257E">
        <w:rPr>
          <w:rFonts w:ascii="Roboto" w:hAnsi="Roboto" w:cs="Arial"/>
        </w:rPr>
        <w:t>javno dostupno objedinjeno pretraživanje metapodataka za tiskanu i digitalnu građu te elektroničkih izvora znanstvenih informacija u cjelovitom tekstu,</w:t>
      </w:r>
    </w:p>
    <w:p w14:paraId="0F9809BC" w14:textId="77777777" w:rsidR="0043257E" w:rsidRPr="0043257E" w:rsidRDefault="0043257E" w:rsidP="005F0EC0">
      <w:pPr>
        <w:pStyle w:val="Odlomakpopisa"/>
        <w:numPr>
          <w:ilvl w:val="0"/>
          <w:numId w:val="15"/>
        </w:numPr>
        <w:rPr>
          <w:rFonts w:ascii="Roboto" w:hAnsi="Roboto" w:cs="Arial"/>
        </w:rPr>
      </w:pPr>
      <w:r w:rsidRPr="0043257E">
        <w:rPr>
          <w:rFonts w:ascii="Roboto" w:hAnsi="Roboto" w:cs="Arial"/>
        </w:rPr>
        <w:t>pretraživanje Skupnog kataloga koji sadrži vise od 4,1 milijun bibliografskih zapisa te pruža informacije o statusu primjerka građe za korištenje u realnom vremenu,</w:t>
      </w:r>
    </w:p>
    <w:p w14:paraId="56BA2080" w14:textId="77777777" w:rsidR="0043257E" w:rsidRPr="0043257E" w:rsidRDefault="0043257E" w:rsidP="005F0EC0">
      <w:pPr>
        <w:pStyle w:val="Odlomakpopisa"/>
        <w:numPr>
          <w:ilvl w:val="0"/>
          <w:numId w:val="15"/>
        </w:numPr>
        <w:rPr>
          <w:rFonts w:ascii="Roboto" w:hAnsi="Roboto" w:cs="Arial"/>
        </w:rPr>
      </w:pPr>
      <w:r w:rsidRPr="0043257E">
        <w:rPr>
          <w:rFonts w:ascii="Roboto" w:hAnsi="Roboto" w:cs="Arial"/>
        </w:rPr>
        <w:t>visoku primjenu međunarodnih smjernica i direktiva vezanih uz kibernetičku sigurnost i razmjenu podataka,</w:t>
      </w:r>
    </w:p>
    <w:p w14:paraId="3D7DB8F9" w14:textId="77777777" w:rsidR="0043257E" w:rsidRPr="0043257E" w:rsidRDefault="0043257E" w:rsidP="005F0EC0">
      <w:pPr>
        <w:pStyle w:val="Odlomakpopisa"/>
        <w:numPr>
          <w:ilvl w:val="0"/>
          <w:numId w:val="15"/>
        </w:numPr>
        <w:rPr>
          <w:rFonts w:ascii="Roboto" w:hAnsi="Roboto" w:cs="Arial"/>
        </w:rPr>
      </w:pPr>
      <w:r w:rsidRPr="0043257E">
        <w:rPr>
          <w:rFonts w:ascii="Roboto" w:hAnsi="Roboto" w:cs="Arial"/>
        </w:rPr>
        <w:t>interoperabilnost kroz primjenu API-ja te protokola za prijenos i razmjenu podataka sa sustavima iz okoline (Z39.50, OAI-PMH, SUSHI),</w:t>
      </w:r>
    </w:p>
    <w:p w14:paraId="1B2E0692" w14:textId="77777777" w:rsidR="0043257E" w:rsidRPr="0043257E" w:rsidRDefault="0043257E" w:rsidP="005F0EC0">
      <w:pPr>
        <w:pStyle w:val="Odlomakpopisa"/>
        <w:numPr>
          <w:ilvl w:val="0"/>
          <w:numId w:val="15"/>
        </w:numPr>
        <w:rPr>
          <w:rFonts w:ascii="Roboto" w:hAnsi="Roboto" w:cs="Arial"/>
        </w:rPr>
      </w:pPr>
      <w:r w:rsidRPr="0043257E">
        <w:rPr>
          <w:rFonts w:ascii="Roboto" w:hAnsi="Roboto" w:cs="Arial"/>
        </w:rPr>
        <w:t>primjenu generativne umjetne inteligencije kao podrške istraživanju i učenju,</w:t>
      </w:r>
    </w:p>
    <w:p w14:paraId="4FBEC7E9" w14:textId="77777777" w:rsidR="0043257E" w:rsidRPr="0043257E" w:rsidRDefault="0043257E" w:rsidP="005F0EC0">
      <w:pPr>
        <w:pStyle w:val="Odlomakpopisa"/>
        <w:numPr>
          <w:ilvl w:val="0"/>
          <w:numId w:val="15"/>
        </w:numPr>
        <w:rPr>
          <w:rFonts w:ascii="Roboto" w:hAnsi="Roboto" w:cs="Arial"/>
        </w:rPr>
      </w:pPr>
      <w:r w:rsidRPr="0043257E">
        <w:rPr>
          <w:rFonts w:ascii="Roboto" w:hAnsi="Roboto" w:cs="Arial"/>
        </w:rPr>
        <w:t>brzu digitalnu dostavu poglavlja u znanstvenim knjigama i člancima (RapidILL)</w:t>
      </w:r>
    </w:p>
    <w:p w14:paraId="65080A50" w14:textId="77777777" w:rsidR="0043257E" w:rsidRPr="0043257E" w:rsidRDefault="0043257E" w:rsidP="005F0EC0">
      <w:pPr>
        <w:pStyle w:val="Odlomakpopisa"/>
        <w:numPr>
          <w:ilvl w:val="0"/>
          <w:numId w:val="15"/>
        </w:numPr>
        <w:rPr>
          <w:rFonts w:cs="Arial"/>
        </w:rPr>
      </w:pPr>
      <w:r w:rsidRPr="0043257E">
        <w:rPr>
          <w:rFonts w:ascii="Roboto" w:hAnsi="Roboto" w:cs="Arial"/>
        </w:rPr>
        <w:t xml:space="preserve">primjenu otvorenog bibliografskog formata BIBFRAME za izradu otvorenih povezanih podataka (linked </w:t>
      </w:r>
      <w:r w:rsidRPr="0043257E">
        <w:rPr>
          <w:rFonts w:cs="Arial"/>
        </w:rPr>
        <w:t>open data).</w:t>
      </w:r>
    </w:p>
    <w:p w14:paraId="008082A5" w14:textId="77777777" w:rsidR="0043257E" w:rsidRPr="0043257E" w:rsidRDefault="0043257E" w:rsidP="0043257E">
      <w:pPr>
        <w:rPr>
          <w:rFonts w:cs="Arial"/>
        </w:rPr>
      </w:pPr>
      <w:r w:rsidRPr="0043257E">
        <w:rPr>
          <w:rFonts w:cs="Arial"/>
        </w:rPr>
        <w:t>NSK je u okviru projekta e-Sveučilišta započela aktivnosti izrade i objave otvorenih digitalnih obrazovnih sadržaja (DOS) koje će objavljivati u digitalnom repozitoriju digitalnih obrazovnih sadržaja.</w:t>
      </w:r>
    </w:p>
    <w:p w14:paraId="5D20B6C7" w14:textId="77777777" w:rsidR="0043257E" w:rsidRPr="0043257E" w:rsidRDefault="0043257E" w:rsidP="0043257E">
      <w:pPr>
        <w:rPr>
          <w:rFonts w:cs="Arial"/>
        </w:rPr>
      </w:pPr>
      <w:r w:rsidRPr="7D481D26">
        <w:rPr>
          <w:rFonts w:cs="Arial"/>
        </w:rPr>
        <w:t>Otvoreni digitalni obrazovni sadržaji NSK dio su provedbe aktivnosti ulaganja u nabavu digitalne tehnologije radi transformacije tradicionalnog knjižničnog prostora u digitalno zrelu okolinu za učenje i istraživanje u NSK. U okviru uspostave digitalno zrele okoline za učenje i istraživanje tijekom 2025.godine nabavljene su dodatno još tri kabine za digitalno učenje koje omogućuju korisnicima NSK samostalno iii suradničko učenje na daljinu, povećavaju prilike za pristup digitalnim obrazovnim sadržajima i digitalnoj građi te korištenje suvremene digitalne tehnologije za potrebe učenja istraživanja.</w:t>
      </w:r>
    </w:p>
    <w:p w14:paraId="0C4C134F" w14:textId="77777777" w:rsidR="00185CDB" w:rsidRPr="00185CDB" w:rsidRDefault="00185CDB" w:rsidP="00185CDB">
      <w:pPr>
        <w:pBdr>
          <w:top w:val="single" w:sz="4" w:space="1" w:color="auto"/>
          <w:left w:val="single" w:sz="4" w:space="4" w:color="auto"/>
          <w:bottom w:val="single" w:sz="4" w:space="1" w:color="auto"/>
          <w:right w:val="single" w:sz="4" w:space="4" w:color="auto"/>
        </w:pBdr>
        <w:rPr>
          <w:rFonts w:cs="Arial"/>
        </w:rPr>
      </w:pPr>
      <w:r w:rsidRPr="00185CDB">
        <w:rPr>
          <w:rFonts w:cs="Arial"/>
        </w:rPr>
        <w:t>Omogućavanjem besplatne ponovne uporabe otvorenih podataka, kako u komercijalne tako i u nekomercijalne svrhe, stvaraju se preduvjeti za razvoj inovativnih proizvoda i usluga s dodanom vrijednošću. Time se potiče gospodarski rast, otvaranje novih radnih mjesta i privlačenje ulaganja.</w:t>
      </w:r>
    </w:p>
    <w:p w14:paraId="5D8D7778" w14:textId="77777777" w:rsidR="00185CDB" w:rsidRPr="00185CDB" w:rsidRDefault="00185CDB" w:rsidP="00185CDB">
      <w:pPr>
        <w:pBdr>
          <w:top w:val="single" w:sz="4" w:space="1" w:color="auto"/>
          <w:left w:val="single" w:sz="4" w:space="4" w:color="auto"/>
          <w:bottom w:val="single" w:sz="4" w:space="1" w:color="auto"/>
          <w:right w:val="single" w:sz="4" w:space="4" w:color="auto"/>
        </w:pBdr>
        <w:rPr>
          <w:rFonts w:cs="Arial"/>
        </w:rPr>
      </w:pPr>
      <w:r w:rsidRPr="00185CDB">
        <w:rPr>
          <w:rFonts w:cs="Arial"/>
        </w:rPr>
        <w:t xml:space="preserve">Otvoreni podaci ujedno pridonose većoj transparentnosti rada tijela javne vlasti, jačaju njihovu odgovornost prema građanima, unaprjeđuju učinkovitost njihova djelovanja te smanjuju rizik od koruptivnih praksi. Koncept njihove ponovne uporabe temelji se ponajprije na obvezi </w:t>
      </w:r>
      <w:r w:rsidRPr="00185CDB">
        <w:rPr>
          <w:rFonts w:cs="Arial"/>
        </w:rPr>
        <w:lastRenderedPageBreak/>
        <w:t>proaktivne objave informacija, uključujući registre i baze podataka iz nadležnosti pojedinih tijela, uz jasno naznačene uvjete pristupa i mogućnosti ponovne uporabe.</w:t>
      </w:r>
    </w:p>
    <w:p w14:paraId="172D1229" w14:textId="77777777" w:rsidR="00185CDB" w:rsidRPr="00185CDB" w:rsidRDefault="00185CDB" w:rsidP="00185CDB">
      <w:pPr>
        <w:pBdr>
          <w:top w:val="single" w:sz="4" w:space="1" w:color="auto"/>
          <w:left w:val="single" w:sz="4" w:space="4" w:color="auto"/>
          <w:bottom w:val="single" w:sz="4" w:space="1" w:color="auto"/>
          <w:right w:val="single" w:sz="4" w:space="4" w:color="auto"/>
        </w:pBdr>
        <w:rPr>
          <w:rFonts w:cs="Arial"/>
        </w:rPr>
      </w:pPr>
      <w:r w:rsidRPr="00185CDB">
        <w:rPr>
          <w:rFonts w:cs="Arial"/>
        </w:rPr>
        <w:t>Tijela javne vlasti obvezna su, radi poticanja i olakšavanja ponovne uporabe podataka u elektroničkom obliku, na jednostavno pretraživ način objavljivati takve informacije na Portalu otvorenih podataka. Podaci pritom trebaju biti popraćeni odgovarajućim metapodacima te dostupni u strojno čitljivom, otvorenom i pristupačnom formatu, u skladu s važećim otvorenim standardima.</w:t>
      </w:r>
    </w:p>
    <w:p w14:paraId="371E6106" w14:textId="77777777" w:rsidR="00185CDB" w:rsidRPr="00185CDB" w:rsidRDefault="00185CDB" w:rsidP="00185CDB">
      <w:pPr>
        <w:pBdr>
          <w:top w:val="single" w:sz="4" w:space="1" w:color="auto"/>
          <w:left w:val="single" w:sz="4" w:space="4" w:color="auto"/>
          <w:bottom w:val="single" w:sz="4" w:space="1" w:color="auto"/>
          <w:right w:val="single" w:sz="4" w:space="4" w:color="auto"/>
        </w:pBdr>
        <w:rPr>
          <w:rFonts w:cs="Arial"/>
        </w:rPr>
      </w:pPr>
      <w:r w:rsidRPr="00185CDB">
        <w:rPr>
          <w:rFonts w:cs="Arial"/>
        </w:rPr>
        <w:t>Portal otvorenih podataka pritom ima središnju ulogu u prikupljanju, razvrstavanju i distribuciji podataka javnog sektora, omogućujući njihovu dostupnost u otvorenom i računalno čitljivom obliku. Takvi podaci su javno dostupni, besplatni i namijenjeni daljnjoj uporabi u različite svrhe.</w:t>
      </w:r>
    </w:p>
    <w:p w14:paraId="237CEA83" w14:textId="77777777" w:rsidR="00185CDB" w:rsidRPr="00185CDB" w:rsidRDefault="00185CDB" w:rsidP="00185CDB">
      <w:pPr>
        <w:pBdr>
          <w:top w:val="single" w:sz="4" w:space="1" w:color="auto"/>
          <w:left w:val="single" w:sz="4" w:space="4" w:color="auto"/>
          <w:bottom w:val="single" w:sz="4" w:space="1" w:color="auto"/>
          <w:right w:val="single" w:sz="4" w:space="4" w:color="auto"/>
        </w:pBdr>
        <w:rPr>
          <w:rFonts w:cs="Arial"/>
        </w:rPr>
      </w:pPr>
      <w:r w:rsidRPr="00185CDB">
        <w:rPr>
          <w:rFonts w:cs="Arial"/>
        </w:rPr>
        <w:t>Unatoč kontinuiranom rastu broja objavljenih skupova podataka i uključenih izdavača, i dalje su prisutni određeni izazovi. Skupovi podataka često nisu objavljeni u formatima prikladnima za ponovnu uporabu, što umanjuje njihovu korisnost, kvaliteta metapodataka nerijetko je nedostatna, a dio poveznica vodi na neaktivne ili nepostojeće stranice.</w:t>
      </w:r>
    </w:p>
    <w:p w14:paraId="0A3D7A6F" w14:textId="77777777" w:rsidR="00185CDB" w:rsidRPr="00185CDB" w:rsidRDefault="00185CDB" w:rsidP="00185CDB">
      <w:pPr>
        <w:pBdr>
          <w:top w:val="single" w:sz="4" w:space="1" w:color="auto"/>
          <w:left w:val="single" w:sz="4" w:space="4" w:color="auto"/>
          <w:bottom w:val="single" w:sz="4" w:space="1" w:color="auto"/>
          <w:right w:val="single" w:sz="4" w:space="4" w:color="auto"/>
        </w:pBdr>
        <w:rPr>
          <w:rFonts w:cs="Arial"/>
        </w:rPr>
      </w:pPr>
      <w:r w:rsidRPr="00185CDB">
        <w:rPr>
          <w:rFonts w:cs="Arial"/>
        </w:rPr>
        <w:t xml:space="preserve">Prema odgovorima iz dostavljenih izvješća, 56% tijela smatra da se na njih ne odnosi obveza omogućavanje ponovne uporabe informacija jer ne raspolažu registrima, bazama i skupovima podataka za ponovnu uporabu. </w:t>
      </w:r>
    </w:p>
    <w:p w14:paraId="738EBBCE" w14:textId="77777777" w:rsidR="00185CDB" w:rsidRPr="00185CDB" w:rsidRDefault="00185CDB" w:rsidP="00185CDB">
      <w:pPr>
        <w:pBdr>
          <w:top w:val="single" w:sz="4" w:space="1" w:color="auto"/>
          <w:left w:val="single" w:sz="4" w:space="4" w:color="auto"/>
          <w:bottom w:val="single" w:sz="4" w:space="1" w:color="auto"/>
          <w:right w:val="single" w:sz="4" w:space="4" w:color="auto"/>
        </w:pBdr>
        <w:rPr>
          <w:rFonts w:cs="Arial"/>
        </w:rPr>
      </w:pPr>
      <w:r w:rsidRPr="00185CDB">
        <w:rPr>
          <w:rFonts w:cs="Arial"/>
        </w:rPr>
        <w:t xml:space="preserve">Dodatno, analize i godišnja izvješća ukazuju da značajan broj tijela </w:t>
      </w:r>
      <w:r w:rsidRPr="00021548">
        <w:rPr>
          <w:rFonts w:cs="Arial"/>
        </w:rPr>
        <w:t>javne vlasti (22%)</w:t>
      </w:r>
      <w:r w:rsidRPr="00185CDB">
        <w:rPr>
          <w:rFonts w:cs="Arial"/>
        </w:rPr>
        <w:t xml:space="preserve"> još uvijek ne ispunjava obvezu proaktivne objave informacija o registrima, bazama i skupovima podataka za ponovnu uporabu (asset liste).</w:t>
      </w:r>
    </w:p>
    <w:p w14:paraId="27CCAB34" w14:textId="45C7B29D" w:rsidR="006D7D67" w:rsidRPr="00EA7E14" w:rsidRDefault="00185CDB" w:rsidP="00185CDB">
      <w:pPr>
        <w:pBdr>
          <w:top w:val="single" w:sz="4" w:space="1" w:color="auto"/>
          <w:left w:val="single" w:sz="4" w:space="4" w:color="auto"/>
          <w:bottom w:val="single" w:sz="4" w:space="1" w:color="auto"/>
          <w:right w:val="single" w:sz="4" w:space="4" w:color="auto"/>
        </w:pBdr>
        <w:rPr>
          <w:rFonts w:cs="Arial"/>
        </w:rPr>
      </w:pPr>
      <w:r w:rsidRPr="00185CDB">
        <w:rPr>
          <w:rFonts w:cs="Arial"/>
        </w:rPr>
        <w:t>Donošenjem Politike otvorenih podataka i pripadajućeg Akcijskog plana postavljeni su temelji za sustavnije rješavanje uočenih nedostataka i unapređenje područja otvorenih podataka.</w:t>
      </w:r>
    </w:p>
    <w:p w14:paraId="6681C9A2" w14:textId="305B90C8" w:rsidR="00147D0B" w:rsidRPr="00F0315E" w:rsidRDefault="00147D0B" w:rsidP="007B4CE1">
      <w:pPr>
        <w:pStyle w:val="Naslov1"/>
        <w:rPr>
          <w:rFonts w:eastAsia="Times New Roman"/>
          <w:kern w:val="0"/>
        </w:rPr>
      </w:pPr>
      <w:bookmarkStart w:id="221" w:name="_Toc225865637"/>
      <w:bookmarkEnd w:id="209"/>
      <w:bookmarkEnd w:id="210"/>
      <w:r>
        <w:t>Promicanje prava na pristup informacijama</w:t>
      </w:r>
      <w:bookmarkEnd w:id="206"/>
      <w:bookmarkEnd w:id="221"/>
    </w:p>
    <w:p w14:paraId="2A445A28" w14:textId="473A6E16" w:rsidR="00EB6418" w:rsidRPr="00F0315E" w:rsidRDefault="006D7D67" w:rsidP="00322568">
      <w:pPr>
        <w:rPr>
          <w:rFonts w:cs="Arial"/>
        </w:rPr>
      </w:pPr>
      <w:r w:rsidRPr="00021548">
        <w:rPr>
          <w:rFonts w:cs="Arial"/>
        </w:rPr>
        <w:t>Ured kontinuirano provodi različite edukativne i promotivne aktivnosti usmjerene na jačanje</w:t>
      </w:r>
      <w:r w:rsidRPr="00212610">
        <w:rPr>
          <w:rFonts w:cs="Arial"/>
        </w:rPr>
        <w:t xml:space="preserve"> znanja i svijesti o ostvarivanju prava na pristup i</w:t>
      </w:r>
      <w:r>
        <w:rPr>
          <w:rFonts w:cs="Arial"/>
        </w:rPr>
        <w:t>nformacijama i njihove ponovne uporabe</w:t>
      </w:r>
      <w:r w:rsidRPr="00212610">
        <w:rPr>
          <w:rFonts w:cs="Arial"/>
        </w:rPr>
        <w:t>. Aktivnosti su</w:t>
      </w:r>
      <w:r>
        <w:rPr>
          <w:rFonts w:cs="Arial"/>
        </w:rPr>
        <w:t xml:space="preserve"> </w:t>
      </w:r>
      <w:r w:rsidRPr="00212610">
        <w:rPr>
          <w:rFonts w:cs="Arial"/>
        </w:rPr>
        <w:t>usmjerene kako prema tijelima javne vlasti i službenicima za informiranje, tako i prema korisnicim</w:t>
      </w:r>
      <w:r>
        <w:rPr>
          <w:rFonts w:cs="Arial"/>
        </w:rPr>
        <w:t xml:space="preserve">a – </w:t>
      </w:r>
      <w:r w:rsidRPr="00212610">
        <w:rPr>
          <w:rFonts w:cs="Arial"/>
        </w:rPr>
        <w:t>udrugama, medijima, građanima i drugim zainteresiranim dionicima. Tijekom 202</w:t>
      </w:r>
      <w:r>
        <w:rPr>
          <w:rFonts w:cs="Arial"/>
        </w:rPr>
        <w:t>5</w:t>
      </w:r>
      <w:r w:rsidRPr="00212610">
        <w:rPr>
          <w:rFonts w:cs="Arial"/>
        </w:rPr>
        <w:t>. godine nastavljen</w:t>
      </w:r>
      <w:r>
        <w:rPr>
          <w:rFonts w:cs="Arial"/>
        </w:rPr>
        <w:t>o je s održavanjem</w:t>
      </w:r>
      <w:r w:rsidRPr="00212610">
        <w:rPr>
          <w:rFonts w:cs="Arial"/>
        </w:rPr>
        <w:t xml:space="preserve"> specijaliziran</w:t>
      </w:r>
      <w:r>
        <w:rPr>
          <w:rFonts w:cs="Arial"/>
        </w:rPr>
        <w:t xml:space="preserve">ih </w:t>
      </w:r>
      <w:r w:rsidRPr="00212610">
        <w:rPr>
          <w:rFonts w:cs="Arial"/>
        </w:rPr>
        <w:t>edukacij</w:t>
      </w:r>
      <w:r>
        <w:rPr>
          <w:rFonts w:cs="Arial"/>
        </w:rPr>
        <w:t>a</w:t>
      </w:r>
      <w:r w:rsidRPr="00212610">
        <w:rPr>
          <w:rFonts w:cs="Arial"/>
        </w:rPr>
        <w:t xml:space="preserve"> i radionic</w:t>
      </w:r>
      <w:r>
        <w:rPr>
          <w:rFonts w:cs="Arial"/>
        </w:rPr>
        <w:t>a</w:t>
      </w:r>
      <w:r w:rsidRPr="00212610">
        <w:rPr>
          <w:rFonts w:cs="Arial"/>
        </w:rPr>
        <w:t>, organizacij</w:t>
      </w:r>
      <w:r>
        <w:rPr>
          <w:rFonts w:cs="Arial"/>
        </w:rPr>
        <w:t>om</w:t>
      </w:r>
      <w:r w:rsidRPr="00212610">
        <w:rPr>
          <w:rFonts w:cs="Arial"/>
        </w:rPr>
        <w:t xml:space="preserve"> i sudjelovanje</w:t>
      </w:r>
      <w:r>
        <w:rPr>
          <w:rFonts w:cs="Arial"/>
        </w:rPr>
        <w:t>m</w:t>
      </w:r>
      <w:r w:rsidRPr="00212610">
        <w:rPr>
          <w:rFonts w:cs="Arial"/>
        </w:rPr>
        <w:t xml:space="preserve"> na javnim događanjima, aktivnosti</w:t>
      </w:r>
      <w:r>
        <w:rPr>
          <w:rFonts w:cs="Arial"/>
        </w:rPr>
        <w:t>ma</w:t>
      </w:r>
      <w:r w:rsidRPr="00212610">
        <w:rPr>
          <w:rFonts w:cs="Arial"/>
        </w:rPr>
        <w:t xml:space="preserve"> informiranja javnosti te razvoj</w:t>
      </w:r>
      <w:r>
        <w:rPr>
          <w:rFonts w:cs="Arial"/>
        </w:rPr>
        <w:t>em</w:t>
      </w:r>
      <w:r w:rsidRPr="00212610">
        <w:rPr>
          <w:rFonts w:cs="Arial"/>
        </w:rPr>
        <w:t xml:space="preserve"> međuinstitucionalne i međunarodne suradnje, uz provedbu aktivnosti predviđenih relevantnim strateškim dokumentima.</w:t>
      </w:r>
    </w:p>
    <w:p w14:paraId="1B43740B" w14:textId="77777777" w:rsidR="00EB6418" w:rsidRPr="00F0315E" w:rsidRDefault="00EB6418" w:rsidP="00811052">
      <w:pPr>
        <w:pStyle w:val="Naslov2"/>
        <w:ind w:left="1276" w:hanging="567"/>
      </w:pPr>
      <w:bookmarkStart w:id="222" w:name="_Toc68002348"/>
      <w:bookmarkStart w:id="223" w:name="_Toc225865638"/>
      <w:r w:rsidRPr="7D481D26">
        <w:t>Edukacijske aktivnosti</w:t>
      </w:r>
      <w:bookmarkEnd w:id="222"/>
      <w:bookmarkEnd w:id="223"/>
    </w:p>
    <w:p w14:paraId="2642BBC8" w14:textId="7663BB59" w:rsidR="006D7D67" w:rsidRPr="00DE744E" w:rsidRDefault="006D7D67" w:rsidP="006D7D67">
      <w:pPr>
        <w:rPr>
          <w:rFonts w:cs="Arial"/>
          <w:color w:val="000000" w:themeColor="text1"/>
        </w:rPr>
      </w:pPr>
      <w:r w:rsidRPr="009F00D8">
        <w:rPr>
          <w:rFonts w:cs="Arial"/>
        </w:rPr>
        <w:t xml:space="preserve">U okviru promicanja </w:t>
      </w:r>
      <w:r w:rsidRPr="00DE744E">
        <w:rPr>
          <w:rFonts w:cs="Arial"/>
          <w:color w:val="000000" w:themeColor="text1"/>
        </w:rPr>
        <w:t xml:space="preserve">prava na pristup i ponovnu uporabu informacija i zadaće predlaganja i provođenja mjera za stručno osposobljavanje i usavršavanje službenika za informiranje u </w:t>
      </w:r>
      <w:r w:rsidRPr="00021548">
        <w:rPr>
          <w:rFonts w:cs="Arial"/>
          <w:color w:val="000000" w:themeColor="text1"/>
        </w:rPr>
        <w:lastRenderedPageBreak/>
        <w:t xml:space="preserve">tijelima javne vlasti te upoznavanje s njihovim obvezama u vezi s primjenom ZPPI-ja, </w:t>
      </w:r>
      <w:r w:rsidR="006B603E" w:rsidRPr="00021548">
        <w:rPr>
          <w:rFonts w:cs="Arial"/>
          <w:color w:val="000000" w:themeColor="text1"/>
        </w:rPr>
        <w:t>Ured</w:t>
      </w:r>
      <w:r w:rsidRPr="00DE744E">
        <w:rPr>
          <w:rFonts w:cs="Arial"/>
          <w:color w:val="000000" w:themeColor="text1"/>
        </w:rPr>
        <w:t xml:space="preserve"> kontinuirano održava besplatne edukacije, samostalno i u suradnji s drugim tijelima. </w:t>
      </w:r>
    </w:p>
    <w:p w14:paraId="7C62C020" w14:textId="77777777" w:rsidR="00EB3B4E" w:rsidRPr="00EB3B4E" w:rsidRDefault="00EB3B4E" w:rsidP="00EB3B4E">
      <w:pPr>
        <w:rPr>
          <w:rFonts w:cs="Arial"/>
        </w:rPr>
      </w:pPr>
      <w:r w:rsidRPr="00EB3B4E">
        <w:rPr>
          <w:rFonts w:cs="Arial"/>
        </w:rPr>
        <w:t>Vezano za održavanje edukacija o pravu na pristup informacijama u suradnji s Državnom školom za javnu upravu, u 2025. je nastavljeno s osnovnim i naprednim modulom, pri čemu se osnovni izvodi kao dvodnevna radionica (3 edukacije, 46 polaznika), a napredni kao jednodnevna (3 edukacije, 31 polaznik), kako bi se kroz primjere iz prakse i rad u grupama moglo polaznike dodatno educirati o pravilnoj primjeni zakonskih odredbi. U okviru osnovnog modula se polaznicima edukacije daje prikaz ispunjenja obveza proaktivne objave informacija i osiguravanja javnosti rada na sjednicama, a na naprednom modulu je fokus na vježbama izrade primjeraka akata iz različitih faza postupka ostvarivanja prava na pristup informacijama.</w:t>
      </w:r>
    </w:p>
    <w:p w14:paraId="7371933E" w14:textId="77777777" w:rsidR="00EB3B4E" w:rsidRPr="00EB3B4E" w:rsidRDefault="00EB3B4E" w:rsidP="00EB3B4E">
      <w:pPr>
        <w:rPr>
          <w:rFonts w:cs="Arial"/>
        </w:rPr>
      </w:pPr>
      <w:r w:rsidRPr="00EB3B4E">
        <w:rPr>
          <w:rFonts w:cs="Arial"/>
        </w:rPr>
        <w:t>Dodatno su održane tri regionalne edukacije pod nazivom „Pravo na pristup informacijama i transparentnost tijela javne vlasti“, i to u Umagu, Vinkovcima i Makarskoj (97 polaznika).</w:t>
      </w:r>
    </w:p>
    <w:p w14:paraId="672AA908" w14:textId="77777777" w:rsidR="00EB3B4E" w:rsidRPr="00EB3B4E" w:rsidRDefault="00EB3B4E" w:rsidP="00EB3B4E">
      <w:pPr>
        <w:rPr>
          <w:rFonts w:cs="Arial"/>
        </w:rPr>
      </w:pPr>
      <w:r w:rsidRPr="00EB3B4E">
        <w:rPr>
          <w:rFonts w:cs="Arial"/>
        </w:rPr>
        <w:t>Održane su i tri poludnevne edukacije o savjetovanjima s javnošću (38 polaznika), koje Ured provodi samostalno i na kojima se, u svrhu prikaza ispunjenja obveze savjetovanja s javnošću od strane tijela javne vlasti čiji su se službenici prijavili za sudjelovanje na predmetnoj edukaciji, prikazuju rezultati analize internetskih stranica navedenih tijela (skupni rezultati segmentiranih praćenja objavljuju se u rubrici „Analitička izvješća“).</w:t>
      </w:r>
    </w:p>
    <w:p w14:paraId="6AA38D51" w14:textId="77777777" w:rsidR="00EB3B4E" w:rsidRPr="00EB3B4E" w:rsidRDefault="00EB3B4E" w:rsidP="00EB3B4E">
      <w:pPr>
        <w:rPr>
          <w:rFonts w:cs="Arial"/>
        </w:rPr>
      </w:pPr>
      <w:r w:rsidRPr="00EB3B4E">
        <w:rPr>
          <w:rFonts w:cs="Arial"/>
        </w:rPr>
        <w:t>Nastavljeno je s provedbom online edukacije o ponovnoj uporabi informacija i otvorenim podacima putem e-tečaja na Moodle platformi Državne škole, koja je od ožujka 2025. postala trajno dostupan program (ukupno 45 polaznika tijekom godine). Ujedno je uspostavljena nova radionica „Upravljanje otvorenim podacima“ (održane 2 edukacije s 27 polaznika).</w:t>
      </w:r>
    </w:p>
    <w:p w14:paraId="1F714E78" w14:textId="77777777" w:rsidR="00EB3B4E" w:rsidRPr="00EB3B4E" w:rsidRDefault="00EB3B4E" w:rsidP="00EB3B4E">
      <w:pPr>
        <w:rPr>
          <w:rFonts w:cs="Arial"/>
        </w:rPr>
      </w:pPr>
      <w:r w:rsidRPr="00EB3B4E">
        <w:rPr>
          <w:rFonts w:cs="Arial"/>
        </w:rPr>
        <w:t xml:space="preserve">Također, Ured nastavio je održavati i kratke webinare za službenike za informiranje i druge zaposlenike tijela javne vlasti koji u svom radu primjenjuju Zakon. U 2025. je održano 14 tematskih webinara sa 126 sudionika, a dodatno su održana i dva webinara „Otvoreni podaci i informacije za ponovnu uporabu“ te webinar „Izrada i objava informacija o registrima i bazama podataka – asset lista“ (14 sudionika). </w:t>
      </w:r>
    </w:p>
    <w:p w14:paraId="58DC169A" w14:textId="77777777" w:rsidR="00EB3B4E" w:rsidRPr="00EB3B4E" w:rsidRDefault="00EB3B4E" w:rsidP="00EB3B4E">
      <w:pPr>
        <w:rPr>
          <w:rFonts w:cs="Arial"/>
        </w:rPr>
      </w:pPr>
      <w:r w:rsidRPr="00EB3B4E">
        <w:rPr>
          <w:rFonts w:cs="Arial"/>
        </w:rPr>
        <w:t xml:space="preserve">Glede edukacija namijenjenih korisnicima prava na pristup informacijama, Ured je u studenom održao predavanje za studente Pravnog fakulteta Sveučilišta u Osijeku (40 studenata) te u travnju u Kući Europe u Zagrebu, svojevrsnu radionicu, odnosno briefing s udrugama (6 predstavnika udruga). Što se tiče provedbe specijaliziranog modula namijenjenog novinarima, u 2025. su održane dvije online edukacije za novinare (8 sudionika). </w:t>
      </w:r>
    </w:p>
    <w:p w14:paraId="0E5BF6F4" w14:textId="77777777" w:rsidR="00EB3B4E" w:rsidRPr="00EB3B4E" w:rsidRDefault="00EB3B4E" w:rsidP="00EB3B4E">
      <w:pPr>
        <w:rPr>
          <w:rFonts w:cs="Arial"/>
        </w:rPr>
      </w:pPr>
      <w:r w:rsidRPr="00EB3B4E">
        <w:rPr>
          <w:rFonts w:cs="Arial"/>
        </w:rPr>
        <w:t>Dodatno, Ured je sudjelovao u  održavanju dva pilot-izdanja novouspostavljene radionice „Otvorena vlast: modeli suradnje i međunarodne dobre prakse“, u suradnji s Uredom za udruge Vlade RH, a čije je održavanje predviđeno Nacrtom akcijskog plana Partnerstva za otvorenu vlast za razdoblje 2026.–2028.</w:t>
      </w:r>
    </w:p>
    <w:p w14:paraId="64A82497" w14:textId="43E221CD" w:rsidR="006D7D67" w:rsidRDefault="00EB3B4E" w:rsidP="00EB3B4E">
      <w:pPr>
        <w:rPr>
          <w:rFonts w:cs="Arial"/>
        </w:rPr>
      </w:pPr>
      <w:r w:rsidRPr="00EB3B4E">
        <w:rPr>
          <w:rFonts w:cs="Arial"/>
        </w:rPr>
        <w:t>Dakle, Ured je u 2025. organizirao i održao 35 edukacija za 480 polaznika, a uključujući Godišnje savjetovanje službenika za informiranje, kao javno događanje s edukativnom komponentom, bilo ih je ukupno 605. Podaci su prikazani u Tablici 9.1.</w:t>
      </w:r>
    </w:p>
    <w:p w14:paraId="34CA2C27" w14:textId="77777777" w:rsidR="0052400E" w:rsidRPr="000E03F0" w:rsidRDefault="0052400E" w:rsidP="00EB3B4E">
      <w:pPr>
        <w:rPr>
          <w:rFonts w:cs="Arial"/>
        </w:rPr>
      </w:pPr>
    </w:p>
    <w:p w14:paraId="3ABA4777" w14:textId="3E67FFEB" w:rsidR="00EB6418" w:rsidRDefault="00EB6418" w:rsidP="00E77389">
      <w:pPr>
        <w:widowControl w:val="0"/>
        <w:spacing w:before="240"/>
        <w:rPr>
          <w:rFonts w:eastAsia="Malgun Gothic" w:cs="Arial"/>
          <w:sz w:val="20"/>
          <w:szCs w:val="20"/>
          <w:lang w:eastAsia="ko-KR"/>
        </w:rPr>
      </w:pPr>
      <w:r w:rsidRPr="00612D6B">
        <w:rPr>
          <w:rFonts w:eastAsia="Malgun Gothic" w:cs="Arial"/>
          <w:sz w:val="20"/>
          <w:szCs w:val="20"/>
          <w:lang w:eastAsia="ko-KR"/>
        </w:rPr>
        <w:lastRenderedPageBreak/>
        <w:t xml:space="preserve">Tablica </w:t>
      </w:r>
      <w:r w:rsidR="00E00E59" w:rsidRPr="00612D6B">
        <w:rPr>
          <w:rFonts w:eastAsia="Malgun Gothic" w:cs="Arial"/>
          <w:sz w:val="20"/>
          <w:szCs w:val="20"/>
          <w:lang w:eastAsia="ko-KR"/>
        </w:rPr>
        <w:t>9</w:t>
      </w:r>
      <w:r w:rsidRPr="00612D6B">
        <w:rPr>
          <w:rFonts w:eastAsia="Malgun Gothic" w:cs="Arial"/>
          <w:sz w:val="20"/>
          <w:szCs w:val="20"/>
          <w:lang w:eastAsia="ko-KR"/>
        </w:rPr>
        <w:t>.1. Edukacije u 202</w:t>
      </w:r>
      <w:r w:rsidR="004C5A79">
        <w:rPr>
          <w:rFonts w:eastAsia="Malgun Gothic" w:cs="Arial"/>
          <w:sz w:val="20"/>
          <w:szCs w:val="20"/>
          <w:lang w:eastAsia="ko-KR"/>
        </w:rPr>
        <w:t>5</w:t>
      </w:r>
      <w:r w:rsidRPr="00612D6B">
        <w:rPr>
          <w:rFonts w:eastAsia="Malgun Gothic" w:cs="Arial"/>
          <w:sz w:val="20"/>
          <w:szCs w:val="20"/>
          <w:lang w:eastAsia="ko-KR"/>
        </w:rPr>
        <w:t>. i broj polaznika</w:t>
      </w:r>
    </w:p>
    <w:tbl>
      <w:tblPr>
        <w:tblStyle w:val="LightShading-Accent1151"/>
        <w:tblW w:w="4979" w:type="pct"/>
        <w:tblLook w:val="04A0" w:firstRow="1" w:lastRow="0" w:firstColumn="1" w:lastColumn="0" w:noHBand="0" w:noVBand="1"/>
      </w:tblPr>
      <w:tblGrid>
        <w:gridCol w:w="5842"/>
        <w:gridCol w:w="1597"/>
        <w:gridCol w:w="1595"/>
      </w:tblGrid>
      <w:tr w:rsidR="001B6C25" w:rsidRPr="00DB6A4E" w14:paraId="020722F6" w14:textId="77777777" w:rsidTr="00D31228">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3" w:type="pct"/>
            <w:vAlign w:val="center"/>
          </w:tcPr>
          <w:p w14:paraId="3785CC7F" w14:textId="77777777" w:rsidR="001B6C25" w:rsidRPr="00DB6A4E" w:rsidRDefault="001B6C25">
            <w:pPr>
              <w:widowControl w:val="0"/>
              <w:spacing w:before="60" w:after="60"/>
              <w:rPr>
                <w:color w:val="auto"/>
                <w:sz w:val="18"/>
                <w:szCs w:val="18"/>
              </w:rPr>
            </w:pPr>
            <w:r w:rsidRPr="00DB6A4E">
              <w:rPr>
                <w:color w:val="auto"/>
                <w:sz w:val="18"/>
                <w:szCs w:val="18"/>
              </w:rPr>
              <w:t>Ciljana skupina / partner u organizaciji edukacije</w:t>
            </w:r>
          </w:p>
        </w:tc>
        <w:tc>
          <w:tcPr>
            <w:tcW w:w="884" w:type="pct"/>
            <w:vAlign w:val="center"/>
          </w:tcPr>
          <w:p w14:paraId="2302F536" w14:textId="77777777" w:rsidR="001B6C25" w:rsidRPr="00DB6A4E" w:rsidRDefault="001B6C25">
            <w:pPr>
              <w:widowControl w:val="0"/>
              <w:spacing w:before="60" w:after="6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DB6A4E">
              <w:rPr>
                <w:color w:val="auto"/>
                <w:sz w:val="18"/>
                <w:szCs w:val="18"/>
              </w:rPr>
              <w:t>Broj edukacija</w:t>
            </w:r>
          </w:p>
        </w:tc>
        <w:tc>
          <w:tcPr>
            <w:tcW w:w="883" w:type="pct"/>
            <w:vAlign w:val="center"/>
          </w:tcPr>
          <w:p w14:paraId="4385E0A0" w14:textId="77777777" w:rsidR="001B6C25" w:rsidRPr="00DB6A4E" w:rsidRDefault="001B6C25">
            <w:pPr>
              <w:widowControl w:val="0"/>
              <w:spacing w:before="60" w:after="6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DB6A4E">
              <w:rPr>
                <w:color w:val="auto"/>
                <w:sz w:val="18"/>
                <w:szCs w:val="18"/>
              </w:rPr>
              <w:t>Broj polaznika</w:t>
            </w:r>
          </w:p>
        </w:tc>
      </w:tr>
      <w:tr w:rsidR="001B6C25" w:rsidRPr="001B6C25" w14:paraId="73519BE2" w14:textId="77777777" w:rsidTr="00D3122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8" w:space="0" w:color="4F81BD"/>
              <w:bottom w:val="single" w:sz="4" w:space="0" w:color="8EAADB"/>
            </w:tcBorders>
            <w:vAlign w:val="center"/>
          </w:tcPr>
          <w:p w14:paraId="66D4D9C2" w14:textId="77777777" w:rsidR="001B6C25" w:rsidRPr="001B6C25" w:rsidRDefault="001B6C25">
            <w:pPr>
              <w:widowControl w:val="0"/>
              <w:rPr>
                <w:b w:val="0"/>
                <w:bCs w:val="0"/>
                <w:color w:val="auto"/>
                <w:sz w:val="18"/>
                <w:szCs w:val="18"/>
              </w:rPr>
            </w:pPr>
            <w:r w:rsidRPr="001B6C25">
              <w:rPr>
                <w:b w:val="0"/>
                <w:bCs w:val="0"/>
                <w:color w:val="auto"/>
                <w:sz w:val="18"/>
                <w:szCs w:val="18"/>
              </w:rPr>
              <w:t>Tijela javne vlasti – pravo na pristup informacijama / DŠJU</w:t>
            </w:r>
          </w:p>
        </w:tc>
        <w:tc>
          <w:tcPr>
            <w:tcW w:w="884" w:type="pct"/>
            <w:tcBorders>
              <w:top w:val="single" w:sz="8" w:space="0" w:color="4F81BD"/>
              <w:bottom w:val="single" w:sz="4" w:space="0" w:color="8EAADB"/>
            </w:tcBorders>
            <w:vAlign w:val="center"/>
          </w:tcPr>
          <w:p w14:paraId="0EB2CFA2" w14:textId="77777777" w:rsidR="001B6C25" w:rsidRPr="001B6C25" w:rsidRDefault="001B6C25">
            <w:pPr>
              <w:widowControl w:val="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6C25">
              <w:rPr>
                <w:color w:val="auto"/>
                <w:sz w:val="18"/>
                <w:szCs w:val="18"/>
              </w:rPr>
              <w:t>6</w:t>
            </w:r>
          </w:p>
        </w:tc>
        <w:tc>
          <w:tcPr>
            <w:tcW w:w="883" w:type="pct"/>
            <w:tcBorders>
              <w:top w:val="single" w:sz="8" w:space="0" w:color="4F81BD"/>
              <w:bottom w:val="single" w:sz="4" w:space="0" w:color="8EAADB"/>
            </w:tcBorders>
            <w:vAlign w:val="center"/>
          </w:tcPr>
          <w:p w14:paraId="7CD43065" w14:textId="77777777" w:rsidR="001B6C25" w:rsidRPr="001B6C25" w:rsidRDefault="001B6C25">
            <w:pPr>
              <w:widowControl w:val="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6C25">
              <w:rPr>
                <w:color w:val="auto"/>
                <w:sz w:val="18"/>
                <w:szCs w:val="18"/>
              </w:rPr>
              <w:t>77</w:t>
            </w:r>
          </w:p>
        </w:tc>
      </w:tr>
      <w:tr w:rsidR="001B6C25" w:rsidRPr="001B6C25" w14:paraId="6C1F0D07" w14:textId="77777777" w:rsidTr="00D31228">
        <w:trPr>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4" w:space="0" w:color="8EAADB"/>
              <w:bottom w:val="single" w:sz="4" w:space="0" w:color="8EAADB"/>
            </w:tcBorders>
            <w:vAlign w:val="center"/>
          </w:tcPr>
          <w:p w14:paraId="1CD61D6C" w14:textId="77777777" w:rsidR="001B6C25" w:rsidRPr="001B6C25" w:rsidRDefault="001B6C25">
            <w:pPr>
              <w:widowControl w:val="0"/>
              <w:rPr>
                <w:b w:val="0"/>
                <w:bCs w:val="0"/>
                <w:color w:val="auto"/>
                <w:sz w:val="18"/>
                <w:szCs w:val="18"/>
              </w:rPr>
            </w:pPr>
            <w:r w:rsidRPr="001B6C25">
              <w:rPr>
                <w:b w:val="0"/>
                <w:bCs w:val="0"/>
                <w:color w:val="auto"/>
                <w:sz w:val="18"/>
                <w:szCs w:val="18"/>
              </w:rPr>
              <w:t>Tijela javne vlasti – savjetovanja s javnošću / DŠJU</w:t>
            </w:r>
          </w:p>
        </w:tc>
        <w:tc>
          <w:tcPr>
            <w:tcW w:w="884" w:type="pct"/>
            <w:tcBorders>
              <w:top w:val="single" w:sz="4" w:space="0" w:color="8EAADB"/>
              <w:bottom w:val="single" w:sz="4" w:space="0" w:color="8EAADB"/>
            </w:tcBorders>
            <w:vAlign w:val="center"/>
          </w:tcPr>
          <w:p w14:paraId="5D337680" w14:textId="77777777" w:rsidR="001B6C25" w:rsidRPr="001B6C25" w:rsidRDefault="001B6C25">
            <w:pPr>
              <w:widowControl w:val="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6C25">
              <w:rPr>
                <w:color w:val="auto"/>
                <w:sz w:val="18"/>
                <w:szCs w:val="18"/>
              </w:rPr>
              <w:t>3</w:t>
            </w:r>
          </w:p>
        </w:tc>
        <w:tc>
          <w:tcPr>
            <w:tcW w:w="883" w:type="pct"/>
            <w:tcBorders>
              <w:top w:val="single" w:sz="4" w:space="0" w:color="8EAADB"/>
              <w:bottom w:val="single" w:sz="4" w:space="0" w:color="8EAADB"/>
            </w:tcBorders>
            <w:vAlign w:val="center"/>
          </w:tcPr>
          <w:p w14:paraId="1A55E42B" w14:textId="77777777" w:rsidR="001B6C25" w:rsidRPr="001B6C25" w:rsidRDefault="001B6C25">
            <w:pPr>
              <w:widowControl w:val="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6C25">
              <w:rPr>
                <w:color w:val="auto"/>
                <w:sz w:val="18"/>
                <w:szCs w:val="18"/>
              </w:rPr>
              <w:t>38</w:t>
            </w:r>
          </w:p>
        </w:tc>
      </w:tr>
      <w:tr w:rsidR="001B6C25" w:rsidRPr="001B6C25" w14:paraId="46996322" w14:textId="77777777" w:rsidTr="00D3122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4" w:space="0" w:color="8EAADB"/>
              <w:bottom w:val="single" w:sz="4" w:space="0" w:color="8EAADB"/>
            </w:tcBorders>
            <w:vAlign w:val="center"/>
          </w:tcPr>
          <w:p w14:paraId="7E43A35A" w14:textId="77777777" w:rsidR="001B6C25" w:rsidRPr="001B6C25" w:rsidRDefault="001B6C25">
            <w:pPr>
              <w:widowControl w:val="0"/>
              <w:rPr>
                <w:b w:val="0"/>
                <w:bCs w:val="0"/>
                <w:color w:val="auto"/>
                <w:sz w:val="18"/>
                <w:szCs w:val="18"/>
              </w:rPr>
            </w:pPr>
            <w:r w:rsidRPr="001B6C25">
              <w:rPr>
                <w:b w:val="0"/>
                <w:bCs w:val="0"/>
                <w:color w:val="auto"/>
                <w:sz w:val="18"/>
                <w:szCs w:val="18"/>
              </w:rPr>
              <w:t>Tijela javne vlasti – regionalna razina / DŠJU</w:t>
            </w:r>
          </w:p>
        </w:tc>
        <w:tc>
          <w:tcPr>
            <w:tcW w:w="884" w:type="pct"/>
            <w:tcBorders>
              <w:top w:val="single" w:sz="4" w:space="0" w:color="8EAADB"/>
              <w:bottom w:val="single" w:sz="4" w:space="0" w:color="8EAADB"/>
            </w:tcBorders>
            <w:vAlign w:val="center"/>
          </w:tcPr>
          <w:p w14:paraId="03DE9D6C" w14:textId="77777777" w:rsidR="001B6C25" w:rsidRPr="001B6C25" w:rsidRDefault="001B6C25">
            <w:pPr>
              <w:widowControl w:val="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6C25">
              <w:rPr>
                <w:color w:val="auto"/>
                <w:sz w:val="18"/>
                <w:szCs w:val="18"/>
              </w:rPr>
              <w:t>3</w:t>
            </w:r>
          </w:p>
        </w:tc>
        <w:tc>
          <w:tcPr>
            <w:tcW w:w="883" w:type="pct"/>
            <w:tcBorders>
              <w:top w:val="single" w:sz="4" w:space="0" w:color="8EAADB"/>
              <w:bottom w:val="single" w:sz="4" w:space="0" w:color="8EAADB"/>
            </w:tcBorders>
            <w:vAlign w:val="center"/>
          </w:tcPr>
          <w:p w14:paraId="0E49F71A" w14:textId="77777777" w:rsidR="001B6C25" w:rsidRPr="001B6C25" w:rsidRDefault="001B6C25">
            <w:pPr>
              <w:widowControl w:val="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6C25">
              <w:rPr>
                <w:color w:val="auto"/>
                <w:sz w:val="18"/>
                <w:szCs w:val="18"/>
              </w:rPr>
              <w:t>97</w:t>
            </w:r>
          </w:p>
        </w:tc>
      </w:tr>
      <w:tr w:rsidR="001B6C25" w:rsidRPr="001B6C25" w14:paraId="49508E47" w14:textId="77777777" w:rsidTr="00D31228">
        <w:trPr>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4" w:space="0" w:color="8EAADB"/>
              <w:bottom w:val="single" w:sz="4" w:space="0" w:color="8EAADB"/>
            </w:tcBorders>
            <w:vAlign w:val="center"/>
          </w:tcPr>
          <w:p w14:paraId="057CDC28" w14:textId="6FAC2C4F" w:rsidR="001B6C25" w:rsidRPr="001B6C25" w:rsidRDefault="001B6C25">
            <w:pPr>
              <w:widowControl w:val="0"/>
              <w:rPr>
                <w:b w:val="0"/>
                <w:bCs w:val="0"/>
                <w:color w:val="auto"/>
                <w:sz w:val="18"/>
                <w:szCs w:val="18"/>
              </w:rPr>
            </w:pPr>
            <w:r w:rsidRPr="001B6C25">
              <w:rPr>
                <w:b w:val="0"/>
                <w:bCs w:val="0"/>
                <w:color w:val="auto"/>
                <w:sz w:val="18"/>
                <w:szCs w:val="18"/>
              </w:rPr>
              <w:t>Tijela javne v</w:t>
            </w:r>
            <w:r>
              <w:rPr>
                <w:b w:val="0"/>
                <w:bCs w:val="0"/>
                <w:color w:val="auto"/>
                <w:sz w:val="18"/>
                <w:szCs w:val="18"/>
              </w:rPr>
              <w:t>l</w:t>
            </w:r>
            <w:r w:rsidRPr="001B6C25">
              <w:rPr>
                <w:b w:val="0"/>
                <w:bCs w:val="0"/>
                <w:color w:val="auto"/>
                <w:sz w:val="18"/>
                <w:szCs w:val="18"/>
              </w:rPr>
              <w:t>asti – upravljanje otvorenim podacima / DŠJU</w:t>
            </w:r>
          </w:p>
        </w:tc>
        <w:tc>
          <w:tcPr>
            <w:tcW w:w="884" w:type="pct"/>
            <w:tcBorders>
              <w:top w:val="single" w:sz="4" w:space="0" w:color="8EAADB"/>
              <w:bottom w:val="single" w:sz="4" w:space="0" w:color="8EAADB"/>
            </w:tcBorders>
            <w:vAlign w:val="center"/>
          </w:tcPr>
          <w:p w14:paraId="2216A4FA" w14:textId="77777777" w:rsidR="001B6C25" w:rsidRPr="001B6C25" w:rsidRDefault="001B6C25">
            <w:pPr>
              <w:widowControl w:val="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6C25">
              <w:rPr>
                <w:color w:val="auto"/>
                <w:sz w:val="18"/>
                <w:szCs w:val="18"/>
              </w:rPr>
              <w:t>2</w:t>
            </w:r>
          </w:p>
        </w:tc>
        <w:tc>
          <w:tcPr>
            <w:tcW w:w="883" w:type="pct"/>
            <w:tcBorders>
              <w:top w:val="single" w:sz="4" w:space="0" w:color="8EAADB"/>
              <w:bottom w:val="single" w:sz="4" w:space="0" w:color="8EAADB"/>
            </w:tcBorders>
            <w:vAlign w:val="center"/>
          </w:tcPr>
          <w:p w14:paraId="59C3D85F" w14:textId="77777777" w:rsidR="001B6C25" w:rsidRPr="001B6C25" w:rsidRDefault="001B6C25">
            <w:pPr>
              <w:widowControl w:val="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6C25">
              <w:rPr>
                <w:color w:val="auto"/>
                <w:sz w:val="18"/>
                <w:szCs w:val="18"/>
              </w:rPr>
              <w:t>27</w:t>
            </w:r>
          </w:p>
        </w:tc>
      </w:tr>
      <w:tr w:rsidR="001B6C25" w:rsidRPr="001B6C25" w14:paraId="45FDE4CE" w14:textId="77777777" w:rsidTr="00D3122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4" w:space="0" w:color="8EAADB"/>
              <w:bottom w:val="single" w:sz="4" w:space="0" w:color="8EAADB"/>
            </w:tcBorders>
            <w:vAlign w:val="center"/>
          </w:tcPr>
          <w:p w14:paraId="326F047F" w14:textId="77777777" w:rsidR="001B6C25" w:rsidRPr="001B6C25" w:rsidRDefault="001B6C25">
            <w:pPr>
              <w:widowControl w:val="0"/>
              <w:rPr>
                <w:b w:val="0"/>
                <w:bCs w:val="0"/>
                <w:color w:val="auto"/>
                <w:sz w:val="18"/>
                <w:szCs w:val="18"/>
              </w:rPr>
            </w:pPr>
            <w:r w:rsidRPr="001B6C25">
              <w:rPr>
                <w:b w:val="0"/>
                <w:bCs w:val="0"/>
                <w:color w:val="auto"/>
                <w:sz w:val="18"/>
                <w:szCs w:val="18"/>
              </w:rPr>
              <w:t xml:space="preserve">Tijela javne vlasti – ponovna uporaba informacija / </w:t>
            </w:r>
            <w:r w:rsidRPr="001B6C25">
              <w:rPr>
                <w:b w:val="0"/>
                <w:bCs w:val="0"/>
                <w:i/>
                <w:iCs/>
                <w:color w:val="auto"/>
                <w:sz w:val="18"/>
                <w:szCs w:val="18"/>
              </w:rPr>
              <w:t>Moodle</w:t>
            </w:r>
            <w:r w:rsidRPr="001B6C25">
              <w:rPr>
                <w:b w:val="0"/>
                <w:bCs w:val="0"/>
                <w:color w:val="auto"/>
                <w:sz w:val="18"/>
                <w:szCs w:val="18"/>
              </w:rPr>
              <w:t>, DŠJU</w:t>
            </w:r>
          </w:p>
        </w:tc>
        <w:tc>
          <w:tcPr>
            <w:tcW w:w="884" w:type="pct"/>
            <w:tcBorders>
              <w:top w:val="single" w:sz="4" w:space="0" w:color="8EAADB"/>
              <w:bottom w:val="single" w:sz="4" w:space="0" w:color="8EAADB"/>
            </w:tcBorders>
            <w:vAlign w:val="center"/>
          </w:tcPr>
          <w:p w14:paraId="680C59A5" w14:textId="77777777" w:rsidR="001B6C25" w:rsidRPr="001B6C25" w:rsidRDefault="001B6C25">
            <w:pPr>
              <w:widowControl w:val="0"/>
              <w:jc w:val="center"/>
              <w:cnfStyle w:val="000000100000" w:firstRow="0" w:lastRow="0" w:firstColumn="0" w:lastColumn="0" w:oddVBand="0" w:evenVBand="0" w:oddHBand="1" w:evenHBand="0" w:firstRowFirstColumn="0" w:firstRowLastColumn="0" w:lastRowFirstColumn="0" w:lastRowLastColumn="0"/>
              <w:rPr>
                <w:i/>
                <w:iCs/>
                <w:color w:val="auto"/>
                <w:sz w:val="18"/>
                <w:szCs w:val="18"/>
              </w:rPr>
            </w:pPr>
            <w:r w:rsidRPr="001B6C25">
              <w:rPr>
                <w:i/>
                <w:iCs/>
                <w:color w:val="auto"/>
                <w:sz w:val="18"/>
                <w:szCs w:val="18"/>
              </w:rPr>
              <w:t>trajno dostupno</w:t>
            </w:r>
          </w:p>
        </w:tc>
        <w:tc>
          <w:tcPr>
            <w:tcW w:w="883" w:type="pct"/>
            <w:tcBorders>
              <w:top w:val="single" w:sz="4" w:space="0" w:color="8EAADB"/>
              <w:bottom w:val="single" w:sz="4" w:space="0" w:color="8EAADB"/>
            </w:tcBorders>
            <w:vAlign w:val="center"/>
          </w:tcPr>
          <w:p w14:paraId="3CD80328" w14:textId="77777777" w:rsidR="001B6C25" w:rsidRPr="001B6C25" w:rsidRDefault="001B6C25">
            <w:pPr>
              <w:widowControl w:val="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6C25">
              <w:rPr>
                <w:color w:val="auto"/>
                <w:sz w:val="18"/>
                <w:szCs w:val="18"/>
              </w:rPr>
              <w:t>45</w:t>
            </w:r>
          </w:p>
        </w:tc>
      </w:tr>
      <w:tr w:rsidR="001B6C25" w:rsidRPr="001B6C25" w14:paraId="4CBD554D" w14:textId="77777777" w:rsidTr="00D31228">
        <w:trPr>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4" w:space="0" w:color="8EAADB"/>
              <w:bottom w:val="single" w:sz="4" w:space="0" w:color="8EAADB"/>
            </w:tcBorders>
            <w:vAlign w:val="center"/>
          </w:tcPr>
          <w:p w14:paraId="383F936B" w14:textId="77777777" w:rsidR="001B6C25" w:rsidRPr="001B6C25" w:rsidRDefault="001B6C25">
            <w:pPr>
              <w:widowControl w:val="0"/>
              <w:rPr>
                <w:b w:val="0"/>
                <w:bCs w:val="0"/>
                <w:color w:val="auto"/>
                <w:sz w:val="18"/>
                <w:szCs w:val="18"/>
              </w:rPr>
            </w:pPr>
            <w:r w:rsidRPr="001B6C25">
              <w:rPr>
                <w:b w:val="0"/>
                <w:bCs w:val="0"/>
                <w:color w:val="auto"/>
                <w:sz w:val="18"/>
                <w:szCs w:val="18"/>
              </w:rPr>
              <w:t>Webinari za tijela javne vlasti</w:t>
            </w:r>
          </w:p>
        </w:tc>
        <w:tc>
          <w:tcPr>
            <w:tcW w:w="884" w:type="pct"/>
            <w:tcBorders>
              <w:top w:val="single" w:sz="4" w:space="0" w:color="8EAADB"/>
              <w:bottom w:val="single" w:sz="4" w:space="0" w:color="8EAADB"/>
            </w:tcBorders>
            <w:vAlign w:val="center"/>
          </w:tcPr>
          <w:p w14:paraId="7A074EE0" w14:textId="77777777" w:rsidR="001B6C25" w:rsidRPr="001B6C25" w:rsidRDefault="001B6C25">
            <w:pPr>
              <w:widowControl w:val="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6C25">
              <w:rPr>
                <w:color w:val="auto"/>
                <w:sz w:val="18"/>
                <w:szCs w:val="18"/>
              </w:rPr>
              <w:t>17</w:t>
            </w:r>
          </w:p>
        </w:tc>
        <w:tc>
          <w:tcPr>
            <w:tcW w:w="883" w:type="pct"/>
            <w:tcBorders>
              <w:top w:val="single" w:sz="4" w:space="0" w:color="8EAADB"/>
              <w:bottom w:val="single" w:sz="4" w:space="0" w:color="8EAADB"/>
            </w:tcBorders>
            <w:vAlign w:val="center"/>
          </w:tcPr>
          <w:p w14:paraId="0569F3DF" w14:textId="77777777" w:rsidR="001B6C25" w:rsidRPr="001B6C25" w:rsidRDefault="001B6C25">
            <w:pPr>
              <w:widowControl w:val="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6C25">
              <w:rPr>
                <w:color w:val="auto"/>
                <w:sz w:val="18"/>
                <w:szCs w:val="18"/>
              </w:rPr>
              <w:t>140</w:t>
            </w:r>
          </w:p>
        </w:tc>
      </w:tr>
      <w:tr w:rsidR="001B6C25" w:rsidRPr="001B6C25" w14:paraId="0933BD0D" w14:textId="77777777" w:rsidTr="00D3122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4" w:space="0" w:color="8EAADB"/>
              <w:bottom w:val="single" w:sz="4" w:space="0" w:color="8EAADB"/>
            </w:tcBorders>
            <w:vAlign w:val="center"/>
          </w:tcPr>
          <w:p w14:paraId="167E5A05" w14:textId="77777777" w:rsidR="001B6C25" w:rsidRPr="001B6C25" w:rsidRDefault="001B6C25">
            <w:pPr>
              <w:widowControl w:val="0"/>
              <w:rPr>
                <w:b w:val="0"/>
                <w:bCs w:val="0"/>
                <w:color w:val="auto"/>
                <w:sz w:val="18"/>
                <w:szCs w:val="18"/>
              </w:rPr>
            </w:pPr>
            <w:r w:rsidRPr="001B6C25">
              <w:rPr>
                <w:b w:val="0"/>
                <w:bCs w:val="0"/>
                <w:color w:val="auto"/>
                <w:sz w:val="18"/>
                <w:szCs w:val="18"/>
              </w:rPr>
              <w:t>Krojene edukacije za novinare / HND</w:t>
            </w:r>
          </w:p>
        </w:tc>
        <w:tc>
          <w:tcPr>
            <w:tcW w:w="884" w:type="pct"/>
            <w:tcBorders>
              <w:top w:val="single" w:sz="4" w:space="0" w:color="8EAADB"/>
              <w:bottom w:val="single" w:sz="4" w:space="0" w:color="8EAADB"/>
            </w:tcBorders>
            <w:vAlign w:val="center"/>
          </w:tcPr>
          <w:p w14:paraId="08502CA4" w14:textId="77777777" w:rsidR="001B6C25" w:rsidRPr="001B6C25" w:rsidRDefault="001B6C25">
            <w:pPr>
              <w:widowControl w:val="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6C25">
              <w:rPr>
                <w:color w:val="auto"/>
                <w:sz w:val="18"/>
                <w:szCs w:val="18"/>
              </w:rPr>
              <w:t>2</w:t>
            </w:r>
          </w:p>
        </w:tc>
        <w:tc>
          <w:tcPr>
            <w:tcW w:w="883" w:type="pct"/>
            <w:tcBorders>
              <w:top w:val="single" w:sz="4" w:space="0" w:color="8EAADB"/>
              <w:bottom w:val="single" w:sz="4" w:space="0" w:color="8EAADB"/>
            </w:tcBorders>
            <w:vAlign w:val="center"/>
          </w:tcPr>
          <w:p w14:paraId="06CD333F" w14:textId="77777777" w:rsidR="001B6C25" w:rsidRPr="001B6C25" w:rsidRDefault="001B6C25">
            <w:pPr>
              <w:widowControl w:val="0"/>
              <w:jc w:val="center"/>
              <w:cnfStyle w:val="000000100000" w:firstRow="0" w:lastRow="0" w:firstColumn="0" w:lastColumn="0" w:oddVBand="0" w:evenVBand="0" w:oddHBand="1" w:evenHBand="0" w:firstRowFirstColumn="0" w:firstRowLastColumn="0" w:lastRowFirstColumn="0" w:lastRowLastColumn="0"/>
              <w:rPr>
                <w:color w:val="auto"/>
                <w:sz w:val="18"/>
                <w:szCs w:val="18"/>
                <w:highlight w:val="yellow"/>
              </w:rPr>
            </w:pPr>
            <w:r w:rsidRPr="001B6C25">
              <w:rPr>
                <w:color w:val="auto"/>
                <w:sz w:val="18"/>
                <w:szCs w:val="18"/>
              </w:rPr>
              <w:t>10</w:t>
            </w:r>
          </w:p>
        </w:tc>
      </w:tr>
      <w:tr w:rsidR="001B6C25" w:rsidRPr="001B6C25" w14:paraId="5BDC2BB5" w14:textId="77777777" w:rsidTr="00D31228">
        <w:trPr>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4" w:space="0" w:color="8EAADB"/>
              <w:bottom w:val="single" w:sz="4" w:space="0" w:color="8EAADB"/>
            </w:tcBorders>
            <w:vAlign w:val="center"/>
          </w:tcPr>
          <w:p w14:paraId="20E841F0" w14:textId="77777777" w:rsidR="001B6C25" w:rsidRPr="001B6C25" w:rsidRDefault="001B6C25">
            <w:pPr>
              <w:widowControl w:val="0"/>
              <w:rPr>
                <w:b w:val="0"/>
                <w:bCs w:val="0"/>
                <w:color w:val="auto"/>
                <w:sz w:val="18"/>
                <w:szCs w:val="18"/>
              </w:rPr>
            </w:pPr>
            <w:r w:rsidRPr="001B6C25">
              <w:rPr>
                <w:b w:val="0"/>
                <w:bCs w:val="0"/>
                <w:color w:val="auto"/>
                <w:sz w:val="18"/>
                <w:szCs w:val="18"/>
              </w:rPr>
              <w:t>Krojene edukacije za studente</w:t>
            </w:r>
          </w:p>
        </w:tc>
        <w:tc>
          <w:tcPr>
            <w:tcW w:w="884" w:type="pct"/>
            <w:tcBorders>
              <w:top w:val="single" w:sz="4" w:space="0" w:color="8EAADB"/>
              <w:bottom w:val="single" w:sz="4" w:space="0" w:color="8EAADB"/>
            </w:tcBorders>
            <w:vAlign w:val="center"/>
          </w:tcPr>
          <w:p w14:paraId="09366018" w14:textId="77777777" w:rsidR="001B6C25" w:rsidRPr="001B6C25" w:rsidRDefault="001B6C25">
            <w:pPr>
              <w:widowControl w:val="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6C25">
              <w:rPr>
                <w:color w:val="auto"/>
                <w:sz w:val="18"/>
                <w:szCs w:val="18"/>
              </w:rPr>
              <w:t>1</w:t>
            </w:r>
          </w:p>
        </w:tc>
        <w:tc>
          <w:tcPr>
            <w:tcW w:w="883" w:type="pct"/>
            <w:tcBorders>
              <w:top w:val="single" w:sz="4" w:space="0" w:color="8EAADB"/>
              <w:bottom w:val="single" w:sz="4" w:space="0" w:color="8EAADB"/>
            </w:tcBorders>
            <w:vAlign w:val="center"/>
          </w:tcPr>
          <w:p w14:paraId="06112C46" w14:textId="77777777" w:rsidR="001B6C25" w:rsidRPr="001B6C25" w:rsidRDefault="001B6C25">
            <w:pPr>
              <w:widowControl w:val="0"/>
              <w:jc w:val="center"/>
              <w:cnfStyle w:val="000000000000" w:firstRow="0" w:lastRow="0" w:firstColumn="0" w:lastColumn="0" w:oddVBand="0" w:evenVBand="0" w:oddHBand="0" w:evenHBand="0" w:firstRowFirstColumn="0" w:firstRowLastColumn="0" w:lastRowFirstColumn="0" w:lastRowLastColumn="0"/>
              <w:rPr>
                <w:color w:val="auto"/>
                <w:sz w:val="18"/>
                <w:szCs w:val="18"/>
                <w:highlight w:val="yellow"/>
              </w:rPr>
            </w:pPr>
            <w:r w:rsidRPr="001B6C25">
              <w:rPr>
                <w:color w:val="auto"/>
                <w:sz w:val="18"/>
                <w:szCs w:val="18"/>
              </w:rPr>
              <w:t>40</w:t>
            </w:r>
          </w:p>
        </w:tc>
      </w:tr>
      <w:tr w:rsidR="001B6C25" w:rsidRPr="001B6C25" w14:paraId="1C18DA34" w14:textId="77777777" w:rsidTr="00D3122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4" w:space="0" w:color="8EAADB"/>
              <w:bottom w:val="single" w:sz="4" w:space="0" w:color="8EAADB"/>
            </w:tcBorders>
            <w:vAlign w:val="center"/>
          </w:tcPr>
          <w:p w14:paraId="28859406" w14:textId="77777777" w:rsidR="001B6C25" w:rsidRPr="001B6C25" w:rsidRDefault="001B6C25">
            <w:pPr>
              <w:widowControl w:val="0"/>
              <w:rPr>
                <w:b w:val="0"/>
                <w:bCs w:val="0"/>
                <w:color w:val="auto"/>
                <w:sz w:val="18"/>
                <w:szCs w:val="18"/>
              </w:rPr>
            </w:pPr>
            <w:r w:rsidRPr="001B6C25">
              <w:rPr>
                <w:b w:val="0"/>
                <w:bCs w:val="0"/>
                <w:i/>
                <w:iCs/>
                <w:color w:val="auto"/>
                <w:sz w:val="18"/>
                <w:szCs w:val="18"/>
              </w:rPr>
              <w:t>Briefing</w:t>
            </w:r>
            <w:r w:rsidRPr="001B6C25">
              <w:rPr>
                <w:b w:val="0"/>
                <w:bCs w:val="0"/>
                <w:color w:val="auto"/>
                <w:sz w:val="18"/>
                <w:szCs w:val="18"/>
              </w:rPr>
              <w:t xml:space="preserve"> za udruge</w:t>
            </w:r>
          </w:p>
        </w:tc>
        <w:tc>
          <w:tcPr>
            <w:tcW w:w="884" w:type="pct"/>
            <w:tcBorders>
              <w:top w:val="single" w:sz="4" w:space="0" w:color="8EAADB"/>
              <w:bottom w:val="single" w:sz="4" w:space="0" w:color="8EAADB"/>
            </w:tcBorders>
            <w:vAlign w:val="center"/>
          </w:tcPr>
          <w:p w14:paraId="278C78C8" w14:textId="77777777" w:rsidR="001B6C25" w:rsidRPr="001B6C25" w:rsidRDefault="001B6C25">
            <w:pPr>
              <w:widowControl w:val="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B6C25">
              <w:rPr>
                <w:color w:val="auto"/>
                <w:sz w:val="18"/>
                <w:szCs w:val="18"/>
              </w:rPr>
              <w:t>1</w:t>
            </w:r>
          </w:p>
        </w:tc>
        <w:tc>
          <w:tcPr>
            <w:tcW w:w="883" w:type="pct"/>
            <w:tcBorders>
              <w:top w:val="single" w:sz="4" w:space="0" w:color="8EAADB"/>
              <w:bottom w:val="single" w:sz="4" w:space="0" w:color="8EAADB"/>
            </w:tcBorders>
            <w:vAlign w:val="center"/>
          </w:tcPr>
          <w:p w14:paraId="530258E3" w14:textId="77777777" w:rsidR="001B6C25" w:rsidRPr="001B6C25" w:rsidRDefault="001B6C25">
            <w:pPr>
              <w:widowControl w:val="0"/>
              <w:jc w:val="center"/>
              <w:cnfStyle w:val="000000100000" w:firstRow="0" w:lastRow="0" w:firstColumn="0" w:lastColumn="0" w:oddVBand="0" w:evenVBand="0" w:oddHBand="1" w:evenHBand="0" w:firstRowFirstColumn="0" w:firstRowLastColumn="0" w:lastRowFirstColumn="0" w:lastRowLastColumn="0"/>
              <w:rPr>
                <w:color w:val="auto"/>
                <w:sz w:val="18"/>
                <w:szCs w:val="18"/>
                <w:highlight w:val="yellow"/>
              </w:rPr>
            </w:pPr>
            <w:r w:rsidRPr="001B6C25">
              <w:rPr>
                <w:color w:val="auto"/>
                <w:sz w:val="18"/>
                <w:szCs w:val="18"/>
              </w:rPr>
              <w:t>6</w:t>
            </w:r>
          </w:p>
        </w:tc>
      </w:tr>
      <w:tr w:rsidR="001B6C25" w:rsidRPr="001B6C25" w14:paraId="28407112" w14:textId="77777777" w:rsidTr="00D31228">
        <w:trPr>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4" w:space="0" w:color="8EAADB"/>
              <w:bottom w:val="single" w:sz="8" w:space="0" w:color="8EAADB"/>
            </w:tcBorders>
            <w:vAlign w:val="center"/>
          </w:tcPr>
          <w:p w14:paraId="0077B949" w14:textId="77777777" w:rsidR="001B6C25" w:rsidRPr="001B6C25" w:rsidRDefault="001B6C25">
            <w:pPr>
              <w:widowControl w:val="0"/>
              <w:rPr>
                <w:b w:val="0"/>
                <w:bCs w:val="0"/>
                <w:color w:val="auto"/>
                <w:sz w:val="18"/>
                <w:szCs w:val="18"/>
              </w:rPr>
            </w:pPr>
            <w:r w:rsidRPr="001B6C25">
              <w:rPr>
                <w:b w:val="0"/>
                <w:bCs w:val="0"/>
                <w:color w:val="auto"/>
                <w:sz w:val="18"/>
                <w:szCs w:val="18"/>
              </w:rPr>
              <w:t>Godišnje savjetovanje službenika za informiranje – Opatija</w:t>
            </w:r>
          </w:p>
        </w:tc>
        <w:tc>
          <w:tcPr>
            <w:tcW w:w="884" w:type="pct"/>
            <w:tcBorders>
              <w:top w:val="single" w:sz="4" w:space="0" w:color="8EAADB"/>
              <w:bottom w:val="single" w:sz="8" w:space="0" w:color="8EAADB"/>
            </w:tcBorders>
            <w:vAlign w:val="center"/>
          </w:tcPr>
          <w:p w14:paraId="0C0BE86F" w14:textId="77777777" w:rsidR="001B6C25" w:rsidRPr="001B6C25" w:rsidRDefault="001B6C25">
            <w:pPr>
              <w:widowControl w:val="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B6C25">
              <w:rPr>
                <w:color w:val="auto"/>
                <w:sz w:val="18"/>
                <w:szCs w:val="18"/>
              </w:rPr>
              <w:t>1</w:t>
            </w:r>
          </w:p>
        </w:tc>
        <w:tc>
          <w:tcPr>
            <w:tcW w:w="883" w:type="pct"/>
            <w:tcBorders>
              <w:top w:val="single" w:sz="4" w:space="0" w:color="8EAADB"/>
              <w:bottom w:val="single" w:sz="8" w:space="0" w:color="8EAADB"/>
            </w:tcBorders>
            <w:vAlign w:val="center"/>
          </w:tcPr>
          <w:p w14:paraId="3FE0A5AB" w14:textId="77777777" w:rsidR="001B6C25" w:rsidRPr="001B6C25" w:rsidRDefault="001B6C25">
            <w:pPr>
              <w:widowControl w:val="0"/>
              <w:jc w:val="center"/>
              <w:cnfStyle w:val="000000000000" w:firstRow="0" w:lastRow="0" w:firstColumn="0" w:lastColumn="0" w:oddVBand="0" w:evenVBand="0" w:oddHBand="0" w:evenHBand="0" w:firstRowFirstColumn="0" w:firstRowLastColumn="0" w:lastRowFirstColumn="0" w:lastRowLastColumn="0"/>
              <w:rPr>
                <w:color w:val="auto"/>
                <w:sz w:val="18"/>
                <w:szCs w:val="18"/>
                <w:highlight w:val="yellow"/>
              </w:rPr>
            </w:pPr>
            <w:r w:rsidRPr="001B6C25">
              <w:rPr>
                <w:color w:val="auto"/>
                <w:sz w:val="18"/>
                <w:szCs w:val="18"/>
              </w:rPr>
              <w:t>125</w:t>
            </w:r>
          </w:p>
        </w:tc>
      </w:tr>
      <w:tr w:rsidR="001B6C25" w:rsidRPr="001B6C25" w14:paraId="2F8F5436" w14:textId="77777777" w:rsidTr="00D3122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33" w:type="pct"/>
            <w:tcBorders>
              <w:top w:val="single" w:sz="8" w:space="0" w:color="8EAADB"/>
              <w:bottom w:val="single" w:sz="8" w:space="0" w:color="4F81BD"/>
            </w:tcBorders>
            <w:vAlign w:val="center"/>
          </w:tcPr>
          <w:p w14:paraId="4B3E7689" w14:textId="77777777" w:rsidR="001B6C25" w:rsidRPr="001B6C25" w:rsidRDefault="001B6C25">
            <w:pPr>
              <w:widowControl w:val="0"/>
              <w:spacing w:before="60" w:after="60"/>
              <w:rPr>
                <w:color w:val="auto"/>
                <w:sz w:val="18"/>
                <w:szCs w:val="18"/>
              </w:rPr>
            </w:pPr>
            <w:r w:rsidRPr="001B6C25">
              <w:rPr>
                <w:color w:val="auto"/>
                <w:sz w:val="18"/>
                <w:szCs w:val="18"/>
              </w:rPr>
              <w:t xml:space="preserve">Ukupno edukacija </w:t>
            </w:r>
          </w:p>
        </w:tc>
        <w:tc>
          <w:tcPr>
            <w:tcW w:w="884" w:type="pct"/>
            <w:tcBorders>
              <w:top w:val="single" w:sz="8" w:space="0" w:color="8EAADB"/>
              <w:bottom w:val="single" w:sz="8" w:space="0" w:color="4F81BD"/>
            </w:tcBorders>
            <w:vAlign w:val="center"/>
          </w:tcPr>
          <w:p w14:paraId="36564C0C" w14:textId="77777777" w:rsidR="001B6C25" w:rsidRPr="001B6C25" w:rsidRDefault="001B6C25">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6C25">
              <w:rPr>
                <w:b/>
                <w:bCs/>
                <w:color w:val="auto"/>
                <w:sz w:val="18"/>
                <w:szCs w:val="18"/>
              </w:rPr>
              <w:t>36</w:t>
            </w:r>
          </w:p>
        </w:tc>
        <w:tc>
          <w:tcPr>
            <w:tcW w:w="883" w:type="pct"/>
            <w:tcBorders>
              <w:top w:val="single" w:sz="8" w:space="0" w:color="8EAADB"/>
              <w:bottom w:val="single" w:sz="8" w:space="0" w:color="4F81BD"/>
            </w:tcBorders>
            <w:vAlign w:val="center"/>
          </w:tcPr>
          <w:p w14:paraId="27B03FE1" w14:textId="77777777" w:rsidR="001B6C25" w:rsidRPr="001B6C25" w:rsidRDefault="001B6C25">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1B6C25">
              <w:rPr>
                <w:b/>
                <w:bCs/>
                <w:color w:val="auto"/>
                <w:sz w:val="18"/>
                <w:szCs w:val="18"/>
              </w:rPr>
              <w:t>605</w:t>
            </w:r>
          </w:p>
        </w:tc>
      </w:tr>
    </w:tbl>
    <w:p w14:paraId="2488CBE6" w14:textId="77777777" w:rsidR="00EB6418" w:rsidRPr="00F0315E" w:rsidRDefault="00EB6418" w:rsidP="00811052">
      <w:pPr>
        <w:pStyle w:val="Naslov2"/>
        <w:ind w:left="1276" w:hanging="567"/>
      </w:pPr>
      <w:bookmarkStart w:id="224" w:name="_Toc225865639"/>
      <w:r>
        <w:t>Godišnje savjetovanje službenika za informiranje</w:t>
      </w:r>
      <w:bookmarkEnd w:id="224"/>
    </w:p>
    <w:p w14:paraId="43E428CB" w14:textId="77777777" w:rsidR="002528AF" w:rsidRPr="002528AF" w:rsidRDefault="002528AF" w:rsidP="002528AF">
      <w:pPr>
        <w:rPr>
          <w:rFonts w:cs="Arial"/>
        </w:rPr>
      </w:pPr>
      <w:r w:rsidRPr="002528AF">
        <w:rPr>
          <w:rFonts w:cs="Arial"/>
        </w:rPr>
        <w:t>Povjerenik za informiranje održao je sedmo godišnje savjetovanje službenika za informiranje u Opatiji, 24. i 25. rujna 2025. godine. Skup je okupio više od 120 službenika i stručnjaka iz tijela javne vlasti s ciljem razmjene iskustava i jačanja provedbe ZPPI-ja.</w:t>
      </w:r>
    </w:p>
    <w:p w14:paraId="22FDC306" w14:textId="77777777" w:rsidR="002528AF" w:rsidRPr="002528AF" w:rsidRDefault="002528AF" w:rsidP="002528AF">
      <w:pPr>
        <w:rPr>
          <w:rFonts w:cs="Arial"/>
        </w:rPr>
      </w:pPr>
      <w:r w:rsidRPr="002528AF">
        <w:rPr>
          <w:rFonts w:cs="Arial"/>
        </w:rPr>
        <w:t>Prvi dan bio je posvećen pravnom okviru i sudskoj praksi, s naglaskom na odluke Ustavnog i Visokog upravnog suda RH, povezanost Zakona o općem upravnom postupku i primjene prava na pristup informacijama te pitanja otvorenih podataka, savjetovanja s javnošću i digitalne pristupačnosti.</w:t>
      </w:r>
    </w:p>
    <w:p w14:paraId="7C2F7765" w14:textId="77777777" w:rsidR="002528AF" w:rsidRPr="002528AF" w:rsidRDefault="002528AF" w:rsidP="002528AF">
      <w:pPr>
        <w:rPr>
          <w:rFonts w:cs="Arial"/>
        </w:rPr>
      </w:pPr>
      <w:r w:rsidRPr="002528AF">
        <w:rPr>
          <w:rFonts w:cs="Arial"/>
        </w:rPr>
        <w:t>Drugog dana naglasak je bio na praktičnom radu službenika – od postupanja po zahtjevima i izvršenja rješenja Povjerenika do uočavanja nepravilnosti u radu tijela javne vlasti. Sudionici su sudjelovali u studiji slučaja, forumu za razmjenu iskustava te interaktivnom segmentu „Vi pitate – mi odgovaramo“.</w:t>
      </w:r>
    </w:p>
    <w:p w14:paraId="44046310" w14:textId="77777777" w:rsidR="002528AF" w:rsidRPr="002528AF" w:rsidRDefault="002528AF" w:rsidP="002528AF">
      <w:pPr>
        <w:rPr>
          <w:rFonts w:cs="Arial"/>
        </w:rPr>
      </w:pPr>
      <w:r w:rsidRPr="002528AF">
        <w:rPr>
          <w:rFonts w:cs="Arial"/>
        </w:rPr>
        <w:t>Posebno je obilježen i Međunarodni dan prava na pristup informacijama, uz podsjetnik da je riječ o temeljnom ljudskom pravu koje građanima osigurava uvid u rad tijela javne vlasti i sudjelovanje u demokratskim procesima.</w:t>
      </w:r>
    </w:p>
    <w:p w14:paraId="68B59099" w14:textId="775942F0" w:rsidR="006D7D67" w:rsidRPr="00787CC6" w:rsidRDefault="002528AF" w:rsidP="002528AF">
      <w:pPr>
        <w:rPr>
          <w:rFonts w:cs="Arial"/>
        </w:rPr>
      </w:pPr>
      <w:r w:rsidRPr="002528AF">
        <w:rPr>
          <w:rFonts w:cs="Arial"/>
        </w:rPr>
        <w:t>Savjetovanje je još jednom potvrdilo važnost kontinuirane edukacije službenika i razmjene iskustava za jačanje transparentnosti, otvorenosti i odgovornosti javne uprave.</w:t>
      </w:r>
    </w:p>
    <w:p w14:paraId="39791829" w14:textId="77777777" w:rsidR="00EB6418" w:rsidRPr="00F0315E" w:rsidRDefault="00EB6418" w:rsidP="00811052">
      <w:pPr>
        <w:pStyle w:val="Naslov2"/>
        <w:ind w:left="1276" w:hanging="567"/>
      </w:pPr>
      <w:bookmarkStart w:id="225" w:name="_Toc68002349"/>
      <w:bookmarkStart w:id="226" w:name="_Toc225865640"/>
      <w:r>
        <w:t>Promotivne aktivnosti</w:t>
      </w:r>
      <w:bookmarkEnd w:id="225"/>
      <w:r>
        <w:t xml:space="preserve"> i informiranje javnosti</w:t>
      </w:r>
      <w:bookmarkEnd w:id="226"/>
    </w:p>
    <w:p w14:paraId="4CFF01FF" w14:textId="77777777" w:rsidR="003B452D" w:rsidRPr="003B452D" w:rsidRDefault="003B452D" w:rsidP="003B452D">
      <w:pPr>
        <w:rPr>
          <w:rFonts w:cs="Arial"/>
        </w:rPr>
      </w:pPr>
      <w:bookmarkStart w:id="227" w:name="_Toc4486170"/>
      <w:bookmarkStart w:id="228" w:name="_Toc4677896"/>
      <w:bookmarkStart w:id="229" w:name="_Toc66103187"/>
      <w:bookmarkStart w:id="230" w:name="_Toc68002352"/>
      <w:r w:rsidRPr="003B452D">
        <w:rPr>
          <w:rFonts w:cs="Arial"/>
        </w:rPr>
        <w:t xml:space="preserve">Uz zaštitnu funkciju, kao i praćenje primjene Zakona, važan segment rada Povjerenika predstavlja aktivno promicanje prava na pristup informacijama i ponovne uporabe informacija. </w:t>
      </w:r>
    </w:p>
    <w:p w14:paraId="6DFC69A7" w14:textId="77777777" w:rsidR="003B452D" w:rsidRPr="003B452D" w:rsidRDefault="003B452D" w:rsidP="003B452D">
      <w:pPr>
        <w:rPr>
          <w:rFonts w:cs="Arial"/>
        </w:rPr>
      </w:pPr>
      <w:r w:rsidRPr="003B452D">
        <w:rPr>
          <w:rFonts w:cs="Arial"/>
        </w:rPr>
        <w:t xml:space="preserve">Kao što je već navedeno, Međunarodni dan prava na pristup informacijama – 28. rujna, obilježen je u okviru Godišnjeg savjetovanja službenika za informiranje u Opatiji, kao tematski razgovor o primjeni i izazovima u provedbi ZPPI-ja. </w:t>
      </w:r>
    </w:p>
    <w:p w14:paraId="076E1997" w14:textId="77777777" w:rsidR="003B452D" w:rsidRPr="003B452D" w:rsidRDefault="003B452D" w:rsidP="003B452D">
      <w:pPr>
        <w:rPr>
          <w:rFonts w:cs="Arial"/>
        </w:rPr>
      </w:pPr>
      <w:r w:rsidRPr="003B452D">
        <w:rPr>
          <w:rFonts w:cs="Arial"/>
        </w:rPr>
        <w:lastRenderedPageBreak/>
        <w:t>Dodatno, Ured je u prosincu organizirao i specijalizirani okrugli stol sa službenicima za informiranje tijela javne vlasti na temu „Primjena i izazovi u provedbi Zakona o pravu na pristup informacijama“. Ova aktivnost je predviđena Akcijskim planom za razdoblje od 2025. do 2027. uz Strategiju sprječavanja korupcije za razdoblje 2021.-2030. godine.</w:t>
      </w:r>
    </w:p>
    <w:p w14:paraId="25D87B51" w14:textId="77777777" w:rsidR="003B452D" w:rsidRPr="003B452D" w:rsidRDefault="003B452D" w:rsidP="003B452D">
      <w:pPr>
        <w:rPr>
          <w:rFonts w:cs="Arial"/>
        </w:rPr>
      </w:pPr>
      <w:r w:rsidRPr="003B452D">
        <w:rPr>
          <w:rFonts w:cs="Arial"/>
        </w:rPr>
        <w:t>Sudionici su navedena događanja iskoristili za razmjenu iskustava o primjeni Zakona u praksi, a rasprave o aktualnim izazovima u ostvarivanju prava na pristup informacijama i unaprjeđenju transparentnosti tijela javne vlasti pokazale su se iznimno korisnima.</w:t>
      </w:r>
    </w:p>
    <w:p w14:paraId="7CFF9482" w14:textId="4CE0AE6E" w:rsidR="003B452D" w:rsidRPr="003B452D" w:rsidRDefault="003B452D" w:rsidP="003B452D">
      <w:pPr>
        <w:rPr>
          <w:rFonts w:cs="Arial"/>
        </w:rPr>
      </w:pPr>
      <w:r w:rsidRPr="003B452D">
        <w:rPr>
          <w:rFonts w:cs="Arial"/>
        </w:rPr>
        <w:t>Nadalje, u organizaciji MPUDT, Povjerenika za informiranje, krovnih nacionalnih udruga osoba s invaliditetom i Državne škole za javnu upravu, u Zagrebu je 23. rujna 2025. održan šesti po redu online okrugli stol „Digitalna pristupačnost od zakona do prakse“,</w:t>
      </w:r>
      <w:r w:rsidR="00F10065">
        <w:rPr>
          <w:rFonts w:cs="Arial"/>
        </w:rPr>
        <w:t xml:space="preserve"> </w:t>
      </w:r>
      <w:r w:rsidR="00F10065" w:rsidRPr="00440D6E">
        <w:rPr>
          <w:rFonts w:cs="Arial"/>
        </w:rPr>
        <w:t xml:space="preserve">na kojem </w:t>
      </w:r>
      <w:r w:rsidR="00C06C9F" w:rsidRPr="00440D6E">
        <w:rPr>
          <w:rFonts w:cs="Arial"/>
        </w:rPr>
        <w:t>su</w:t>
      </w:r>
      <w:r w:rsidR="00AE56DF" w:rsidRPr="00440D6E">
        <w:rPr>
          <w:rFonts w:cs="Arial"/>
        </w:rPr>
        <w:t xml:space="preserve"> </w:t>
      </w:r>
      <w:r w:rsidR="00F10065" w:rsidRPr="00440D6E">
        <w:rPr>
          <w:rFonts w:cs="Arial"/>
        </w:rPr>
        <w:t>sudjelovali povjerenica</w:t>
      </w:r>
      <w:r w:rsidR="0026444E" w:rsidRPr="00440D6E">
        <w:rPr>
          <w:rFonts w:cs="Arial"/>
        </w:rPr>
        <w:t xml:space="preserve"> </w:t>
      </w:r>
      <w:r w:rsidR="00143B61" w:rsidRPr="00440D6E">
        <w:rPr>
          <w:rFonts w:cs="Arial"/>
        </w:rPr>
        <w:t xml:space="preserve">uvodno </w:t>
      </w:r>
      <w:r w:rsidR="0026444E" w:rsidRPr="00440D6E">
        <w:rPr>
          <w:rFonts w:cs="Arial"/>
        </w:rPr>
        <w:t xml:space="preserve">i savjetnik povjerenice kao panelist, </w:t>
      </w:r>
      <w:r w:rsidRPr="00440D6E">
        <w:rPr>
          <w:rFonts w:cs="Arial"/>
        </w:rPr>
        <w:t>koji je okupio više</w:t>
      </w:r>
      <w:r w:rsidRPr="003B452D">
        <w:rPr>
          <w:rFonts w:cs="Arial"/>
        </w:rPr>
        <w:t xml:space="preserve"> od 200 sudionika iz javnog i privatnog sektora, organizacija civilnog društva i akademske zajednice. Cilj skupa bio je sagledati stanje u provedbi zakona o digitalnoj pristupačnosti, analizirati prepreke i izazove u praksi te otvoriti raspravu o novim prilikama koje donosi umjetna inteligencija.</w:t>
      </w:r>
    </w:p>
    <w:p w14:paraId="73F1475E" w14:textId="1BEFD011" w:rsidR="003B452D" w:rsidRPr="003B452D" w:rsidRDefault="003B452D" w:rsidP="003B452D">
      <w:pPr>
        <w:rPr>
          <w:rFonts w:cs="Arial"/>
        </w:rPr>
      </w:pPr>
      <w:r w:rsidRPr="003B452D">
        <w:rPr>
          <w:rFonts w:cs="Arial"/>
        </w:rPr>
        <w:t>Što se tiče sudjelovanja na javnim događanjima, povjerenica je u rujnu 2025. sudjelovala na 19. hrvatsko-francuskim upravnopravnim danima u Splitu. Tema skupa bila je „Kontrola nad javnom upravom“ te je povjerenica održala izlaganje na temu „Transparentnost javne uprave kroz prizmu prava na pristup informacijama“. Tom prilikom istaknula je kako je transparentnost temelj odgovorne i demokratske vlasti koji omogućuje građanima kontrolu rada javne uprave, jača povjerenje u institucije i smanjuje prostor za zloupotrebe: „U kontekstu modernih demokracija, informirani građanin nije prijetnja, već uvjet za legitimnu vlast. Upravo zato pravo na pristup informacijama ima dvostruku vrijednost – kao pojedinačno, Ustavom zajamčeno pravo, ali i kao kolektivni mehanizam kontrole javnosti nad radom javne uprave.“</w:t>
      </w:r>
      <w:r w:rsidR="00310FD5">
        <w:rPr>
          <w:rFonts w:cs="Arial"/>
        </w:rPr>
        <w:t>.</w:t>
      </w:r>
    </w:p>
    <w:p w14:paraId="0A4BE301" w14:textId="77777777" w:rsidR="003B452D" w:rsidRPr="003B452D" w:rsidRDefault="003B452D" w:rsidP="003B452D">
      <w:pPr>
        <w:rPr>
          <w:rFonts w:cs="Arial"/>
        </w:rPr>
      </w:pPr>
      <w:r w:rsidRPr="003B452D">
        <w:rPr>
          <w:rFonts w:cs="Arial"/>
        </w:rPr>
        <w:t>Povjerenica je krajem studenog 2025. sudjelovala i na okruglom stolu „Kako vlada Vlada?“ u organizaciji udruge Gong, na kojem se, između ostalog, raspravljalo o postupanju različitih tijela javne vlasti po zahtjevima, ispunjavanju zakonskih obveza te razini svijesti među građanima i aktivnom ostvarivanju prava na pristup informacijama.</w:t>
      </w:r>
    </w:p>
    <w:p w14:paraId="1C504899" w14:textId="77777777" w:rsidR="003B452D" w:rsidRPr="003B452D" w:rsidRDefault="003B452D" w:rsidP="003B452D">
      <w:pPr>
        <w:rPr>
          <w:rFonts w:cs="Arial"/>
        </w:rPr>
      </w:pPr>
      <w:r w:rsidRPr="003B452D">
        <w:rPr>
          <w:rFonts w:cs="Arial"/>
        </w:rPr>
        <w:t>Ured je 9. prosinca 2025. sudjelovao i na okruglom stolu „Međunarodni dan borbe protiv korupcije – borba svaki dan“, koji se u organizaciji zastupnice Mirele Ahmetović održao u Hrvatskom saboru. Voditeljica Službe za praćenje i promicanje prava na pristup informacijama je kao panelistica sudjelovala u raspravi o rezultatima dosadašnjih mjera u suzbijanju korupcije te budućim koracima i unaprjeđenju pravnog i institucionalnog okvira.</w:t>
      </w:r>
    </w:p>
    <w:p w14:paraId="5A051315" w14:textId="4EFDE801" w:rsidR="006D7D67" w:rsidRPr="00DE744E" w:rsidRDefault="003B452D" w:rsidP="003B452D">
      <w:pPr>
        <w:rPr>
          <w:rFonts w:cs="Arial"/>
          <w:color w:val="000000" w:themeColor="text1"/>
        </w:rPr>
      </w:pPr>
      <w:r w:rsidRPr="003B452D">
        <w:rPr>
          <w:rFonts w:cs="Arial"/>
        </w:rPr>
        <w:t>Što se tiče informiranja javnosti, nastavljena je objava jezgrovitog prikaza najvažnijih dosegnutih pravnih standarda od strane Povjerenika (</w:t>
      </w:r>
      <w:r w:rsidRPr="005F0EC0">
        <w:rPr>
          <w:rFonts w:cs="Arial"/>
        </w:rPr>
        <w:t>u dijelu potvrđenih</w:t>
      </w:r>
      <w:r w:rsidRPr="003B452D">
        <w:rPr>
          <w:rFonts w:cs="Arial"/>
        </w:rPr>
        <w:t xml:space="preserve"> i od Visokog upravnog suda RH) u primjeni prava na pristup informacijama. Stoga je u rubrici „Iz prakse Povjerenika“ objavljeno 16 novih mišljenja, uputa i sažetaka odluka Povjerenika. Nastavljena je i objava odluka u Tražilici TOM (22 rješenja Povjerenika iz 2025.), koja uz instruktivni Popis tijela javne vlasti, čiji je sastavni dio i aplikacija za podnošenje godišnjih izvješća tijela, predstavlja koristan i najčešće korišten alat koji olakšava primjenu Zakona. Smanjeni broj objavljenih rješenja Povjerenika u Tražilici TOM rezultat je zastarjelog aplikativnog rješenja kojeg više nije moguće nadograđivati, stoga je u 2025. pokrenut postupak izrade nove aplikacije, za koju je planirano puštanje u funkciju tijekom 2026.</w:t>
      </w:r>
    </w:p>
    <w:p w14:paraId="617A6C66" w14:textId="268BCCF2" w:rsidR="00EB6418" w:rsidRPr="00F0315E" w:rsidRDefault="00EB6418" w:rsidP="00811052">
      <w:pPr>
        <w:pStyle w:val="Naslov2"/>
        <w:ind w:left="1276" w:hanging="567"/>
      </w:pPr>
      <w:bookmarkStart w:id="231" w:name="_Toc225865641"/>
      <w:r>
        <w:lastRenderedPageBreak/>
        <w:t>Sudjelovanje u izradi normativnih, strateških i planskih dokumenata</w:t>
      </w:r>
      <w:bookmarkEnd w:id="227"/>
      <w:bookmarkEnd w:id="228"/>
      <w:bookmarkEnd w:id="229"/>
      <w:bookmarkEnd w:id="230"/>
      <w:bookmarkEnd w:id="231"/>
    </w:p>
    <w:p w14:paraId="221FCCBB" w14:textId="77777777" w:rsidR="00641916" w:rsidRPr="00641916" w:rsidRDefault="00641916" w:rsidP="00641916">
      <w:pPr>
        <w:rPr>
          <w:rFonts w:cs="Arial"/>
        </w:rPr>
      </w:pPr>
      <w:bookmarkStart w:id="232" w:name="_Hlk67240567"/>
      <w:r w:rsidRPr="00641916">
        <w:rPr>
          <w:rFonts w:cs="Arial"/>
        </w:rPr>
        <w:t>Suradnja s drugim tijelima glede normativnih, strateških i planskih dokumenata nastavljena je kroz izradu nacrta akcijskih planova uz relevantne strateške dokumente, uključujući članstvo u Savjetu za sprječavanje korupcije, Savjetu inicijative Partnerstva za otvorenu vlast i Koordinaciji za provedbu Politike otvorenih podataka, kao i kroz članstvo u Radnoj skupini za izradu Nacrta prijedloga zakona o izmjenama i dopunama ZPPI-ja.</w:t>
      </w:r>
    </w:p>
    <w:p w14:paraId="38FDD389" w14:textId="77777777" w:rsidR="00641916" w:rsidRPr="00641916" w:rsidRDefault="00641916" w:rsidP="00641916">
      <w:pPr>
        <w:rPr>
          <w:rFonts w:cs="Arial"/>
        </w:rPr>
      </w:pPr>
      <w:r w:rsidRPr="00641916">
        <w:rPr>
          <w:rFonts w:cs="Arial"/>
        </w:rPr>
        <w:t>Povjerenik je predložio niz aktivnosti kojih je nositelj za novi Akcijski plan uz Strategiju sprječavanja korupcije za razdoblje 2025.-2027. (19), kojeg je Vlada RH usvojila u svibnju 2025. Ured povjerenice je tijekom godine kontinuirano izvršavao predmetne aktivnosti. Što se tiče predloženih aktivnosti za novi akcijski plan Partnerstva za otvorenu vlast, plan tijekom 2025. nije usvojen, stoga je u tijeku priprema novog Nacrta akcijskog plana za razdoblje 2026.-2028.</w:t>
      </w:r>
    </w:p>
    <w:p w14:paraId="7CA9120C" w14:textId="77777777" w:rsidR="00641916" w:rsidRPr="00641916" w:rsidRDefault="00641916" w:rsidP="00641916">
      <w:pPr>
        <w:rPr>
          <w:rFonts w:cs="Arial"/>
        </w:rPr>
      </w:pPr>
      <w:r w:rsidRPr="00641916">
        <w:rPr>
          <w:rFonts w:cs="Arial"/>
        </w:rPr>
        <w:t xml:space="preserve">Nova Politika otvorenih podataka, kao strateški smjer daljnjeg razvoja otvorenosti i transparentnosti podataka javne uprave, donesena je u svibnju 2025. MPUDT je osnovalo i Koordinaciju za provedbu Politike, čiji su članovi i predstavnici Povjerenika. Koordinacija je zadužena za nadzor, koordinaciju i unaprjeđenje provedbe Politike te za predlaganje donošenja Akcijskog plana i nadgledanje njegove realizacije. </w:t>
      </w:r>
    </w:p>
    <w:p w14:paraId="7914D93A" w14:textId="258F602C" w:rsidR="002E71E7" w:rsidRPr="00641916" w:rsidRDefault="00641916" w:rsidP="00641916">
      <w:pPr>
        <w:rPr>
          <w:rFonts w:cs="Arial"/>
        </w:rPr>
      </w:pPr>
      <w:r w:rsidRPr="00641916">
        <w:rPr>
          <w:rFonts w:cs="Arial"/>
        </w:rPr>
        <w:t>Akcijski plan za provedbu Politike otvorenih podataka za razdoblje do kraja 2026. usvojen je krajem 2025. Kao rezultat provedbe mjera Akcijskog plana očekuje se približavanje hrvatskog sustava europskom prosjeku u područjima zakonodavnog okvira, kvalitete podataka i ukupnog utjecaja te podizanje razine zrelosti otvorenih podataka u Hrvatskoj.</w:t>
      </w:r>
    </w:p>
    <w:p w14:paraId="40F39995" w14:textId="0704FA64" w:rsidR="00641916" w:rsidRDefault="00641916" w:rsidP="00641916">
      <w:pPr>
        <w:rPr>
          <w:rFonts w:cs="Arial"/>
        </w:rPr>
      </w:pPr>
      <w:r w:rsidRPr="00641916">
        <w:rPr>
          <w:rFonts w:cs="Arial"/>
        </w:rPr>
        <w:t>Nadalje, još krajem 2024., MPUDT je osnovalo Radnu skupinu za izradu Nacrta prijedloga zakona o izmjenama i dopunama ZPPI-ja, čije su članice povjerenica te dvije voditeljice službi u Uredu</w:t>
      </w:r>
      <w:r w:rsidR="00775673">
        <w:rPr>
          <w:rFonts w:cs="Arial"/>
        </w:rPr>
        <w:t xml:space="preserve"> povjerenice</w:t>
      </w:r>
      <w:r w:rsidRPr="00641916">
        <w:rPr>
          <w:rFonts w:cs="Arial"/>
        </w:rPr>
        <w:t>. U srpnju 2025. održan je jedan (drugi po redu) sastanak Radne skupine.</w:t>
      </w:r>
    </w:p>
    <w:p w14:paraId="2CAB0C7A" w14:textId="5C57C045" w:rsidR="006D7D67" w:rsidRPr="008120B1" w:rsidRDefault="00641916" w:rsidP="00641916">
      <w:pPr>
        <w:rPr>
          <w:rFonts w:cs="Arial"/>
        </w:rPr>
      </w:pPr>
      <w:r w:rsidRPr="00641916">
        <w:rPr>
          <w:rFonts w:cs="Arial"/>
        </w:rPr>
        <w:t>Što se tiče davanja mišljenja na razne propise, Ured je tijekom 2025. dao mišljenja na sljedeće: Nacrt prijedloga zakona o pravnim osobama u vlasništvu Republike Hrvatske (nositelj izrade Ministarstvo financija), Nacrt prijedloga zakona o energetskoj učinkovitosti, s Konačnim prijedlogom zakona (Ministarstvo gospodarstva), Nacrt konačnog prijedloga zakona o provedbi Uredbe (EU) 2022/868 o europskom upravljanju podacima i izmjeni Uredbe (EU) 2018/1724  (Akt o upravljanju podacima) (MPUDT) i Prijedlog pravilnika o vođenju registra lobista (Povjerenstvo za odlučivanje  o sukobu interesa).</w:t>
      </w:r>
    </w:p>
    <w:p w14:paraId="333FA04D" w14:textId="77777777" w:rsidR="00EB6418" w:rsidRPr="00F0315E" w:rsidRDefault="00EB6418" w:rsidP="00811052">
      <w:pPr>
        <w:pStyle w:val="Naslov2"/>
        <w:ind w:left="1276" w:hanging="567"/>
      </w:pPr>
      <w:bookmarkStart w:id="233" w:name="_Toc68002353"/>
      <w:bookmarkStart w:id="234" w:name="_Toc225865642"/>
      <w:bookmarkEnd w:id="232"/>
      <w:r>
        <w:t>Međuinstitucionalna i međunarodna suradnja i projekt</w:t>
      </w:r>
      <w:bookmarkEnd w:id="233"/>
      <w:r>
        <w:t>i</w:t>
      </w:r>
      <w:bookmarkEnd w:id="234"/>
    </w:p>
    <w:p w14:paraId="3BC5AD06" w14:textId="77777777" w:rsidR="00E32B48" w:rsidRPr="00902779" w:rsidRDefault="00E32B48" w:rsidP="00E32B48">
      <w:pPr>
        <w:rPr>
          <w:rFonts w:cs="Arial"/>
        </w:rPr>
      </w:pPr>
      <w:bookmarkStart w:id="235" w:name="_Toc36308996"/>
      <w:r w:rsidRPr="00902779">
        <w:rPr>
          <w:rFonts w:cs="Arial"/>
        </w:rPr>
        <w:t xml:space="preserve">U okviru redovitog djelovanja, povjerenica i službenici Ureda ostvaruju kontinuiranu suradnju s tijelima državne uprave i drugim državnim tijelima, kao i s </w:t>
      </w:r>
      <w:r>
        <w:rPr>
          <w:rFonts w:cs="Arial"/>
        </w:rPr>
        <w:t>JLP(R)S-ovima</w:t>
      </w:r>
      <w:r w:rsidRPr="00902779">
        <w:rPr>
          <w:rFonts w:cs="Arial"/>
        </w:rPr>
        <w:t>. Suradnja se posebno očituje u provedbi mjera i aktivnosti predviđenih nacionalnim strateškim dokumentima, pružanju stručne pomoći povodom upita tijela javne vlasti te sudjelovanju u organizaciji i provedbi promotivnih i edukativnih aktivnosti. Posebno se ističe kvalitetna suradnja u organizaciji Godišnjeg savjetovanja službenika za informiranje i provedbi regionalnih edukacija.</w:t>
      </w:r>
    </w:p>
    <w:p w14:paraId="298B97E5" w14:textId="77777777" w:rsidR="00E32B48" w:rsidRPr="00902779" w:rsidRDefault="00E32B48" w:rsidP="00E32B48">
      <w:pPr>
        <w:rPr>
          <w:rFonts w:cs="Arial"/>
        </w:rPr>
      </w:pPr>
      <w:r w:rsidRPr="00902779">
        <w:rPr>
          <w:rFonts w:cs="Arial"/>
        </w:rPr>
        <w:lastRenderedPageBreak/>
        <w:t xml:space="preserve">Suradnja s </w:t>
      </w:r>
      <w:r>
        <w:rPr>
          <w:rFonts w:cs="Arial"/>
        </w:rPr>
        <w:t>JLP(R)S-ovima</w:t>
      </w:r>
      <w:r w:rsidRPr="00902779">
        <w:rPr>
          <w:rFonts w:cs="Arial"/>
        </w:rPr>
        <w:t xml:space="preserve"> tijekom 2025. nastavila se ponajprije kroz edukativne aktivnosti, koje su dijelom bile usmjerene na pitanja i nedostatke uočene tijekom praćenja provedbe Zakona, ali i kroz redovito odgovaranje na brojne upite općina i gradova</w:t>
      </w:r>
      <w:r>
        <w:rPr>
          <w:rFonts w:cs="Arial"/>
        </w:rPr>
        <w:t xml:space="preserve"> te održavanje traženih sastanaka u Uredu povjerenice.</w:t>
      </w:r>
    </w:p>
    <w:p w14:paraId="6B4F086D" w14:textId="77777777" w:rsidR="00E32B48" w:rsidRPr="00902779" w:rsidRDefault="00E32B48" w:rsidP="00E32B48">
      <w:pPr>
        <w:rPr>
          <w:rFonts w:cs="Arial"/>
        </w:rPr>
      </w:pPr>
      <w:r w:rsidRPr="00902779">
        <w:rPr>
          <w:rFonts w:cs="Arial"/>
        </w:rPr>
        <w:t xml:space="preserve">Tijekom 2025. Povjerenik je nastavio sudjelovati u aktivnostima povezanima s procesom pristupanja Republike Hrvatske Organizaciji za ekonomsku suradnju i razvoj (OECD). Na poziv </w:t>
      </w:r>
      <w:r>
        <w:rPr>
          <w:rFonts w:cs="Arial"/>
        </w:rPr>
        <w:t>MPUDT</w:t>
      </w:r>
      <w:r w:rsidRPr="00902779">
        <w:rPr>
          <w:rFonts w:cs="Arial"/>
        </w:rPr>
        <w:t xml:space="preserve"> sudjelovao je u radu Radne skupine za otvorenu vlast (WPOG) te Radne skupine za javni integritet i borbu protiv korupcije (PIAC), osobito u dijelu koji se odnosi na usvajanje Preporuke o otvorenoj vlasti. U tom je okviru redovito dostavljao tražene podatke o radu institucije i stanju ostvarivanja prava na pristup i ponovnu uporabu informacija u Republici Hrvatskoj te sudjelovao na radnim sastancima.</w:t>
      </w:r>
    </w:p>
    <w:p w14:paraId="52032E70" w14:textId="77777777" w:rsidR="00E32B48" w:rsidRPr="00902779" w:rsidRDefault="00E32B48" w:rsidP="00E32B48">
      <w:pPr>
        <w:rPr>
          <w:rFonts w:cs="Arial"/>
        </w:rPr>
      </w:pPr>
      <w:r w:rsidRPr="00902779">
        <w:rPr>
          <w:rFonts w:cs="Arial"/>
        </w:rPr>
        <w:t>Povjerenik je također sudjelovao u postupku izvještavanja Europske komisije, koja je tijekom 2025. pripremala Izvješće o vladavini prava u Republici Hrvatskoj za potrebe izrade Godišnjeg izvješća o vladavini prava u državama članicama Europske unije. U tom su kontekstu istaknuti određeni izazovi u ostvarivanju prava na pristup informacijama s kojima se susreće jedna od važnih skupina korisnika – novinari u Republici Hrvatskoj, ali i aktivnosti koje se poduzimaju radi daljnjeg unaprjeđenja kvalitete savjetovanja s javnošću u postupcima izrade zakona, drugih propisa i akata.</w:t>
      </w:r>
    </w:p>
    <w:p w14:paraId="5F196DCE" w14:textId="77777777" w:rsidR="00E32B48" w:rsidRPr="00902779" w:rsidRDefault="00E32B48" w:rsidP="00E32B48">
      <w:pPr>
        <w:rPr>
          <w:rFonts w:cs="Arial"/>
          <w:b/>
          <w:bCs/>
        </w:rPr>
      </w:pPr>
      <w:r w:rsidRPr="009F00D8">
        <w:rPr>
          <w:rFonts w:cs="Arial"/>
        </w:rPr>
        <w:t xml:space="preserve">Povjerenik je od 2022. član međunarodnog foruma </w:t>
      </w:r>
      <w:r w:rsidRPr="009F00D8">
        <w:rPr>
          <w:rFonts w:cs="Arial"/>
          <w:i/>
          <w:iCs/>
        </w:rPr>
        <w:t>International Conference of Information Commissioners</w:t>
      </w:r>
      <w:r w:rsidRPr="009F00D8">
        <w:rPr>
          <w:rFonts w:cs="Arial"/>
        </w:rPr>
        <w:t xml:space="preserve"> – ICIC, koji povezuje povjerenike za informiranje, pravobranitelje i druga tijela zadužena za nadzor provedbe propisa o pristupu informacijama iz cijelog svijeta. </w:t>
      </w:r>
      <w:r w:rsidRPr="00902779">
        <w:rPr>
          <w:rFonts w:cs="Arial"/>
        </w:rPr>
        <w:t xml:space="preserve">16. po redu Međunarodna konferencija povjerenika za informiranje, pod nazivom </w:t>
      </w:r>
      <w:r>
        <w:rPr>
          <w:rFonts w:cs="Arial"/>
        </w:rPr>
        <w:t>„</w:t>
      </w:r>
      <w:r w:rsidRPr="00902779">
        <w:rPr>
          <w:rFonts w:cs="Arial"/>
          <w:i/>
          <w:iCs/>
        </w:rPr>
        <w:t>Access to Environmental Information in a Digital Era</w:t>
      </w:r>
      <w:r w:rsidRPr="00902779">
        <w:rPr>
          <w:rFonts w:cs="Arial"/>
        </w:rPr>
        <w:t>”</w:t>
      </w:r>
      <w:r>
        <w:rPr>
          <w:rFonts w:cs="Arial"/>
        </w:rPr>
        <w:t xml:space="preserve">, održana je 23.-25. lipnja 2025. u </w:t>
      </w:r>
      <w:r w:rsidRPr="00902779">
        <w:rPr>
          <w:rFonts w:cs="Arial"/>
        </w:rPr>
        <w:t>Berlinu, u organizaciji njemačkog Saveznog povjerenika za zaštitu osobnih podataka i slobodan pristup informacijama (</w:t>
      </w:r>
      <w:r w:rsidRPr="00902779">
        <w:rPr>
          <w:rFonts w:cs="Arial"/>
          <w:i/>
          <w:iCs/>
        </w:rPr>
        <w:t>Federal Commissioner for Data Protection and Freedom of Information</w:t>
      </w:r>
      <w:r>
        <w:rPr>
          <w:rFonts w:cs="Arial"/>
        </w:rPr>
        <w:t xml:space="preserve">, </w:t>
      </w:r>
      <w:r w:rsidRPr="00902779">
        <w:rPr>
          <w:rFonts w:cs="Arial"/>
        </w:rPr>
        <w:t>BfDI)</w:t>
      </w:r>
      <w:r>
        <w:rPr>
          <w:rFonts w:cs="Arial"/>
        </w:rPr>
        <w:t xml:space="preserve">. </w:t>
      </w:r>
      <w:r w:rsidRPr="00902779">
        <w:rPr>
          <w:rFonts w:cs="Arial"/>
        </w:rPr>
        <w:t>Konferenciji je  prisustvovalo više od 100 predstavnika institucija nadležnih za pristup informacijama iz više od 50 država iz cijelog svijeta, akademske zajednice, civilnog društva, medija i javne uprave</w:t>
      </w:r>
      <w:r>
        <w:rPr>
          <w:rFonts w:cs="Arial"/>
        </w:rPr>
        <w:t>, uključujući i dvije savjetnice iz Ureda povjerenice</w:t>
      </w:r>
      <w:r w:rsidRPr="00902779">
        <w:rPr>
          <w:rFonts w:cs="Arial"/>
        </w:rPr>
        <w:t>.</w:t>
      </w:r>
    </w:p>
    <w:p w14:paraId="6D965FFC" w14:textId="77777777" w:rsidR="00E32B48" w:rsidRPr="00902779" w:rsidRDefault="00E32B48" w:rsidP="00E32B48">
      <w:pPr>
        <w:rPr>
          <w:rFonts w:cs="Arial"/>
        </w:rPr>
      </w:pPr>
      <w:r w:rsidRPr="00902779">
        <w:rPr>
          <w:rFonts w:cs="Arial"/>
        </w:rPr>
        <w:t>Središnja tema bila je evaluacija postojećih međunarodnih pravnih okvira i sporazuma koji uspostavljaju i jačaju pravo građana na pristup informacijama o okolišu, sudjelovanje javnosti u donošenju odluka i pristup pravosuđu u pitanjima zaštite okoliša, poput Aarhuške konvencije ili Escazú sporazuma. Također, na Konferenciji su predstavljena određena digitalna rješenja za poticanje transparentnosti u sektoru zaštite okoliša, uz primjere dobre prakse u proaktivnoj objavi informacija na informacijskim portalima i dostupnosti kvalitetnih otvorenih podataka o okolišu. Posebno je istaknuta i važnost pristupa informacijama o okolišu za ranjive skupine, kao i uloga civilnog društva, čiji su predstavnici u sklopu Konferencije usvojili Berlinsku deklaraciju organizacija civilnog društva o pravu na informacije i ekološkoj pravdi.</w:t>
      </w:r>
    </w:p>
    <w:p w14:paraId="3CED32D2" w14:textId="77777777" w:rsidR="00E32B48" w:rsidRPr="002F2BA1" w:rsidRDefault="00E32B48" w:rsidP="00E32B48">
      <w:pPr>
        <w:rPr>
          <w:rFonts w:cs="Arial"/>
        </w:rPr>
      </w:pPr>
      <w:r w:rsidRPr="002F2BA1">
        <w:rPr>
          <w:rFonts w:cs="Arial"/>
        </w:rPr>
        <w:t>Značajan ishod Konferencije je i osnivanje europske mreže povjerenika za informiranje (</w:t>
      </w:r>
      <w:r w:rsidRPr="002F2BA1">
        <w:rPr>
          <w:rFonts w:cs="Arial"/>
          <w:i/>
          <w:iCs/>
        </w:rPr>
        <w:t>European Network for Transparency and Right to Information – ENTRI</w:t>
      </w:r>
      <w:r w:rsidRPr="002F2BA1">
        <w:rPr>
          <w:rFonts w:cs="Arial"/>
        </w:rPr>
        <w:t>), foruma koji predstavlja platformu za razmjenu mišljenja, znanja, iskustava i stručnosti u područjima od zajedničkog interesa, u čijem će radu sudjelovati Povjerenik za informiranje Republike Hrvatske kao član.</w:t>
      </w:r>
    </w:p>
    <w:p w14:paraId="72C367E5" w14:textId="77777777" w:rsidR="00E32B48" w:rsidRPr="002F2BA1" w:rsidRDefault="00E32B48" w:rsidP="00E32B48">
      <w:pPr>
        <w:rPr>
          <w:rFonts w:cs="Arial"/>
        </w:rPr>
      </w:pPr>
      <w:r w:rsidRPr="002F2BA1">
        <w:rPr>
          <w:rFonts w:cs="Arial"/>
        </w:rPr>
        <w:lastRenderedPageBreak/>
        <w:t>Vrijedi istaknuti i da je Povjerenik za informiranje tijekom 2025. uključen u međunarodnu inicijativu Koalicije za proaktivnu objavu informacija (</w:t>
      </w:r>
      <w:r w:rsidRPr="002F2BA1">
        <w:rPr>
          <w:rFonts w:cs="Arial"/>
          <w:i/>
          <w:iCs/>
        </w:rPr>
        <w:t>Proactive Disclosure Coalition</w:t>
      </w:r>
      <w:r w:rsidRPr="002F2BA1">
        <w:rPr>
          <w:rFonts w:cs="Arial"/>
        </w:rPr>
        <w:t>), koju je pokrenula Nizozemska u okviru inicijative Partnerstvo za otvorenu vlast, uz podršku Radne skupine za otvorenu vlast OECD-a (WPOG). Cilj ove inicijative je razvoj međunarodnih smjernica i načela dobre prakse za tzv. smislenu proaktivnu objavu informacija (</w:t>
      </w:r>
      <w:r w:rsidRPr="002F2BA1">
        <w:rPr>
          <w:rFonts w:cs="Arial"/>
          <w:i/>
          <w:iCs/>
        </w:rPr>
        <w:t>meaningful proactive disclosure</w:t>
      </w:r>
      <w:r w:rsidRPr="002F2BA1">
        <w:rPr>
          <w:rFonts w:cs="Arial"/>
        </w:rPr>
        <w:t xml:space="preserve">), odnosno objavu informacija koje su za građane doista relevantne i korisne, a ne samo formalno ispunjavanje obveze objavljivanja što većeg broja dokumenata. </w:t>
      </w:r>
    </w:p>
    <w:p w14:paraId="4D75B294" w14:textId="77777777" w:rsidR="00E32B48" w:rsidRPr="002F2BA1" w:rsidRDefault="00E32B48" w:rsidP="00E32B48">
      <w:pPr>
        <w:rPr>
          <w:rFonts w:cs="Arial"/>
        </w:rPr>
      </w:pPr>
      <w:r w:rsidRPr="002F2BA1">
        <w:rPr>
          <w:rFonts w:cs="Arial"/>
        </w:rPr>
        <w:t>Ured povjerenice sudjelovao je na pripremnim sastancima s drugim državama uključenima u inicijativu (Armenija, Brazil, Kanada, Estonija, Finska, Njemačka, Nizozemska, Portugal, Rumunjska, Španjolska i Škotska) te izrazio spremnost za razmjenu iskustava i davanje doprinosa u daljnjem radu Koalicije. Koalicija je službeno predstavljena na globalnom summitu Partnerstva za otvorenu vlast održanom u listopadu 2025. u Vitoriji-Gasteizu u Španjolskoj, čime je započela formalna međunarodna suradnja država predvodnica u području razvoja standarda za proaktivnu objavu informacija. Inicijativu vodi i strateški koordinira Nizozemska, a planirani rezultat rada Koalicije je izrada zajedničkog dokumenta s načelima, preporukama i primjerima dobre prakse koji bi državama služio kao smjernica za unaprjeđenje politika i prakse proaktivne objave informacija.</w:t>
      </w:r>
    </w:p>
    <w:p w14:paraId="3750B14E" w14:textId="77777777" w:rsidR="00E32B48" w:rsidRPr="002F2BA1" w:rsidRDefault="00E32B48" w:rsidP="00E32B48">
      <w:pPr>
        <w:rPr>
          <w:rFonts w:cs="Arial"/>
        </w:rPr>
      </w:pPr>
      <w:r w:rsidRPr="002F2BA1">
        <w:rPr>
          <w:rFonts w:cs="Arial"/>
        </w:rPr>
        <w:t>Sudjelovanjem u ovoj inicijativi Republika Hrvatska, kroz rad Povjerenika za informiranje, uključena je u međunarodnu platformu za razmjenu iskustava i razvoj naprednih standarda transparentnosti, s ciljem daljnjeg jačanja otvorenosti i odgovornosti javne vlasti.</w:t>
      </w:r>
    </w:p>
    <w:p w14:paraId="2DAED980" w14:textId="77777777" w:rsidR="00E32B48" w:rsidRDefault="00E32B48" w:rsidP="00E32B48">
      <w:pPr>
        <w:rPr>
          <w:rFonts w:cs="Arial"/>
        </w:rPr>
      </w:pPr>
      <w:r w:rsidRPr="002F2BA1">
        <w:rPr>
          <w:rFonts w:cs="Arial"/>
        </w:rPr>
        <w:t xml:space="preserve">Nadalje, službenici Ureda sudjelovali su na radionici namijenjenoj predstavnicima institucija nadležnih za osiguravanje prava na pristup informacijama iz europskih država, održanoj u Prištini, Kosovo, 7. i 8. travnja 2025., u organizaciji kosovske Agencije </w:t>
      </w:r>
      <w:r w:rsidRPr="00902779">
        <w:rPr>
          <w:rFonts w:cs="Arial"/>
        </w:rPr>
        <w:t>za informacije i privatnost</w:t>
      </w:r>
      <w:r>
        <w:rPr>
          <w:rFonts w:cs="Arial"/>
        </w:rPr>
        <w:t>. Teme u</w:t>
      </w:r>
      <w:r w:rsidRPr="00902779">
        <w:rPr>
          <w:rFonts w:cs="Arial"/>
        </w:rPr>
        <w:t xml:space="preserve"> fokusu </w:t>
      </w:r>
      <w:r>
        <w:rPr>
          <w:rFonts w:cs="Arial"/>
        </w:rPr>
        <w:t xml:space="preserve">odnosile su se na </w:t>
      </w:r>
      <w:r w:rsidRPr="00902779">
        <w:rPr>
          <w:rFonts w:cs="Arial"/>
        </w:rPr>
        <w:t>pristup informacijama iz postupaka javne nabave i o potrošnji javnih sredstava te poslovn</w:t>
      </w:r>
      <w:r>
        <w:rPr>
          <w:rFonts w:cs="Arial"/>
        </w:rPr>
        <w:t>u</w:t>
      </w:r>
      <w:r w:rsidRPr="00902779">
        <w:rPr>
          <w:rFonts w:cs="Arial"/>
        </w:rPr>
        <w:t xml:space="preserve"> tajn</w:t>
      </w:r>
      <w:r>
        <w:rPr>
          <w:rFonts w:cs="Arial"/>
        </w:rPr>
        <w:t>u</w:t>
      </w:r>
      <w:r w:rsidRPr="00902779">
        <w:rPr>
          <w:rFonts w:cs="Arial"/>
        </w:rPr>
        <w:t xml:space="preserve"> i zaštit</w:t>
      </w:r>
      <w:r>
        <w:rPr>
          <w:rFonts w:cs="Arial"/>
        </w:rPr>
        <w:t>u</w:t>
      </w:r>
      <w:r w:rsidRPr="00902779">
        <w:rPr>
          <w:rFonts w:cs="Arial"/>
        </w:rPr>
        <w:t xml:space="preserve"> intelektualnog vlasništva kao ograničenja pristupa informacijama.</w:t>
      </w:r>
      <w:r>
        <w:rPr>
          <w:rFonts w:cs="Arial"/>
        </w:rPr>
        <w:t xml:space="preserve"> Tom prilikom su predstavnice Ureda, </w:t>
      </w:r>
      <w:r w:rsidRPr="00902779">
        <w:rPr>
          <w:rFonts w:cs="Arial"/>
        </w:rPr>
        <w:t xml:space="preserve">u okviru izlaganja pod nazivom </w:t>
      </w:r>
      <w:r w:rsidRPr="00902779">
        <w:rPr>
          <w:rFonts w:cs="Arial"/>
          <w:i/>
          <w:iCs/>
        </w:rPr>
        <w:t>Public Procurement for the Construction of a New Logistic Centre of the Croation Post – Case Study</w:t>
      </w:r>
      <w:r w:rsidRPr="00902779">
        <w:rPr>
          <w:rFonts w:cs="Arial"/>
        </w:rPr>
        <w:t xml:space="preserve">, prikazale slučaj iz prakse Povjerenika, u kojem je Visoki upravni sud RH podnio Sudu Europske unije zahtjev za tumačenjem odredbi </w:t>
      </w:r>
      <w:r>
        <w:rPr>
          <w:rFonts w:cs="Arial"/>
        </w:rPr>
        <w:t>Direktive o otvorenim podacima.</w:t>
      </w:r>
    </w:p>
    <w:p w14:paraId="27DAC703" w14:textId="42D595F9" w:rsidR="00E32B48" w:rsidRDefault="00E32B48" w:rsidP="00E32B48">
      <w:pPr>
        <w:rPr>
          <w:rFonts w:cs="Arial"/>
        </w:rPr>
      </w:pPr>
      <w:r w:rsidRPr="009F00D8">
        <w:rPr>
          <w:rFonts w:cs="Arial"/>
        </w:rPr>
        <w:t xml:space="preserve">U okviru regionalne suradnje, nastavljeno je održavanje sastanaka u </w:t>
      </w:r>
      <w:r>
        <w:rPr>
          <w:rFonts w:cs="Arial"/>
        </w:rPr>
        <w:t>sklopu</w:t>
      </w:r>
      <w:r w:rsidRPr="009F00D8">
        <w:rPr>
          <w:rFonts w:cs="Arial"/>
        </w:rPr>
        <w:t xml:space="preserve"> Incijative 2020, pokrenute od strane Povjerenika za informiranje (</w:t>
      </w:r>
      <w:r w:rsidRPr="009F00D8">
        <w:rPr>
          <w:rFonts w:cs="Arial"/>
          <w:i/>
          <w:iCs/>
        </w:rPr>
        <w:t>Informacijski pooblaščenec</w:t>
      </w:r>
      <w:r w:rsidRPr="009F00D8">
        <w:rPr>
          <w:rFonts w:cs="Arial"/>
        </w:rPr>
        <w:t xml:space="preserve">) iz Republike Slovenije, a koja okuplja predstavnike tijela koji se bave zaštitom prava na pristup informacijama iz Slovenije, Hrvatske, Bosne i Hercegovine, Crne Gore, Sjeverne Makedonije, Srbije i Kosova. </w:t>
      </w:r>
      <w:r>
        <w:rPr>
          <w:rFonts w:cs="Arial"/>
        </w:rPr>
        <w:t>Šest</w:t>
      </w:r>
      <w:r w:rsidRPr="009F00D8">
        <w:rPr>
          <w:rFonts w:cs="Arial"/>
        </w:rPr>
        <w:t>i sastanak Inicijative</w:t>
      </w:r>
      <w:r w:rsidR="00CB40D6">
        <w:rPr>
          <w:rFonts w:cs="Arial"/>
        </w:rPr>
        <w:t xml:space="preserve"> 2020</w:t>
      </w:r>
      <w:r w:rsidRPr="009F00D8">
        <w:rPr>
          <w:rFonts w:cs="Arial"/>
        </w:rPr>
        <w:t xml:space="preserve"> održan je </w:t>
      </w:r>
      <w:r>
        <w:rPr>
          <w:rFonts w:cs="Arial"/>
        </w:rPr>
        <w:t>13.-15. listopada 2025. u Prizrenu, Kosovo</w:t>
      </w:r>
      <w:r w:rsidRPr="009F00D8">
        <w:rPr>
          <w:rFonts w:cs="Arial"/>
        </w:rPr>
        <w:t xml:space="preserve">, u organizaciji </w:t>
      </w:r>
      <w:r w:rsidRPr="00902779">
        <w:rPr>
          <w:rFonts w:cs="Arial"/>
        </w:rPr>
        <w:t>kosovske Agencije za informacije i privatnost (</w:t>
      </w:r>
      <w:r w:rsidRPr="00902779">
        <w:rPr>
          <w:rFonts w:cs="Arial"/>
          <w:i/>
          <w:iCs/>
        </w:rPr>
        <w:t>Information</w:t>
      </w:r>
      <w:r w:rsidR="00D322FC">
        <w:rPr>
          <w:rFonts w:cs="Arial"/>
          <w:i/>
          <w:iCs/>
        </w:rPr>
        <w:t xml:space="preserve"> </w:t>
      </w:r>
      <w:r w:rsidRPr="00902779">
        <w:rPr>
          <w:rFonts w:cs="Arial"/>
          <w:i/>
          <w:iCs/>
        </w:rPr>
        <w:t>and</w:t>
      </w:r>
      <w:r w:rsidR="00D322FC">
        <w:rPr>
          <w:rFonts w:cs="Arial"/>
          <w:i/>
          <w:iCs/>
        </w:rPr>
        <w:t xml:space="preserve"> </w:t>
      </w:r>
      <w:r w:rsidRPr="00902779">
        <w:rPr>
          <w:rFonts w:cs="Arial"/>
          <w:i/>
          <w:iCs/>
        </w:rPr>
        <w:t>Privacy</w:t>
      </w:r>
      <w:r w:rsidR="00D322FC">
        <w:rPr>
          <w:rFonts w:cs="Arial"/>
          <w:i/>
          <w:iCs/>
        </w:rPr>
        <w:t xml:space="preserve"> </w:t>
      </w:r>
      <w:r w:rsidRPr="00902779">
        <w:rPr>
          <w:rFonts w:cs="Arial"/>
          <w:i/>
          <w:iCs/>
        </w:rPr>
        <w:t>Agency</w:t>
      </w:r>
      <w:r w:rsidRPr="00902779">
        <w:rPr>
          <w:rFonts w:cs="Arial"/>
        </w:rPr>
        <w:t>)</w:t>
      </w:r>
      <w:r>
        <w:rPr>
          <w:rFonts w:cs="Arial"/>
        </w:rPr>
        <w:t xml:space="preserve">, </w:t>
      </w:r>
      <w:r w:rsidRPr="009F00D8">
        <w:rPr>
          <w:rFonts w:cs="Arial"/>
        </w:rPr>
        <w:t>na kojem je sudjelovala i hrvatska delegacija</w:t>
      </w:r>
      <w:r>
        <w:rPr>
          <w:rFonts w:cs="Arial"/>
        </w:rPr>
        <w:t>.</w:t>
      </w:r>
    </w:p>
    <w:p w14:paraId="0F118AD2" w14:textId="77777777" w:rsidR="00E32B48" w:rsidRDefault="00E32B48" w:rsidP="00E32B48">
      <w:pPr>
        <w:rPr>
          <w:rFonts w:cs="Arial"/>
        </w:rPr>
      </w:pPr>
      <w:r>
        <w:rPr>
          <w:rFonts w:cs="Arial"/>
        </w:rPr>
        <w:t xml:space="preserve">Na ovogodišnjem sastanku raspravljalo se o usklađivanju </w:t>
      </w:r>
      <w:r w:rsidRPr="0002642D">
        <w:rPr>
          <w:rFonts w:cs="Arial"/>
        </w:rPr>
        <w:t xml:space="preserve">nacionalnog zakonodavstva s europskim i međunarodnim standardima, uključujući Tromsø konvenciju Vijeća Europe, </w:t>
      </w:r>
      <w:r>
        <w:rPr>
          <w:rFonts w:cs="Arial"/>
        </w:rPr>
        <w:t>kao i o</w:t>
      </w:r>
      <w:r w:rsidRPr="0002642D">
        <w:rPr>
          <w:rFonts w:cs="Arial"/>
        </w:rPr>
        <w:t xml:space="preserve"> utjecaj</w:t>
      </w:r>
      <w:r>
        <w:rPr>
          <w:rFonts w:cs="Arial"/>
        </w:rPr>
        <w:t>u</w:t>
      </w:r>
      <w:r w:rsidRPr="0002642D">
        <w:rPr>
          <w:rFonts w:cs="Arial"/>
        </w:rPr>
        <w:t xml:space="preserve"> digitalizacije i novih tehnologija. </w:t>
      </w:r>
      <w:r>
        <w:rPr>
          <w:rFonts w:cs="Arial"/>
        </w:rPr>
        <w:t>Raspravljalo se i</w:t>
      </w:r>
      <w:r w:rsidRPr="0002642D">
        <w:rPr>
          <w:rFonts w:cs="Arial"/>
        </w:rPr>
        <w:t xml:space="preserve"> o učinkovitosti postupaka </w:t>
      </w:r>
      <w:r>
        <w:rPr>
          <w:rFonts w:cs="Arial"/>
        </w:rPr>
        <w:t xml:space="preserve">ostvarivanja prava na pristup </w:t>
      </w:r>
      <w:r w:rsidRPr="0002642D">
        <w:rPr>
          <w:rFonts w:cs="Arial"/>
        </w:rPr>
        <w:t>informacijama, načinu provedbe odluka</w:t>
      </w:r>
      <w:r>
        <w:rPr>
          <w:rFonts w:cs="Arial"/>
        </w:rPr>
        <w:t xml:space="preserve"> drugostupanjskih tijela</w:t>
      </w:r>
      <w:r w:rsidRPr="0002642D">
        <w:rPr>
          <w:rFonts w:cs="Arial"/>
        </w:rPr>
        <w:t xml:space="preserve"> i proaktivnoj transparentnosti. Istaknuto je pitanje sve većeg broja </w:t>
      </w:r>
      <w:r>
        <w:rPr>
          <w:rFonts w:cs="Arial"/>
        </w:rPr>
        <w:t>žalbi</w:t>
      </w:r>
      <w:r w:rsidRPr="0002642D">
        <w:rPr>
          <w:rFonts w:cs="Arial"/>
        </w:rPr>
        <w:t xml:space="preserve"> na šutnju </w:t>
      </w:r>
      <w:r>
        <w:rPr>
          <w:rFonts w:cs="Arial"/>
        </w:rPr>
        <w:t>uprave</w:t>
      </w:r>
      <w:r w:rsidRPr="0002642D">
        <w:rPr>
          <w:rFonts w:cs="Arial"/>
        </w:rPr>
        <w:t>, kao i potreb</w:t>
      </w:r>
      <w:r>
        <w:rPr>
          <w:rFonts w:cs="Arial"/>
        </w:rPr>
        <w:t>a</w:t>
      </w:r>
      <w:r w:rsidRPr="0002642D">
        <w:rPr>
          <w:rFonts w:cs="Arial"/>
        </w:rPr>
        <w:t xml:space="preserve"> za jačanjem mehanizama praćenja i nadzora u području proaktivne </w:t>
      </w:r>
      <w:r>
        <w:rPr>
          <w:rFonts w:cs="Arial"/>
        </w:rPr>
        <w:t xml:space="preserve">objave </w:t>
      </w:r>
      <w:r>
        <w:rPr>
          <w:rFonts w:cs="Arial"/>
        </w:rPr>
        <w:lastRenderedPageBreak/>
        <w:t>informacija. Predstavnica hrvatske delegacije održala je izlaganje na temu izvršenja rješenja Povjerenika, a s</w:t>
      </w:r>
      <w:r w:rsidRPr="0002642D">
        <w:rPr>
          <w:rFonts w:cs="Arial"/>
        </w:rPr>
        <w:t>astanak je rezultirao zajedničkim zaključcima članica Inicijative 2020.</w:t>
      </w:r>
    </w:p>
    <w:p w14:paraId="2F074DC4" w14:textId="77777777" w:rsidR="00E32B48" w:rsidRPr="00B841E0" w:rsidRDefault="00E32B48" w:rsidP="00E32B48">
      <w:pPr>
        <w:rPr>
          <w:rFonts w:cs="Arial"/>
        </w:rPr>
      </w:pPr>
      <w:r w:rsidRPr="00B841E0">
        <w:rPr>
          <w:rFonts w:cs="Arial"/>
        </w:rPr>
        <w:t>Povjerenik je u srpnju ugostio delegaciju iz Azerbajdžana, koja je bila u dvodnevnoj studijskoj posjeti Agenciji za zaštitu osobnih podataka. Delegaciju su činili predstavnici Ministarstva vanjskih</w:t>
      </w:r>
      <w:r>
        <w:rPr>
          <w:rFonts w:cs="Arial"/>
        </w:rPr>
        <w:t xml:space="preserve"> </w:t>
      </w:r>
      <w:r w:rsidRPr="00B841E0">
        <w:rPr>
          <w:rFonts w:cs="Arial"/>
        </w:rPr>
        <w:t xml:space="preserve">poslova, Ministarstva za digitalni razvoj, Agencije za javne usluge, Ureda pučkog pravobranitelja (Ombudsman), Centra za zakonodavne inicijative pri Uredu predsjednika, nevladine organizacije te predstavnici Vijeća Europe. Tijekom posjete Ured je predstavio ulogu i djelokrug Povjerenika, što je posebno zanimalo službenike iz Ureda </w:t>
      </w:r>
      <w:r>
        <w:rPr>
          <w:rFonts w:cs="Arial"/>
        </w:rPr>
        <w:t>o</w:t>
      </w:r>
      <w:r w:rsidRPr="00B841E0">
        <w:rPr>
          <w:rFonts w:cs="Arial"/>
        </w:rPr>
        <w:t>mbudsmana, budući da u Azerbajdžanu ne postoji zasebno neovisno tijelo, već funkciju nadzora i zaštite prava na pristup informacijama obavlja poseban odjel unutar institucije Ombudsmana.</w:t>
      </w:r>
    </w:p>
    <w:p w14:paraId="463F29E0" w14:textId="77777777" w:rsidR="00E32B48" w:rsidRPr="00B841E0" w:rsidRDefault="00E32B48" w:rsidP="00E32B48">
      <w:pPr>
        <w:rPr>
          <w:rFonts w:cs="Arial"/>
        </w:rPr>
      </w:pPr>
      <w:r w:rsidRPr="00B841E0">
        <w:rPr>
          <w:rFonts w:cs="Arial"/>
        </w:rPr>
        <w:t xml:space="preserve">U prosincu je Povjerenik bio domaćin studijskom posjetu kolega iz Ureda slovenskog </w:t>
      </w:r>
      <w:r>
        <w:rPr>
          <w:rFonts w:cs="Arial"/>
        </w:rPr>
        <w:t>p</w:t>
      </w:r>
      <w:r w:rsidRPr="00B841E0">
        <w:rPr>
          <w:rFonts w:cs="Arial"/>
        </w:rPr>
        <w:t>ovjerenika za informiranje, čime je nastavljena vrlo kvalitetna suradnja te razmjena prakse i iskustava između dvaju neovisnih tijela sličnih nadležnosti u području zaštite prava na pristup informacijama. Tom prilikom službenici Ureda prezentirali su brojne slučajeve iz prakse</w:t>
      </w:r>
      <w:r>
        <w:rPr>
          <w:rFonts w:cs="Arial"/>
        </w:rPr>
        <w:t xml:space="preserve">, a razgovaralo se i o sličnostima i različitostima u načinu rada unutar dva ureda, </w:t>
      </w:r>
      <w:r w:rsidRPr="00B841E0">
        <w:rPr>
          <w:rFonts w:cs="Arial"/>
        </w:rPr>
        <w:t xml:space="preserve">od zaprimanja i urudžbiranja te otpremanja akata do unutarnje organizacije rada i raspodjele </w:t>
      </w:r>
      <w:r>
        <w:rPr>
          <w:rFonts w:cs="Arial"/>
        </w:rPr>
        <w:t>poslova</w:t>
      </w:r>
      <w:r w:rsidRPr="00B841E0">
        <w:rPr>
          <w:rFonts w:cs="Arial"/>
        </w:rPr>
        <w:t>.</w:t>
      </w:r>
    </w:p>
    <w:p w14:paraId="2D107820" w14:textId="30268EC7" w:rsidR="00EB6418" w:rsidRPr="00F0315E" w:rsidRDefault="00E32B48" w:rsidP="00E32B48">
      <w:pPr>
        <w:rPr>
          <w:rFonts w:cs="Arial"/>
        </w:rPr>
      </w:pPr>
      <w:r w:rsidRPr="008120B1">
        <w:rPr>
          <w:rFonts w:cs="Arial"/>
        </w:rPr>
        <w:t>Valja spomenuti i da su dvije službenice Ureda povjerenice u rujnu sudjelovale kao ekspertice u trodnevnoj TAIEX stručnoj misiji posvećenoj implementaciji novodonesenog Zakona o otvorenim podacima i ponovnoj uporabi informacija javnog sektora u Albaniji. Tijekom misije održane su edukacije za službenike albanskog Ureda povjerenika (</w:t>
      </w:r>
      <w:r w:rsidRPr="008120B1">
        <w:rPr>
          <w:rFonts w:cs="Arial"/>
          <w:i/>
          <w:iCs/>
        </w:rPr>
        <w:t>The Commissioner for the Right to Information and the Protection of Personal Data</w:t>
      </w:r>
      <w:r w:rsidRPr="008120B1">
        <w:rPr>
          <w:rFonts w:cs="Arial"/>
        </w:rPr>
        <w:t>) i za službenike tijela javne vlasti koje u okviru propisanih nadležnosti vode različite skupove podataka pogodne za javnu objavu u otvorenim formatima. Svrha misije bila je pružiti tehničku i savjetodavnu pomoć, uz analizu postojećeg pravnog i institucionalnog okvira, a naglasak je stavljen na identificiranje skupova podataka, praktične upute za izradu akcijskog plana za otvaranje podataka te razlikovanje prava na pristup od ponovne uporabe informacija.</w:t>
      </w:r>
      <w:r w:rsidR="009D04FD">
        <w:rPr>
          <w:rFonts w:cs="Arial"/>
        </w:rPr>
        <w:br w:type="page"/>
      </w:r>
    </w:p>
    <w:p w14:paraId="4B56C1C6" w14:textId="77777777" w:rsidR="00F97385" w:rsidRPr="00F0315E" w:rsidRDefault="00F97385" w:rsidP="007B4CE1">
      <w:pPr>
        <w:pStyle w:val="Naslov1"/>
        <w:numPr>
          <w:ilvl w:val="0"/>
          <w:numId w:val="0"/>
        </w:numPr>
        <w:ind w:left="1134"/>
      </w:pPr>
      <w:bookmarkStart w:id="236" w:name="_Toc162445805"/>
      <w:bookmarkStart w:id="237" w:name="_Toc225865643"/>
      <w:bookmarkStart w:id="238" w:name="_Toc66103189"/>
      <w:bookmarkStart w:id="239" w:name="_Toc36308997"/>
      <w:bookmarkStart w:id="240" w:name="_Toc66103190"/>
      <w:bookmarkEnd w:id="235"/>
      <w:r>
        <w:lastRenderedPageBreak/>
        <w:t>C)</w:t>
      </w:r>
      <w:r>
        <w:tab/>
        <w:t>POSTUPANJE POVJERENIKA U DRUGIM PODRUČJIMA</w:t>
      </w:r>
      <w:bookmarkEnd w:id="236"/>
      <w:bookmarkEnd w:id="237"/>
    </w:p>
    <w:p w14:paraId="505CEE79" w14:textId="1114E739" w:rsidR="00251FAA" w:rsidRPr="00F0315E" w:rsidRDefault="00251FAA" w:rsidP="007B4CE1">
      <w:pPr>
        <w:pStyle w:val="Naslov1"/>
      </w:pPr>
      <w:bookmarkStart w:id="241" w:name="_Toc225865644"/>
      <w:r>
        <w:t>Postupanje Povjerenika u drugim područjima – okoliš, arhivi, digitalna pristupačnost</w:t>
      </w:r>
      <w:bookmarkEnd w:id="241"/>
    </w:p>
    <w:p w14:paraId="2DA33D0F" w14:textId="4CD6EB76" w:rsidR="006D7D67" w:rsidRPr="00F0315E" w:rsidRDefault="008204CC" w:rsidP="006D7D67">
      <w:pPr>
        <w:rPr>
          <w:rFonts w:cs="Arial"/>
        </w:rPr>
      </w:pPr>
      <w:r w:rsidRPr="008204CC">
        <w:rPr>
          <w:rFonts w:cs="Arial"/>
        </w:rPr>
        <w:t>Povjerenik za informiranje je nadležan i za postupanje u žalbenim postupcima po žalbama sukladno posebnim propisima kojima se uređuje dostupnost informacija o okolišu i javnog arhivskog gradiva, dok propisi u području digitalne pristupačnosti utvrđuju nadležnost Povjerenika za provedbu inspekcijskog nadzora.</w:t>
      </w:r>
    </w:p>
    <w:p w14:paraId="35CA01A7" w14:textId="77777777" w:rsidR="00AF7514" w:rsidRPr="00811052" w:rsidRDefault="00AF7514" w:rsidP="00811052">
      <w:pPr>
        <w:pStyle w:val="Naslov2"/>
        <w:ind w:left="1276" w:hanging="567"/>
      </w:pPr>
      <w:bookmarkStart w:id="242" w:name="_Toc225865645"/>
      <w:r w:rsidRPr="00811052">
        <w:t>Dostupnost i</w:t>
      </w:r>
      <w:r>
        <w:t>nformacija o okolišu</w:t>
      </w:r>
      <w:bookmarkEnd w:id="242"/>
    </w:p>
    <w:p w14:paraId="49939C09" w14:textId="77777777" w:rsidR="00A84580" w:rsidRPr="00A84580" w:rsidRDefault="00A84580" w:rsidP="00A84580">
      <w:pPr>
        <w:rPr>
          <w:bCs/>
        </w:rPr>
      </w:pPr>
      <w:r w:rsidRPr="00A84580">
        <w:rPr>
          <w:bCs/>
        </w:rPr>
        <w:t>Ustav RH je među najviše vrednote ustavnog poretka u članku 3. svrstao i očuvanje prirode i čovjekova okoliša, iz čega proizlazi da su informacije o okolišu od iznimnog javnog interesa.</w:t>
      </w:r>
    </w:p>
    <w:p w14:paraId="3ED5CFD3" w14:textId="77777777" w:rsidR="00A84580" w:rsidRPr="00A84580" w:rsidRDefault="00A84580" w:rsidP="00A84580">
      <w:pPr>
        <w:rPr>
          <w:bCs/>
        </w:rPr>
      </w:pPr>
      <w:r w:rsidRPr="00A84580">
        <w:rPr>
          <w:bCs/>
        </w:rPr>
        <w:t>Zakon o zaštiti okoliša („Narodne novine“, broj 80/13, 153/13, 78/15, 12/18 i 18/118), kojim je preuzeta Direktiva 2003/4/EZ o javnom pristupu informacijama o okolišu i koji je usklađen s Konvencijom o pristupu informacijama, sudjelovanju javnosti u odlučivanju i pristupu pravosuđu u pitanjima okoliša (Aarhuška konvencija), odredio je Povjerenika kao žalbeno tijelo u postupcima ostvarivanja prava na pristup informacijama o okolišu.</w:t>
      </w:r>
    </w:p>
    <w:p w14:paraId="2B92A13A" w14:textId="77777777" w:rsidR="00A84580" w:rsidRPr="00A84580" w:rsidRDefault="00A84580" w:rsidP="00A84580">
      <w:pPr>
        <w:rPr>
          <w:bCs/>
        </w:rPr>
      </w:pPr>
      <w:r w:rsidRPr="00A84580">
        <w:rPr>
          <w:bCs/>
        </w:rPr>
        <w:t>Prema Zakonu o zaštiti okoliša pravo pristupa informacijama o okolišu odnosi se na svaku informaciju u pisanom, vizualnom, slušnom, elektroničkom ili bilo kojem drugom dostupnom obliku, koja se odnosi na Zakonom taksativno pobrojana okolišna pitanja (članak 155.). Povjerenik u žalbenom postupku štiti pravo na pristup informacijama o okolišu (članak 158. stavak 6.), a na sva pitanja prava na pristup informacijama u postupcima prema Zakonu o zaštiti okoliša koja nisu uređena tim Zakonom i njegovim provedbenim  propisima, primjenjuju se odredbe ZPPI-ja (članak 5. stavak 1.).</w:t>
      </w:r>
    </w:p>
    <w:p w14:paraId="3340042A" w14:textId="77777777" w:rsidR="00A84580" w:rsidRPr="00A84580" w:rsidRDefault="00A84580" w:rsidP="00A01248">
      <w:pPr>
        <w:pBdr>
          <w:top w:val="single" w:sz="4" w:space="1" w:color="auto"/>
          <w:left w:val="single" w:sz="4" w:space="4" w:color="auto"/>
          <w:bottom w:val="single" w:sz="4" w:space="1" w:color="auto"/>
          <w:right w:val="single" w:sz="4" w:space="4" w:color="auto"/>
        </w:pBdr>
        <w:rPr>
          <w:bCs/>
        </w:rPr>
      </w:pPr>
      <w:r w:rsidRPr="00A84580">
        <w:rPr>
          <w:bCs/>
        </w:rPr>
        <w:t>Kao što je to bilo u ranijim izvještajnim razdobljima</w:t>
      </w:r>
      <w:r w:rsidRPr="00A01248">
        <w:rPr>
          <w:bCs/>
        </w:rPr>
        <w:t>, Povjerenik ni u 2025. nije zaprimao žalbe temeljem Zakona o okolišu te stoga nije provodio postupke koji se oslanjanju na odredbe citiranih propisa, već su žalbe zaprimane i rješavane prema odredbama ZPPI-ja, kao općeg propisa koji uređuje dostupnost informacija, na koje su</w:t>
      </w:r>
      <w:r w:rsidRPr="00A84580">
        <w:rPr>
          <w:bCs/>
        </w:rPr>
        <w:t xml:space="preserve"> se pozivali korisnici prilikom traženja informacija vezanih uz okoliš.</w:t>
      </w:r>
    </w:p>
    <w:p w14:paraId="39EC8DC9" w14:textId="77777777" w:rsidR="00A84580" w:rsidRPr="00A84580" w:rsidRDefault="00A84580" w:rsidP="00A84580">
      <w:pPr>
        <w:rPr>
          <w:bCs/>
        </w:rPr>
      </w:pPr>
      <w:r w:rsidRPr="00A84580">
        <w:rPr>
          <w:bCs/>
        </w:rPr>
        <w:t xml:space="preserve">S obzirom na navedeno, promatrajući sadržaj zaprimljenih žalbi, utvrđeno je da je Povjerenik u 2025. zaprimio njih 44 koje su sadržajno vezane uz informacije o okolišu, što predstavlja povećanje u odnosu na 2024. za 62,9% kada ih je bilo 27. Od tog broja, njih 30 (68,2%) je izjavljeno zbog neodlučivanja tijela javne vlasti u rokovima propisanima ZPPI-jem, što je manje povećanje udjela broja žalbi izjavljenih zbog šutnje uprave u odnosu na prethodno izvještajno razdoblje (kada je iznosio 59,3%). Žalbi izjavljenih protiv rješenja o odbijanju ili odbacivanju zahtjeva bilo je 13 (29,5%), a jedna (2,3%) žalba je izjavljena protiv rješenja čelnika tijela o prigovoru. </w:t>
      </w:r>
    </w:p>
    <w:p w14:paraId="329C9CAF" w14:textId="6997F0B5" w:rsidR="006D7D67" w:rsidRDefault="00A84580" w:rsidP="00A84580">
      <w:r w:rsidRPr="00A84580">
        <w:rPr>
          <w:bCs/>
        </w:rPr>
        <w:lastRenderedPageBreak/>
        <w:t>Kao prethodne godine, i u 2025. građani su skupina podnositelja žalbi koja ih je podnijela najviše, njih 37 (84,1%), a iza njih slijede trgovačka društva i ostali (u ovom slučaju politička stranka), svaki sa po 3 podnesene žalbi (6,8%) te udruga koja se bavi zaštitom okoliša s jednom podnesenom žalbom (2,3%)</w:t>
      </w:r>
      <w:r>
        <w:rPr>
          <w:bCs/>
        </w:rPr>
        <w:t>.</w:t>
      </w:r>
    </w:p>
    <w:p w14:paraId="116CB110" w14:textId="20D93EE9" w:rsidR="00E00E59" w:rsidRPr="00F0315E" w:rsidRDefault="00E00E59" w:rsidP="00A960B0">
      <w:pPr>
        <w:pStyle w:val="Odlomakpopisa"/>
        <w:spacing w:before="240"/>
        <w:ind w:left="0"/>
        <w:rPr>
          <w:rFonts w:ascii="Roboto" w:hAnsi="Roboto" w:cs="Arial"/>
          <w:sz w:val="18"/>
          <w:szCs w:val="18"/>
        </w:rPr>
      </w:pPr>
      <w:r w:rsidRPr="00763A94">
        <w:rPr>
          <w:rFonts w:ascii="Roboto" w:hAnsi="Roboto" w:cs="Arial"/>
          <w:sz w:val="18"/>
          <w:szCs w:val="18"/>
        </w:rPr>
        <w:t>Slika 10.1. Udio podnositelja žalbi</w:t>
      </w:r>
    </w:p>
    <w:p w14:paraId="4851EC80" w14:textId="43B300C3" w:rsidR="00AF7514" w:rsidRDefault="003E1257" w:rsidP="007C0559">
      <w:r>
        <w:rPr>
          <w:noProof/>
        </w:rPr>
        <w:drawing>
          <wp:inline distT="0" distB="0" distL="0" distR="0" wp14:anchorId="453101E5" wp14:editId="5890FE1B">
            <wp:extent cx="5760720" cy="2486025"/>
            <wp:effectExtent l="0" t="0" r="11430" b="9525"/>
            <wp:docPr id="1331537918" name="Chart 1">
              <a:extLst xmlns:a="http://schemas.openxmlformats.org/drawingml/2006/main">
                <a:ext uri="{FF2B5EF4-FFF2-40B4-BE49-F238E27FC236}">
                  <a16:creationId xmlns:a16="http://schemas.microsoft.com/office/drawing/2014/main" id="{CDB69063-B037-1BC7-79CD-BB104D3AE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1A3D0F" w14:textId="01237526" w:rsidR="007C0559" w:rsidRDefault="007C0559" w:rsidP="007C0559">
      <w:r>
        <w:t xml:space="preserve">Prema kategorijama tijela javne vlasti, u 2025. po broju zaprimljenih žalbi ističu se tijela državne uprave s 18 (40,9%), zatim slijede jedinice lokalne i područne (regionalne) samouprave s udjelom od 29,5% u izjavljenim žalbama odnosno s njih 13 te trgovačka društva u vlasništvu RH s njih 4 odnosno udjelom od 9,1% u izjavljenim žalbama.  </w:t>
      </w:r>
    </w:p>
    <w:p w14:paraId="67A560EF" w14:textId="77777777" w:rsidR="007C0559" w:rsidRDefault="007C0559" w:rsidP="007C0559">
      <w:r>
        <w:t>U 2025. je u radu bila ukupno 51 žalba, pri čemu je iz prethodnog izvještajnog razdoblja preneseno 7, a riješeno je njih 27 (52,9%).</w:t>
      </w:r>
    </w:p>
    <w:p w14:paraId="3DF316E4" w14:textId="4E848DA9" w:rsidR="006D7D67" w:rsidRPr="00F6786F" w:rsidRDefault="007C0559" w:rsidP="007C0559">
      <w:pPr>
        <w:rPr>
          <w:bCs/>
        </w:rPr>
      </w:pPr>
      <w:r>
        <w:t>Među informacijama koje su bile predmetom interesa podnositelja zahtjeva ističu se one koje se odnose na zaštitu od buke, gospodarenje otpadom, mjerenje kvalitete zraka, zahvate u atmosferi,  analitička izvješća o sastavu geotermalne vode i dr.</w:t>
      </w:r>
    </w:p>
    <w:p w14:paraId="2FBEAB74" w14:textId="46E0A67C" w:rsidR="00251FAA" w:rsidRPr="00F0315E" w:rsidRDefault="00251FAA" w:rsidP="00811052">
      <w:pPr>
        <w:pStyle w:val="Naslov2"/>
        <w:ind w:left="1276" w:hanging="567"/>
      </w:pPr>
      <w:bookmarkStart w:id="243" w:name="_Toc225865646"/>
      <w:r>
        <w:t>Dostupnost arhivskog gradiva</w:t>
      </w:r>
      <w:bookmarkEnd w:id="243"/>
    </w:p>
    <w:p w14:paraId="76213A57" w14:textId="77777777" w:rsidR="00407820" w:rsidRPr="00407820" w:rsidRDefault="00407820" w:rsidP="00407820">
      <w:pPr>
        <w:shd w:val="clear" w:color="auto" w:fill="FFFFFF"/>
        <w:rPr>
          <w:rFonts w:eastAsia="SimSun" w:cs="Arial"/>
          <w:lang w:eastAsia="zh-CN"/>
        </w:rPr>
      </w:pPr>
      <w:r w:rsidRPr="00407820">
        <w:rPr>
          <w:rFonts w:eastAsia="SimSun" w:cs="Arial"/>
          <w:lang w:eastAsia="zh-CN"/>
        </w:rPr>
        <w:t>Osim Zakona o zaštiti okoliša, i Zakon o arhivskom gradivu i arhivima („Narodne novine“, broj 61/18, 98/19, 114/22 i 36/24) Povjereniku je dao u nadležnost provođenje drugostupanjskog postupka u predmetima odobravanja pristupa gradivu koje nije javno dostupno.</w:t>
      </w:r>
    </w:p>
    <w:p w14:paraId="73C82180" w14:textId="77777777" w:rsidR="00407820" w:rsidRPr="00407820" w:rsidRDefault="00407820" w:rsidP="00407820">
      <w:pPr>
        <w:shd w:val="clear" w:color="auto" w:fill="FFFFFF"/>
        <w:rPr>
          <w:rFonts w:eastAsia="SimSun" w:cs="Arial"/>
          <w:lang w:eastAsia="zh-CN"/>
        </w:rPr>
      </w:pPr>
      <w:r w:rsidRPr="00407820">
        <w:rPr>
          <w:rFonts w:eastAsia="SimSun" w:cs="Arial"/>
          <w:lang w:eastAsia="zh-CN"/>
        </w:rPr>
        <w:t xml:space="preserve">Korisnik koji traži gradivo ili podatke koji nisu u smislu Zakona o arhivskom gradivu i arhivima javno dostupni, u zahtjevu za pristup gradivu treba navesti razloge koji su nužni za utvrđivanje njegova prava na pristup gradivu, a državni arhiv i arhiv JLP(R)S obvezni su o zahtjevu za pristup javnom arhivskom gradivu odlučiti rješenjem, vodeći računa o žurnosti zahtjeva i o tome da rok za postupanje ne može biti dulji od rokova koji su utvrđeni ZPPI-jem. </w:t>
      </w:r>
    </w:p>
    <w:p w14:paraId="5FBA1C1E" w14:textId="77777777" w:rsidR="00407820" w:rsidRPr="00407820" w:rsidRDefault="00407820" w:rsidP="00407820">
      <w:pPr>
        <w:shd w:val="clear" w:color="auto" w:fill="FFFFFF"/>
        <w:rPr>
          <w:rFonts w:eastAsia="SimSun" w:cs="Arial"/>
          <w:lang w:eastAsia="zh-CN"/>
        </w:rPr>
      </w:pPr>
      <w:r w:rsidRPr="00407820">
        <w:rPr>
          <w:rFonts w:eastAsia="SimSun" w:cs="Arial"/>
          <w:lang w:eastAsia="zh-CN"/>
        </w:rPr>
        <w:t xml:space="preserve">U 2025. Povjerenik je zaprimio  jednu žalbu koja se odnosi na dostupnost arhivskog gradiva te </w:t>
      </w:r>
      <w:r w:rsidRPr="00021548">
        <w:rPr>
          <w:rFonts w:eastAsia="SimSun" w:cs="Arial"/>
          <w:lang w:eastAsia="zh-CN"/>
        </w:rPr>
        <w:t>je ista prenesena u rad u 2026., dok žalbi prenesenih iz ranijeg razdoblja nije bilo.</w:t>
      </w:r>
    </w:p>
    <w:p w14:paraId="72F09214" w14:textId="01D5850B" w:rsidR="006D7D67" w:rsidRPr="00B6245D" w:rsidRDefault="00407820" w:rsidP="00407820">
      <w:pPr>
        <w:shd w:val="clear" w:color="auto" w:fill="FFFFFF"/>
        <w:rPr>
          <w:rFonts w:eastAsia="SimSun" w:cs="Arial"/>
          <w:lang w:eastAsia="zh-CN"/>
        </w:rPr>
      </w:pPr>
      <w:r w:rsidRPr="00407820">
        <w:rPr>
          <w:rFonts w:eastAsia="SimSun" w:cs="Arial"/>
          <w:lang w:eastAsia="zh-CN"/>
        </w:rPr>
        <w:lastRenderedPageBreak/>
        <w:t>Zaprimljena žalba bila je izjavljene zbog šutnje uprave odnosno zbog neodlučivanja Gradske knjižnice i čitaonice Vinkovci o zahtjevu trgovačkog društva za pristup arhivskom gradivu.</w:t>
      </w:r>
      <w:r w:rsidR="006D7D67" w:rsidRPr="00B6245D">
        <w:rPr>
          <w:rFonts w:eastAsia="SimSun" w:cs="Arial"/>
          <w:lang w:eastAsia="zh-CN"/>
        </w:rPr>
        <w:t xml:space="preserve"> </w:t>
      </w:r>
    </w:p>
    <w:p w14:paraId="41AA09F8" w14:textId="349EEC5D" w:rsidR="00251FAA" w:rsidRPr="00F0315E" w:rsidRDefault="00251FAA" w:rsidP="00811052">
      <w:pPr>
        <w:pStyle w:val="Naslov2"/>
        <w:ind w:left="1276" w:hanging="567"/>
      </w:pPr>
      <w:bookmarkStart w:id="244" w:name="_Toc225865647"/>
      <w:r>
        <w:t>Pristupačnost mrežnih stranica i programskih rješenja za pokretne uređaje</w:t>
      </w:r>
      <w:bookmarkEnd w:id="244"/>
    </w:p>
    <w:p w14:paraId="7381995B" w14:textId="77777777" w:rsidR="000F7B5C" w:rsidRPr="000F7B5C" w:rsidRDefault="000F7B5C" w:rsidP="000F7B5C">
      <w:pPr>
        <w:rPr>
          <w:rFonts w:cs="Arial"/>
        </w:rPr>
      </w:pPr>
      <w:bookmarkStart w:id="245" w:name="_Toc36309000"/>
      <w:bookmarkStart w:id="246" w:name="_Toc66103193"/>
      <w:bookmarkEnd w:id="238"/>
      <w:bookmarkEnd w:id="239"/>
      <w:bookmarkEnd w:id="240"/>
      <w:r w:rsidRPr="000F7B5C">
        <w:rPr>
          <w:rFonts w:cs="Arial"/>
        </w:rPr>
        <w:t xml:space="preserve">Sukladno obvezi iz članka 11. stavka 1. Zakon o pristupačnosti mrežnih stranica i programskih rješenja za pokretne uređaje tijela javnog sektora („Narodne novine“, broj 17/2019; dalje u tekstu: Zakon o pristupačnosti), Povjerenik je u drugoj polovici 2025. proveo godišnje praćenje usklađenosti mrežnih stranica i programskih rješenja za pokretne uređaje tijela javnog sektora sa zahtjevima pristupačnosti. Praćenje je provedeno sukladno metodologiji praćenja utvrđenoj Provedbenom odlukom Komisije (EU) 2018/1524. </w:t>
      </w:r>
    </w:p>
    <w:p w14:paraId="4DE53B1C" w14:textId="77777777" w:rsidR="000F7B5C" w:rsidRPr="000F7B5C" w:rsidRDefault="000F7B5C" w:rsidP="000F7B5C">
      <w:pPr>
        <w:rPr>
          <w:rFonts w:cs="Arial"/>
        </w:rPr>
      </w:pPr>
      <w:r w:rsidRPr="000F7B5C">
        <w:rPr>
          <w:rFonts w:cs="Arial"/>
        </w:rPr>
        <w:t>Temeljni uzorak za praćenje sastojao se od 155 mrežnih stranica za pojednostavljeno praćenje, 18 mrežnih stranica za dubinsko praćenje i 10 mobilnih aplikacija.  Uzorak je utvrđen prema službenoj statističkoj teritorijalnoj podjeli RH (NUTS 2, NUTS 3 i LAU razina) te prema osam utvrđenih kategorija usluga koje tijela javnog sektora pružaju (socijalna zaštita; zdravstvo; prijevoz; obrazovanje; zapošljavanje i porezi; zaštita okoliša, rekreacija i kultura; unaprjeđenje stanovanja i zajednica te javni red i sigurnost), a u određivanju uzorka vodilo se računa o geografski uravnoteženoj distribuciji uzorka.</w:t>
      </w:r>
    </w:p>
    <w:p w14:paraId="6E196F2B" w14:textId="77777777" w:rsidR="000F7B5C" w:rsidRPr="000F7B5C" w:rsidRDefault="000F7B5C" w:rsidP="000F7B5C">
      <w:pPr>
        <w:rPr>
          <w:rFonts w:cs="Arial"/>
        </w:rPr>
      </w:pPr>
      <w:r w:rsidRPr="000F7B5C">
        <w:rPr>
          <w:rFonts w:cs="Arial"/>
        </w:rPr>
        <w:t>Pojednostavljeno i dubinsko praćenje mrežnih stranica obuhvatilo je ukupno 87 zahtjeva pristupačnosti za mrežne stranice, a praćenjem mobilnih aplikacija obuhvaćena su 102 zahtjeva za mobilne aplikacije. S ciljem dobivanja što preciznijih rezultata o praktičnoj upotrebljivosti mrežnih stranica i mobilnih aplikacija za osobe s invaliditetom, testiranje pristupačnosti provedeno je manualno, a proveli su ga vanjski suradnici (osobe s invaliditetom), predstavnici krovnih nacionalnih udruga osoba s invaliditetom (Zajednica saveza osoba s invaliditetom Hrvatske i Hrvatski savez slijepih).</w:t>
      </w:r>
    </w:p>
    <w:p w14:paraId="60CAC832" w14:textId="77777777" w:rsidR="000F7B5C" w:rsidRPr="000F7B5C" w:rsidRDefault="000F7B5C" w:rsidP="000F7B5C">
      <w:pPr>
        <w:rPr>
          <w:rFonts w:cs="Arial"/>
        </w:rPr>
      </w:pPr>
      <w:r w:rsidRPr="000F7B5C">
        <w:rPr>
          <w:rFonts w:cs="Arial"/>
        </w:rPr>
        <w:t>Praćenjem je ustanovljeno da 104 mrežne stranice zadovoljavaju više od 75% zahtjeva pristupačnosti, a 31 mrežna stranica zadovoljila je više od 90% zahtjeva. Promatrajući po regijama, sa zahtjevima pristupačnosti u prosjeku najviše su usklađene stranice Jadranske regije (81% usklađenosti) a najmanje Panonske regije (71% usklađenosti). Najveća prosječna pristupačnost zabilježena je u djelatnosti zdravstva i socijalne zaštite (82%), a najniža u području odgoja, obrazovanja, znanosti i sporta (71%).</w:t>
      </w:r>
    </w:p>
    <w:p w14:paraId="5E6EFE81" w14:textId="77777777" w:rsidR="000F7B5C" w:rsidRPr="000F7B5C" w:rsidRDefault="000F7B5C" w:rsidP="000F7B5C">
      <w:pPr>
        <w:rPr>
          <w:rFonts w:cs="Arial"/>
        </w:rPr>
      </w:pPr>
      <w:r w:rsidRPr="000F7B5C">
        <w:rPr>
          <w:rFonts w:cs="Arial"/>
        </w:rPr>
        <w:t>Kao i sva dosadašnja praćenja, i ovo je pokazalo kako se prosječni rezultati gotovo ne razlikuju ako praćena tijela javnog sektora podijelimo po regijama ili po razinama.</w:t>
      </w:r>
    </w:p>
    <w:p w14:paraId="63267A9F" w14:textId="386CF8C6" w:rsidR="000F7B5C" w:rsidRPr="000F7B5C" w:rsidRDefault="000F7B5C" w:rsidP="000F7B5C">
      <w:pPr>
        <w:rPr>
          <w:rFonts w:cs="Arial"/>
        </w:rPr>
      </w:pPr>
      <w:r w:rsidRPr="000F7B5C">
        <w:rPr>
          <w:rFonts w:cs="Arial"/>
        </w:rPr>
        <w:t xml:space="preserve">U zajedničkoj organizaciji Ministarstva pravosuđa, uprave i digitalne transformacije, Državne škole za javnu upravu i Povjerenika za informiranje, 23. rujna 2025. održan je šesti online okrugli stol „Digitalna pristupačnost – od zakona do prakse“, koji je okupio 230 polaznika i </w:t>
      </w:r>
      <w:r w:rsidR="00AF25DD">
        <w:rPr>
          <w:rFonts w:cs="Arial"/>
        </w:rPr>
        <w:t xml:space="preserve">predstavnika </w:t>
      </w:r>
      <w:r w:rsidRPr="000F7B5C">
        <w:rPr>
          <w:rFonts w:cs="Arial"/>
        </w:rPr>
        <w:t>udruga, tijela javnog sektora i akademske zajednice, s ciljem analize stanja u provedbi zakona o digitalnoj pristupačnosti, identificiranja prepreka i izazova te rasprave o prilikama koje donosi umjetna inteligencija.</w:t>
      </w:r>
    </w:p>
    <w:p w14:paraId="563B04D8" w14:textId="77777777" w:rsidR="000F7B5C" w:rsidRPr="000F7B5C" w:rsidRDefault="000F7B5C" w:rsidP="000F7B5C">
      <w:pPr>
        <w:rPr>
          <w:rFonts w:cs="Arial"/>
        </w:rPr>
      </w:pPr>
      <w:r w:rsidRPr="000F7B5C">
        <w:rPr>
          <w:rFonts w:cs="Arial"/>
        </w:rPr>
        <w:lastRenderedPageBreak/>
        <w:t>Na okruglom stolu, istaknuto je da je digitalna pristupačnost temeljno pravo, a ne samo tehničko pitanje te naglašena potreba za sustavnom podrškom i praćenjem zakonskih obveza kako bi se osigurala jednakopravna digitalna uključenost svih građana. Istaknuto je kako novi Zakon o zahtjevima za pristupačnost proizvoda i usluga proširuje obveze digitalne pristupačnosti s javnog sektora na privatne pružatelje usluga, u skladu s Europskim aktom o pristupačnosti. Upozoreno je na neke preostale praznine, poput pristupačnosti građevina i prijevoza, te na poteškoće javnih tijela u potpunom usklađivanju sa standardima, osobito za osobe s oštećenjem vida. Osim toga, naglašena je važnost jačanja edukacije pružatelja usluga, uključivanja osoba s invaliditetom u testiranje i evaluaciju digitalnih rješenja te poboljšanja nadzora i mehanizama prijave nepristupačnih sadržaja. Na okruglom stolu raspravljalo se i o ulozi umjetne inteligencije te regulaciji AI tehnologija kojom bi trebalo spriječiti rizike diskriminacije bez zaštite prava. Zaključak je okruglog stola kako je potrebno pojačati edukaciju svih dionika u području digitalne pristupačnosti, obavezno uključiti osobe s invaliditetom u dizajn i testiranje digitalnih rješenja te osigurati inkluzivnost novih tehnologija.</w:t>
      </w:r>
    </w:p>
    <w:p w14:paraId="3135BF91" w14:textId="77777777" w:rsidR="000F7B5C" w:rsidRPr="000F7B5C" w:rsidRDefault="000F7B5C" w:rsidP="000F7B5C">
      <w:pPr>
        <w:rPr>
          <w:rFonts w:cs="Arial"/>
        </w:rPr>
      </w:pPr>
      <w:r w:rsidRPr="000F7B5C">
        <w:rPr>
          <w:rFonts w:cs="Arial"/>
        </w:rPr>
        <w:t>Tijekom 2025. godine tečaj trajno dostupnog programa samostalnog e-učenja Državne škole za javnu upravu „Digitalna pristupačnost“, koji je osmišljen u suradnji s nacionalnim krovnim udrugama osoba s invaliditetom, sa svrhom osposobljavanja zaposlenika tijela javnog sektora i drugih relevantnih dionika za izradu, upravljanje i održavanje sadržaja internetskih stranica i mobilnih aplikacija sukladno zahtjevima digitalne pristupačnosti, završilo je 100 polaznika.</w:t>
      </w:r>
    </w:p>
    <w:p w14:paraId="0D721049" w14:textId="7602E322" w:rsidR="006D7D67" w:rsidRPr="00D24DD7" w:rsidRDefault="000F7B5C" w:rsidP="000F7B5C">
      <w:pPr>
        <w:rPr>
          <w:rFonts w:cs="Arial"/>
        </w:rPr>
      </w:pPr>
      <w:r w:rsidRPr="000F7B5C">
        <w:rPr>
          <w:rFonts w:cs="Arial"/>
        </w:rPr>
        <w:t>U EU, pa tako i u Hrvatskoj, na snazi je Uredba (EU) 2024/1689 Europskog parlamenta i Vijeća od 13. lipnja 2024. o utvrđivanju usklađenih pravila o umjetnoj inteligenciji (Akt o umjetnoj inteligenciji), koja veliki naglasak stavlja na važnost zaštite osoba s invaliditetom, koji su prepoznati kao skupina koja bi uporabom umjetne inteligencije se mogla posebno naći u opasnosti od diskriminacije. Uredba prepoznaje važnost primjene univerzalnih načela dizajna na sve nove tehnologije i usluge te navodi kako će se uporabom i razvojem UI moći postići potpun i ravnopravan pristup za sve osobe, posebno naglašava važnost da dobavljači osiguraju potpunu usklađenost sa zahtjevima u pogledu pristupačnosti, uključujući Direktivu (EU) 2016/2102 Europskog parlamenta i Vijeća (38) i Direktivu (EU) 2019/882. Uredba se referira i na Konvenciju Ujedinjenih naroda o pravima osoba s invaliditetom, Unija i države članice imaju pravnu obvezu štititi osobe s invaliditetom od diskriminacije i promicati njihovu ravnopravnost, osigurati da osobe s invaliditetom imaju pristup informacijskim i komunikacijskim tehnologijama i sustavima na ravnopravnoj osnovi te zajamčiti poštovanje privatnosti osoba s invaliditetom.</w:t>
      </w:r>
    </w:p>
    <w:p w14:paraId="757ACDAF" w14:textId="09671311" w:rsidR="00217FEC" w:rsidRPr="00F0315E" w:rsidRDefault="00217FEC" w:rsidP="000A5DD6">
      <w:pPr>
        <w:rPr>
          <w:rFonts w:cs="Arial"/>
        </w:rPr>
      </w:pPr>
    </w:p>
    <w:p w14:paraId="4809105D" w14:textId="77777777" w:rsidR="004C73A6" w:rsidRPr="00F0315E" w:rsidRDefault="004C73A6" w:rsidP="00B25C5B">
      <w:pPr>
        <w:spacing w:after="0" w:line="240" w:lineRule="auto"/>
        <w:jc w:val="left"/>
        <w:rPr>
          <w:rFonts w:cs="Arial"/>
          <w:b/>
          <w:bCs/>
          <w:kern w:val="32"/>
          <w:sz w:val="23"/>
          <w:szCs w:val="23"/>
        </w:rPr>
      </w:pPr>
      <w:r w:rsidRPr="00F0315E">
        <w:rPr>
          <w:rFonts w:cs="Arial"/>
          <w:sz w:val="23"/>
          <w:szCs w:val="23"/>
        </w:rPr>
        <w:br w:type="page"/>
      </w:r>
    </w:p>
    <w:p w14:paraId="5FCF05CA" w14:textId="77777777" w:rsidR="00F97385" w:rsidRPr="00F0315E" w:rsidRDefault="00F97385" w:rsidP="007B4CE1">
      <w:pPr>
        <w:pStyle w:val="Naslov1"/>
        <w:numPr>
          <w:ilvl w:val="0"/>
          <w:numId w:val="0"/>
        </w:numPr>
        <w:ind w:left="1022"/>
      </w:pPr>
      <w:bookmarkStart w:id="247" w:name="_Toc162445810"/>
      <w:bookmarkStart w:id="248" w:name="_Toc225865648"/>
      <w:bookmarkStart w:id="249" w:name="_Toc161838890"/>
      <w:bookmarkEnd w:id="245"/>
      <w:bookmarkEnd w:id="246"/>
      <w:r>
        <w:lastRenderedPageBreak/>
        <w:t>D)</w:t>
      </w:r>
      <w:r>
        <w:tab/>
        <w:t>URED POVJERENIKA</w:t>
      </w:r>
      <w:bookmarkEnd w:id="247"/>
      <w:bookmarkEnd w:id="248"/>
    </w:p>
    <w:p w14:paraId="0B767B6F" w14:textId="638D9900" w:rsidR="008C138E" w:rsidRPr="00F0315E" w:rsidRDefault="008C138E" w:rsidP="007B4CE1">
      <w:pPr>
        <w:pStyle w:val="Naslov1"/>
      </w:pPr>
      <w:bookmarkStart w:id="250" w:name="_Toc225865649"/>
      <w:r>
        <w:t>Ured povjerenika</w:t>
      </w:r>
      <w:bookmarkEnd w:id="250"/>
    </w:p>
    <w:p w14:paraId="02EA328F" w14:textId="4A3385EB" w:rsidR="00AA45FE" w:rsidRPr="00F0315E" w:rsidRDefault="00AA45FE" w:rsidP="00811052">
      <w:pPr>
        <w:pStyle w:val="Naslov2"/>
        <w:ind w:left="1276" w:hanging="567"/>
      </w:pPr>
      <w:bookmarkStart w:id="251" w:name="_Toc225865650"/>
      <w:bookmarkStart w:id="252" w:name="_Toc162445811"/>
      <w:bookmarkStart w:id="253" w:name="_Toc68002364"/>
      <w:bookmarkEnd w:id="249"/>
      <w:r>
        <w:t>Općenito o Uredu</w:t>
      </w:r>
      <w:bookmarkEnd w:id="251"/>
      <w:r>
        <w:t xml:space="preserve"> </w:t>
      </w:r>
      <w:bookmarkEnd w:id="252"/>
    </w:p>
    <w:p w14:paraId="47305872" w14:textId="77777777" w:rsidR="0098040C" w:rsidRPr="0098040C" w:rsidRDefault="0098040C" w:rsidP="0098040C">
      <w:pPr>
        <w:rPr>
          <w:rFonts w:cs="Arial"/>
        </w:rPr>
      </w:pPr>
      <w:r w:rsidRPr="0098040C">
        <w:rPr>
          <w:rFonts w:cs="Arial"/>
        </w:rPr>
        <w:t xml:space="preserve">Sukladno članku 39. stavku 1. Zakona, Povjerenik ima Ured povjerenika kao stručnu službu, čije je unutarnje ustrojstvo uređeno Poslovnikom Povjerenika za informiranje. </w:t>
      </w:r>
    </w:p>
    <w:p w14:paraId="24BDF724" w14:textId="77777777" w:rsidR="0098040C" w:rsidRPr="0098040C" w:rsidRDefault="0098040C" w:rsidP="0098040C">
      <w:pPr>
        <w:rPr>
          <w:rFonts w:cs="Arial"/>
        </w:rPr>
      </w:pPr>
      <w:r w:rsidRPr="0098040C">
        <w:rPr>
          <w:rFonts w:cs="Arial"/>
        </w:rPr>
        <w:t xml:space="preserve">U Uredu povjerenika su ustrojene tri službe za pojedina područja rada i sistematizirano je 17 radnih mjesta s ukupno 30 izvršitelja. </w:t>
      </w:r>
    </w:p>
    <w:p w14:paraId="26BEEA55" w14:textId="77777777" w:rsidR="0098040C" w:rsidRPr="0098040C" w:rsidRDefault="0098040C" w:rsidP="0098040C">
      <w:pPr>
        <w:rPr>
          <w:rFonts w:cs="Arial"/>
        </w:rPr>
      </w:pPr>
      <w:r w:rsidRPr="0098040C">
        <w:rPr>
          <w:rFonts w:cs="Arial"/>
        </w:rPr>
        <w:t>Informacije o radu Ureda povjerenika vidljive su kroz aktivnosti koje su analizirane u prethodnim poglavljima, a u nastavku slijede podaci o kadrovskim i financijskim aktivnostima Ureda povjerenika u 2025. godini.</w:t>
      </w:r>
    </w:p>
    <w:p w14:paraId="053098F2" w14:textId="77777777" w:rsidR="0098040C" w:rsidRPr="0098040C" w:rsidRDefault="0098040C" w:rsidP="0098040C">
      <w:pPr>
        <w:rPr>
          <w:rFonts w:cs="Arial"/>
        </w:rPr>
      </w:pPr>
      <w:r w:rsidRPr="0098040C">
        <w:rPr>
          <w:rFonts w:cs="Arial"/>
        </w:rPr>
        <w:t xml:space="preserve">Stručne poslove u Uredu povjerenika obavljaju državni službenici. </w:t>
      </w:r>
    </w:p>
    <w:p w14:paraId="66B7EE78" w14:textId="34683C21" w:rsidR="00AA45FE" w:rsidRPr="00F0315E" w:rsidRDefault="0098040C" w:rsidP="0098040C">
      <w:pPr>
        <w:rPr>
          <w:rFonts w:cs="Arial"/>
        </w:rPr>
      </w:pPr>
      <w:r w:rsidRPr="0098040C">
        <w:rPr>
          <w:rFonts w:cs="Arial"/>
        </w:rPr>
        <w:t>Na dan 31. prosinca 2025. godine, uz povjerenicu kao državnu dužnosnicu, bilo je zaposleno 19 državnih službenika, odnosno 63% od ukupnog broja predviđenih izvršitelja, i to</w:t>
      </w:r>
      <w:r w:rsidR="00AA45FE" w:rsidRPr="00F0315E">
        <w:rPr>
          <w:rFonts w:cs="Arial"/>
        </w:rPr>
        <w:t xml:space="preserve">: </w:t>
      </w:r>
    </w:p>
    <w:p w14:paraId="3944637D" w14:textId="0A66DDDE" w:rsidR="00AA45FE" w:rsidRPr="00F0315E" w:rsidRDefault="006D7D67" w:rsidP="005F0EC0">
      <w:pPr>
        <w:numPr>
          <w:ilvl w:val="0"/>
          <w:numId w:val="2"/>
        </w:numPr>
        <w:spacing w:after="0"/>
        <w:ind w:left="993" w:hanging="357"/>
        <w:contextualSpacing/>
        <w:rPr>
          <w:rFonts w:cs="Arial"/>
        </w:rPr>
      </w:pPr>
      <w:r>
        <w:rPr>
          <w:rFonts w:cs="Arial"/>
        </w:rPr>
        <w:t>9</w:t>
      </w:r>
      <w:r w:rsidR="00AA45FE" w:rsidRPr="00F0315E">
        <w:rPr>
          <w:rFonts w:cs="Arial"/>
        </w:rPr>
        <w:t xml:space="preserve"> u Službi za zaštitu prava na pristup informacijama - voditeljica službe, </w:t>
      </w:r>
      <w:r>
        <w:rPr>
          <w:rFonts w:cs="Arial"/>
        </w:rPr>
        <w:t>7</w:t>
      </w:r>
      <w:r w:rsidR="00AA45FE" w:rsidRPr="00F0315E">
        <w:rPr>
          <w:rFonts w:cs="Arial"/>
        </w:rPr>
        <w:t xml:space="preserve"> savjetnika Povjerenika za informiranje, 1 savjetnica;</w:t>
      </w:r>
    </w:p>
    <w:p w14:paraId="0FA974F3" w14:textId="6BA6AA7D" w:rsidR="00AA45FE" w:rsidRPr="00F0315E" w:rsidRDefault="00AA45FE" w:rsidP="005F0EC0">
      <w:pPr>
        <w:numPr>
          <w:ilvl w:val="0"/>
          <w:numId w:val="2"/>
        </w:numPr>
        <w:spacing w:after="0"/>
        <w:ind w:left="993" w:hanging="357"/>
        <w:contextualSpacing/>
        <w:rPr>
          <w:rFonts w:cs="Arial"/>
        </w:rPr>
      </w:pPr>
      <w:r w:rsidRPr="00F0315E">
        <w:rPr>
          <w:rFonts w:cs="Arial"/>
        </w:rPr>
        <w:t xml:space="preserve">7 u Službi za praćenje i promicanje prava na pristup informacijama - voditeljica službe, 5 </w:t>
      </w:r>
      <w:r w:rsidR="006B7E24" w:rsidRPr="00F0315E">
        <w:rPr>
          <w:rFonts w:cs="Arial"/>
        </w:rPr>
        <w:t xml:space="preserve">savjetnika </w:t>
      </w:r>
      <w:r w:rsidRPr="00F0315E">
        <w:rPr>
          <w:rFonts w:cs="Arial"/>
        </w:rPr>
        <w:t>Povjerenika za informiranje, 1 suradnica;</w:t>
      </w:r>
    </w:p>
    <w:p w14:paraId="72F84D24" w14:textId="77777777" w:rsidR="00AA45FE" w:rsidRPr="00F0315E" w:rsidRDefault="00AA45FE" w:rsidP="005F0EC0">
      <w:pPr>
        <w:numPr>
          <w:ilvl w:val="0"/>
          <w:numId w:val="2"/>
        </w:numPr>
        <w:spacing w:after="0"/>
        <w:ind w:left="993" w:hanging="357"/>
        <w:contextualSpacing/>
        <w:rPr>
          <w:rFonts w:cs="Arial"/>
        </w:rPr>
      </w:pPr>
      <w:r w:rsidRPr="00F0315E">
        <w:rPr>
          <w:rFonts w:cs="Arial"/>
        </w:rPr>
        <w:t>3 u Službi za opće poslove - voditeljica službe, 1 savjetnica, 1 suradnica.</w:t>
      </w:r>
    </w:p>
    <w:p w14:paraId="66D42909" w14:textId="77777777" w:rsidR="0063208D" w:rsidRPr="0063208D" w:rsidRDefault="0063208D" w:rsidP="0063208D">
      <w:pPr>
        <w:rPr>
          <w:rFonts w:cs="Arial"/>
        </w:rPr>
      </w:pPr>
      <w:r w:rsidRPr="0063208D">
        <w:rPr>
          <w:rFonts w:cs="Arial"/>
        </w:rPr>
        <w:t>Računovodstveno-financijski poslovi te poslovi održavanja informatičkog sustava povjereni su i u 2025. godini vanjskim pružateljima usluga.</w:t>
      </w:r>
    </w:p>
    <w:p w14:paraId="74371A94" w14:textId="77777777" w:rsidR="0063208D" w:rsidRPr="0063208D" w:rsidRDefault="0063208D" w:rsidP="0063208D">
      <w:pPr>
        <w:rPr>
          <w:rFonts w:cs="Arial"/>
        </w:rPr>
      </w:pPr>
      <w:r w:rsidRPr="0063208D">
        <w:rPr>
          <w:rFonts w:cs="Arial"/>
        </w:rPr>
        <w:t xml:space="preserve">Pravilnikom o unutarnjem redu Ureda povjerenika za informiranje propisano je radno vrijeme Ureda i prijam građana i drugih stranaka, slijedom čega je uredovno vrijeme za prijam građana i drugih stranaka od ponedjeljka do petka od 10.00 do 12.00 sati, a u iznimnim slučajevima, građani i druge stranke mogu se primati izvan uredovnog vremena za prijam. </w:t>
      </w:r>
    </w:p>
    <w:p w14:paraId="11161CFA" w14:textId="01039795" w:rsidR="00385DDD" w:rsidRPr="00E46DB8" w:rsidRDefault="0063208D" w:rsidP="0063208D">
      <w:pPr>
        <w:rPr>
          <w:rFonts w:cs="Arial"/>
        </w:rPr>
      </w:pPr>
      <w:r w:rsidRPr="0063208D">
        <w:rPr>
          <w:rFonts w:cs="Arial"/>
        </w:rPr>
        <w:t>Ujedno je za korisnike i tijela javne vlasti dostupan info telefon koji služi za općenite informacije o ostvarivanju prava na pristup informacijama (od ponedjeljka do petka od 9:00 d0 10:00 sati. Korisnici obavijest o tijeku postupka i mogućnost razgledavanja spisa predmeta, ako dokažu pravni interes, mogu dogovoriti putem emaila</w:t>
      </w:r>
      <w:r w:rsidR="00385DDD" w:rsidRPr="00E46DB8">
        <w:rPr>
          <w:rFonts w:cs="Arial"/>
        </w:rPr>
        <w:t xml:space="preserve">: </w:t>
      </w:r>
      <w:hyperlink r:id="rId42" w:history="1">
        <w:r w:rsidR="00385DDD" w:rsidRPr="008C7CE3">
          <w:rPr>
            <w:rStyle w:val="Hiperveza"/>
            <w:rFonts w:cs="Arial"/>
          </w:rPr>
          <w:t>ppi@pristupinfo.hr</w:t>
        </w:r>
      </w:hyperlink>
      <w:r w:rsidR="00385DDD" w:rsidRPr="00E46DB8">
        <w:rPr>
          <w:rFonts w:cs="Arial"/>
        </w:rPr>
        <w:t xml:space="preserve">. </w:t>
      </w:r>
    </w:p>
    <w:p w14:paraId="32570A4F" w14:textId="35A557F2" w:rsidR="00AA45FE" w:rsidRPr="00F0315E" w:rsidRDefault="00AA45FE" w:rsidP="00811052">
      <w:pPr>
        <w:pStyle w:val="Naslov2"/>
        <w:ind w:left="1276" w:hanging="567"/>
      </w:pPr>
      <w:bookmarkStart w:id="254" w:name="_Toc225865651"/>
      <w:r>
        <w:t>Financiranje Ureda</w:t>
      </w:r>
      <w:bookmarkEnd w:id="254"/>
      <w:r>
        <w:t xml:space="preserve"> </w:t>
      </w:r>
    </w:p>
    <w:p w14:paraId="7F5BBEE0" w14:textId="77777777" w:rsidR="00805753" w:rsidRPr="00805753" w:rsidRDefault="00805753" w:rsidP="00805753">
      <w:pPr>
        <w:rPr>
          <w:rFonts w:cs="Arial"/>
        </w:rPr>
      </w:pPr>
      <w:r w:rsidRPr="00805753">
        <w:rPr>
          <w:rFonts w:cs="Arial"/>
        </w:rPr>
        <w:t xml:space="preserve">Ukupni iznos sredstva osiguranih u državnom proračunu u 2025. godini, Glava 258 Povjerenik za informiranje, iznosio je 967.870,00 EUR. Sredstva osigurana na Izvoru 11 tijekom 2025. godine uključivala su financiranje aktivnosti A874001 Administracija i upravljanje u iznosu 957.870,00 EUR i aktivnosti K874004 Informatizacija u iznosu 10.000,00 EUR. Ukupni prihodi </w:t>
      </w:r>
      <w:r w:rsidRPr="00805753">
        <w:rPr>
          <w:rFonts w:cs="Arial"/>
        </w:rPr>
        <w:lastRenderedPageBreak/>
        <w:t>povećani su u odnosu na 2024. godinu (875.403,68 EUR) prvenstveno zbog povećanih rashoda za plaće i ostale rashode za zaposlene.</w:t>
      </w:r>
    </w:p>
    <w:p w14:paraId="7DB69301" w14:textId="77777777" w:rsidR="00805753" w:rsidRPr="00805753" w:rsidRDefault="00805753" w:rsidP="00805753">
      <w:pPr>
        <w:rPr>
          <w:rFonts w:cs="Arial"/>
        </w:rPr>
      </w:pPr>
      <w:r w:rsidRPr="00805753">
        <w:rPr>
          <w:rFonts w:cs="Arial"/>
        </w:rPr>
        <w:t xml:space="preserve">Povjereniku za informiranje je tijekom 2025. godine bilo na raspolaganju ukupno 967.870,00 EUR, i to na izvoru 11, a koji je jedini izvor i s kojeg je izvršeno ukupno 919.071,70 EUR, odnosno 94,96% planiranih sredstava. Neutrošena sredstva vraćena su u ukupnom iznosu od 48.798,30 EUR. Financijsko-materijalno upravljanje Uredom povjerenika nastavljeno je, kao i prethodnih godina, izrazito racionalno i pažljivo. </w:t>
      </w:r>
    </w:p>
    <w:p w14:paraId="0CE60D13" w14:textId="60328279" w:rsidR="00385DDD" w:rsidRPr="008055B9" w:rsidRDefault="00805753" w:rsidP="00805753">
      <w:pPr>
        <w:rPr>
          <w:rFonts w:cs="Arial"/>
        </w:rPr>
      </w:pPr>
      <w:r w:rsidRPr="00805753">
        <w:rPr>
          <w:rFonts w:cs="Arial"/>
        </w:rPr>
        <w:t>U nastavku se nalazi pregled sredstava i izvršenja tijekom 2025. godine</w:t>
      </w:r>
      <w:r w:rsidR="00385DDD" w:rsidRPr="008055B9">
        <w:rPr>
          <w:rFonts w:cs="Arial"/>
        </w:rPr>
        <w:t>.</w:t>
      </w:r>
    </w:p>
    <w:p w14:paraId="50D655A1" w14:textId="555D998C" w:rsidR="003D2D3A" w:rsidRDefault="00AA45FE" w:rsidP="003D2D3A">
      <w:pPr>
        <w:widowControl w:val="0"/>
        <w:spacing w:before="240" w:after="0"/>
        <w:rPr>
          <w:rFonts w:eastAsia="Malgun Gothic" w:cs="Arial"/>
          <w:sz w:val="18"/>
          <w:szCs w:val="18"/>
          <w:lang w:eastAsia="ko-KR"/>
        </w:rPr>
      </w:pPr>
      <w:r w:rsidRPr="00F0315E">
        <w:rPr>
          <w:rFonts w:eastAsia="Malgun Gothic" w:cs="Arial"/>
          <w:sz w:val="18"/>
          <w:szCs w:val="18"/>
          <w:lang w:eastAsia="ko-KR"/>
        </w:rPr>
        <w:t xml:space="preserve">Tablica </w:t>
      </w:r>
      <w:r w:rsidR="001F6484" w:rsidRPr="00F0315E">
        <w:rPr>
          <w:rFonts w:eastAsia="Malgun Gothic" w:cs="Arial"/>
          <w:sz w:val="18"/>
          <w:szCs w:val="18"/>
          <w:lang w:eastAsia="ko-KR"/>
        </w:rPr>
        <w:t>11.1.</w:t>
      </w:r>
      <w:r w:rsidRPr="00F0315E">
        <w:rPr>
          <w:rFonts w:eastAsia="Malgun Gothic" w:cs="Arial"/>
          <w:sz w:val="18"/>
          <w:szCs w:val="18"/>
          <w:lang w:eastAsia="ko-KR"/>
        </w:rPr>
        <w:t xml:space="preserve"> Financijski plan Povjerenika za informiranje i izvršenje u 202</w:t>
      </w:r>
      <w:r w:rsidR="00385DDD">
        <w:rPr>
          <w:rFonts w:eastAsia="Malgun Gothic" w:cs="Arial"/>
          <w:sz w:val="18"/>
          <w:szCs w:val="18"/>
          <w:lang w:eastAsia="ko-KR"/>
        </w:rPr>
        <w:t>5</w:t>
      </w:r>
      <w:r w:rsidRPr="00F0315E">
        <w:rPr>
          <w:rFonts w:eastAsia="Malgun Gothic" w:cs="Arial"/>
          <w:sz w:val="18"/>
          <w:szCs w:val="18"/>
          <w:lang w:eastAsia="ko-KR"/>
        </w:rPr>
        <w:t>.</w:t>
      </w:r>
    </w:p>
    <w:tbl>
      <w:tblPr>
        <w:tblpPr w:leftFromText="180" w:rightFromText="180" w:vertAnchor="text" w:horzAnchor="margin" w:tblpY="193"/>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3260"/>
        <w:gridCol w:w="1119"/>
        <w:gridCol w:w="1119"/>
        <w:gridCol w:w="1119"/>
        <w:gridCol w:w="1119"/>
      </w:tblGrid>
      <w:tr w:rsidR="003D2D3A" w:rsidRPr="00385DDD" w14:paraId="291766CC" w14:textId="77777777" w:rsidTr="00A14901">
        <w:trPr>
          <w:trHeight w:val="340"/>
          <w:tblHeader/>
        </w:trPr>
        <w:tc>
          <w:tcPr>
            <w:tcW w:w="636" w:type="pct"/>
            <w:vMerge w:val="restart"/>
            <w:shd w:val="clear" w:color="auto" w:fill="FFFFFF" w:themeFill="background1"/>
            <w:noWrap/>
            <w:vAlign w:val="center"/>
            <w:hideMark/>
          </w:tcPr>
          <w:p w14:paraId="104D4104" w14:textId="77777777" w:rsidR="003D2D3A" w:rsidRPr="00385DDD" w:rsidRDefault="003D2D3A" w:rsidP="00A14901">
            <w:pPr>
              <w:snapToGrid w:val="0"/>
              <w:spacing w:before="20" w:after="20" w:line="240" w:lineRule="auto"/>
              <w:ind w:hanging="37"/>
              <w:jc w:val="center"/>
              <w:rPr>
                <w:b/>
                <w:bCs/>
                <w:sz w:val="16"/>
                <w:szCs w:val="16"/>
              </w:rPr>
            </w:pPr>
            <w:r w:rsidRPr="7D481D26">
              <w:rPr>
                <w:b/>
                <w:bCs/>
                <w:sz w:val="16"/>
                <w:szCs w:val="16"/>
              </w:rPr>
              <w:t>258</w:t>
            </w:r>
          </w:p>
        </w:tc>
        <w:tc>
          <w:tcPr>
            <w:tcW w:w="1839" w:type="pct"/>
            <w:vMerge w:val="restart"/>
            <w:shd w:val="clear" w:color="auto" w:fill="FFFFFF" w:themeFill="background1"/>
            <w:noWrap/>
            <w:vAlign w:val="center"/>
            <w:hideMark/>
          </w:tcPr>
          <w:p w14:paraId="7EC3F756" w14:textId="77777777" w:rsidR="003D2D3A" w:rsidRPr="00385DDD" w:rsidRDefault="003D2D3A" w:rsidP="00A14901">
            <w:pPr>
              <w:snapToGrid w:val="0"/>
              <w:spacing w:before="20" w:after="20" w:line="240" w:lineRule="auto"/>
              <w:jc w:val="center"/>
              <w:rPr>
                <w:b/>
                <w:bCs/>
                <w:sz w:val="16"/>
                <w:szCs w:val="16"/>
              </w:rPr>
            </w:pPr>
            <w:r w:rsidRPr="00385DDD">
              <w:rPr>
                <w:b/>
                <w:bCs/>
                <w:sz w:val="16"/>
                <w:szCs w:val="16"/>
              </w:rPr>
              <w:t>POVJERENIK ZA INFORMIRANJE 2024.</w:t>
            </w:r>
          </w:p>
        </w:tc>
        <w:tc>
          <w:tcPr>
            <w:tcW w:w="631" w:type="pct"/>
            <w:vMerge w:val="restart"/>
            <w:shd w:val="clear" w:color="auto" w:fill="FFFFFF" w:themeFill="background1"/>
            <w:noWrap/>
            <w:vAlign w:val="center"/>
            <w:hideMark/>
          </w:tcPr>
          <w:p w14:paraId="3EF4A9FC" w14:textId="77777777" w:rsidR="003D2D3A" w:rsidRPr="00385DDD" w:rsidRDefault="003D2D3A" w:rsidP="00A14901">
            <w:pPr>
              <w:snapToGrid w:val="0"/>
              <w:spacing w:before="20" w:after="20" w:line="240" w:lineRule="auto"/>
              <w:jc w:val="center"/>
              <w:rPr>
                <w:b/>
                <w:bCs/>
                <w:sz w:val="16"/>
                <w:szCs w:val="16"/>
              </w:rPr>
            </w:pPr>
            <w:r w:rsidRPr="00385DDD">
              <w:rPr>
                <w:b/>
                <w:bCs/>
                <w:sz w:val="16"/>
                <w:szCs w:val="16"/>
              </w:rPr>
              <w:t>Plan</w:t>
            </w:r>
          </w:p>
        </w:tc>
        <w:tc>
          <w:tcPr>
            <w:tcW w:w="631" w:type="pct"/>
            <w:vMerge w:val="restart"/>
            <w:shd w:val="clear" w:color="auto" w:fill="FFFFFF" w:themeFill="background1"/>
            <w:vAlign w:val="center"/>
            <w:hideMark/>
          </w:tcPr>
          <w:p w14:paraId="4B29F93F" w14:textId="77777777" w:rsidR="003D2D3A" w:rsidRPr="00385DDD" w:rsidRDefault="003D2D3A" w:rsidP="00A14901">
            <w:pPr>
              <w:snapToGrid w:val="0"/>
              <w:spacing w:before="20" w:after="20" w:line="240" w:lineRule="auto"/>
              <w:jc w:val="center"/>
              <w:rPr>
                <w:b/>
                <w:bCs/>
                <w:sz w:val="16"/>
                <w:szCs w:val="16"/>
              </w:rPr>
            </w:pPr>
            <w:r w:rsidRPr="00385DDD">
              <w:rPr>
                <w:b/>
                <w:bCs/>
                <w:sz w:val="16"/>
                <w:szCs w:val="16"/>
              </w:rPr>
              <w:t>Izvršeno</w:t>
            </w:r>
          </w:p>
        </w:tc>
        <w:tc>
          <w:tcPr>
            <w:tcW w:w="631" w:type="pct"/>
            <w:vMerge w:val="restart"/>
            <w:shd w:val="clear" w:color="auto" w:fill="FFFFFF" w:themeFill="background1"/>
            <w:vAlign w:val="center"/>
            <w:hideMark/>
          </w:tcPr>
          <w:p w14:paraId="244BB16B" w14:textId="77777777" w:rsidR="003D2D3A" w:rsidRPr="00385DDD" w:rsidRDefault="003D2D3A" w:rsidP="00A14901">
            <w:pPr>
              <w:snapToGrid w:val="0"/>
              <w:spacing w:before="20" w:after="20" w:line="240" w:lineRule="auto"/>
              <w:jc w:val="center"/>
              <w:rPr>
                <w:b/>
                <w:bCs/>
                <w:sz w:val="16"/>
                <w:szCs w:val="16"/>
              </w:rPr>
            </w:pPr>
            <w:r w:rsidRPr="00385DDD">
              <w:rPr>
                <w:b/>
                <w:bCs/>
                <w:sz w:val="16"/>
                <w:szCs w:val="16"/>
              </w:rPr>
              <w:t>Izvršenje (%)</w:t>
            </w:r>
          </w:p>
        </w:tc>
        <w:tc>
          <w:tcPr>
            <w:tcW w:w="631" w:type="pct"/>
            <w:vMerge w:val="restart"/>
            <w:shd w:val="clear" w:color="auto" w:fill="FFFFFF" w:themeFill="background1"/>
            <w:vAlign w:val="center"/>
            <w:hideMark/>
          </w:tcPr>
          <w:p w14:paraId="06E20CF2" w14:textId="77777777" w:rsidR="003D2D3A" w:rsidRPr="00385DDD" w:rsidRDefault="003D2D3A" w:rsidP="00A14901">
            <w:pPr>
              <w:snapToGrid w:val="0"/>
              <w:spacing w:before="20" w:after="20" w:line="240" w:lineRule="auto"/>
              <w:jc w:val="center"/>
              <w:rPr>
                <w:b/>
                <w:bCs/>
                <w:sz w:val="16"/>
                <w:szCs w:val="16"/>
              </w:rPr>
            </w:pPr>
            <w:r w:rsidRPr="00385DDD">
              <w:rPr>
                <w:b/>
                <w:bCs/>
                <w:sz w:val="16"/>
                <w:szCs w:val="16"/>
              </w:rPr>
              <w:t>Preostalo</w:t>
            </w:r>
          </w:p>
        </w:tc>
      </w:tr>
      <w:tr w:rsidR="003D2D3A" w:rsidRPr="00385DDD" w14:paraId="06F601F2" w14:textId="77777777" w:rsidTr="00A14901">
        <w:trPr>
          <w:trHeight w:val="340"/>
          <w:tblHeader/>
        </w:trPr>
        <w:tc>
          <w:tcPr>
            <w:tcW w:w="636" w:type="pct"/>
            <w:vMerge/>
            <w:vAlign w:val="center"/>
            <w:hideMark/>
          </w:tcPr>
          <w:p w14:paraId="01CF7382" w14:textId="77777777" w:rsidR="003D2D3A" w:rsidRPr="00385DDD" w:rsidRDefault="003D2D3A" w:rsidP="00A14901">
            <w:pPr>
              <w:snapToGrid w:val="0"/>
              <w:spacing w:before="20" w:after="20" w:line="240" w:lineRule="auto"/>
              <w:jc w:val="center"/>
              <w:rPr>
                <w:sz w:val="16"/>
                <w:szCs w:val="16"/>
              </w:rPr>
            </w:pPr>
          </w:p>
        </w:tc>
        <w:tc>
          <w:tcPr>
            <w:tcW w:w="1839" w:type="pct"/>
            <w:vMerge/>
            <w:vAlign w:val="center"/>
            <w:hideMark/>
          </w:tcPr>
          <w:p w14:paraId="0E8EFC13" w14:textId="77777777" w:rsidR="003D2D3A" w:rsidRPr="00385DDD" w:rsidRDefault="003D2D3A" w:rsidP="00A14901">
            <w:pPr>
              <w:snapToGrid w:val="0"/>
              <w:spacing w:before="20" w:after="20" w:line="240" w:lineRule="auto"/>
              <w:jc w:val="center"/>
              <w:rPr>
                <w:sz w:val="16"/>
                <w:szCs w:val="16"/>
              </w:rPr>
            </w:pPr>
          </w:p>
        </w:tc>
        <w:tc>
          <w:tcPr>
            <w:tcW w:w="631" w:type="pct"/>
            <w:vMerge/>
            <w:vAlign w:val="center"/>
            <w:hideMark/>
          </w:tcPr>
          <w:p w14:paraId="1E692113" w14:textId="77777777" w:rsidR="003D2D3A" w:rsidRPr="00385DDD" w:rsidRDefault="003D2D3A" w:rsidP="00A14901">
            <w:pPr>
              <w:snapToGrid w:val="0"/>
              <w:spacing w:before="20" w:after="20" w:line="240" w:lineRule="auto"/>
              <w:jc w:val="center"/>
              <w:rPr>
                <w:sz w:val="16"/>
                <w:szCs w:val="16"/>
              </w:rPr>
            </w:pPr>
          </w:p>
        </w:tc>
        <w:tc>
          <w:tcPr>
            <w:tcW w:w="631" w:type="pct"/>
            <w:vMerge/>
            <w:vAlign w:val="center"/>
            <w:hideMark/>
          </w:tcPr>
          <w:p w14:paraId="42269AE9" w14:textId="77777777" w:rsidR="003D2D3A" w:rsidRPr="00385DDD" w:rsidRDefault="003D2D3A" w:rsidP="00A14901">
            <w:pPr>
              <w:snapToGrid w:val="0"/>
              <w:spacing w:before="20" w:after="20" w:line="240" w:lineRule="auto"/>
              <w:jc w:val="center"/>
              <w:rPr>
                <w:sz w:val="16"/>
                <w:szCs w:val="16"/>
              </w:rPr>
            </w:pPr>
          </w:p>
        </w:tc>
        <w:tc>
          <w:tcPr>
            <w:tcW w:w="631" w:type="pct"/>
            <w:vMerge/>
            <w:vAlign w:val="center"/>
            <w:hideMark/>
          </w:tcPr>
          <w:p w14:paraId="5E11C1A5" w14:textId="77777777" w:rsidR="003D2D3A" w:rsidRPr="00385DDD" w:rsidRDefault="003D2D3A" w:rsidP="00A14901">
            <w:pPr>
              <w:snapToGrid w:val="0"/>
              <w:spacing w:before="20" w:after="20" w:line="240" w:lineRule="auto"/>
              <w:jc w:val="center"/>
              <w:rPr>
                <w:sz w:val="16"/>
                <w:szCs w:val="16"/>
              </w:rPr>
            </w:pPr>
          </w:p>
        </w:tc>
        <w:tc>
          <w:tcPr>
            <w:tcW w:w="631" w:type="pct"/>
            <w:vMerge/>
            <w:vAlign w:val="center"/>
            <w:hideMark/>
          </w:tcPr>
          <w:p w14:paraId="6A3ED172" w14:textId="77777777" w:rsidR="003D2D3A" w:rsidRPr="00385DDD" w:rsidRDefault="003D2D3A" w:rsidP="00A14901">
            <w:pPr>
              <w:snapToGrid w:val="0"/>
              <w:spacing w:before="20" w:after="20" w:line="240" w:lineRule="auto"/>
              <w:jc w:val="center"/>
              <w:rPr>
                <w:sz w:val="16"/>
                <w:szCs w:val="16"/>
              </w:rPr>
            </w:pPr>
          </w:p>
        </w:tc>
      </w:tr>
      <w:tr w:rsidR="00385DDD" w:rsidRPr="00385DDD" w14:paraId="50601D86" w14:textId="77777777" w:rsidTr="00A14901">
        <w:trPr>
          <w:trHeight w:val="340"/>
        </w:trPr>
        <w:tc>
          <w:tcPr>
            <w:tcW w:w="636" w:type="pct"/>
            <w:shd w:val="clear" w:color="auto" w:fill="DCE6F1"/>
            <w:noWrap/>
            <w:vAlign w:val="center"/>
            <w:hideMark/>
          </w:tcPr>
          <w:p w14:paraId="26B55A3C"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lang w:val="hr-BA"/>
              </w:rPr>
              <w:t>25805</w:t>
            </w:r>
          </w:p>
        </w:tc>
        <w:tc>
          <w:tcPr>
            <w:tcW w:w="1839" w:type="pct"/>
            <w:shd w:val="clear" w:color="auto" w:fill="DCE6F1"/>
            <w:noWrap/>
            <w:vAlign w:val="center"/>
            <w:hideMark/>
          </w:tcPr>
          <w:p w14:paraId="165387EA" w14:textId="77777777" w:rsidR="00385DDD" w:rsidRPr="00385DDD" w:rsidRDefault="00385DDD" w:rsidP="00A14901">
            <w:pPr>
              <w:snapToGrid w:val="0"/>
              <w:spacing w:before="20" w:after="20" w:line="240" w:lineRule="auto"/>
              <w:rPr>
                <w:sz w:val="16"/>
                <w:szCs w:val="16"/>
              </w:rPr>
            </w:pPr>
            <w:r w:rsidRPr="00385DDD">
              <w:rPr>
                <w:sz w:val="16"/>
                <w:szCs w:val="16"/>
              </w:rPr>
              <w:t>POVJERENIK ZA INFORMIRANJE</w:t>
            </w:r>
          </w:p>
        </w:tc>
        <w:tc>
          <w:tcPr>
            <w:tcW w:w="631" w:type="pct"/>
            <w:shd w:val="clear" w:color="auto" w:fill="DCE6F1"/>
            <w:noWrap/>
            <w:vAlign w:val="center"/>
            <w:hideMark/>
          </w:tcPr>
          <w:p w14:paraId="1D91E6DD" w14:textId="6B2BB09A"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967.870,00</w:t>
            </w:r>
          </w:p>
        </w:tc>
        <w:tc>
          <w:tcPr>
            <w:tcW w:w="631" w:type="pct"/>
            <w:shd w:val="clear" w:color="auto" w:fill="DCE6F1"/>
            <w:noWrap/>
            <w:vAlign w:val="center"/>
            <w:hideMark/>
          </w:tcPr>
          <w:p w14:paraId="01527160" w14:textId="049A4310"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919.071,70</w:t>
            </w:r>
          </w:p>
        </w:tc>
        <w:tc>
          <w:tcPr>
            <w:tcW w:w="631" w:type="pct"/>
            <w:shd w:val="clear" w:color="auto" w:fill="DCE6F1"/>
            <w:noWrap/>
            <w:vAlign w:val="center"/>
            <w:hideMark/>
          </w:tcPr>
          <w:p w14:paraId="52D40F1F" w14:textId="2BF66C03"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94,96%</w:t>
            </w:r>
          </w:p>
        </w:tc>
        <w:tc>
          <w:tcPr>
            <w:tcW w:w="631" w:type="pct"/>
            <w:shd w:val="clear" w:color="auto" w:fill="DCE6F1"/>
            <w:noWrap/>
            <w:vAlign w:val="center"/>
            <w:hideMark/>
          </w:tcPr>
          <w:p w14:paraId="2C54E84A" w14:textId="6C08A0B6"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48.798,30</w:t>
            </w:r>
          </w:p>
        </w:tc>
      </w:tr>
      <w:tr w:rsidR="00385DDD" w:rsidRPr="00385DDD" w14:paraId="319BB87F" w14:textId="77777777" w:rsidTr="00A14901">
        <w:trPr>
          <w:trHeight w:val="340"/>
        </w:trPr>
        <w:tc>
          <w:tcPr>
            <w:tcW w:w="636" w:type="pct"/>
            <w:shd w:val="clear" w:color="auto" w:fill="F2F2F2" w:themeFill="background1" w:themeFillShade="F2"/>
            <w:noWrap/>
            <w:vAlign w:val="center"/>
            <w:hideMark/>
          </w:tcPr>
          <w:p w14:paraId="125971D4"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lang w:val="hr-BA"/>
              </w:rPr>
              <w:t>A874001 izv 11</w:t>
            </w:r>
          </w:p>
        </w:tc>
        <w:tc>
          <w:tcPr>
            <w:tcW w:w="1839" w:type="pct"/>
            <w:shd w:val="clear" w:color="auto" w:fill="F2F2F2" w:themeFill="background1" w:themeFillShade="F2"/>
            <w:noWrap/>
            <w:vAlign w:val="center"/>
            <w:hideMark/>
          </w:tcPr>
          <w:p w14:paraId="0C7084D2" w14:textId="77777777" w:rsidR="00385DDD" w:rsidRPr="00385DDD" w:rsidRDefault="00385DDD" w:rsidP="00A14901">
            <w:pPr>
              <w:snapToGrid w:val="0"/>
              <w:spacing w:before="20" w:after="20" w:line="240" w:lineRule="auto"/>
              <w:rPr>
                <w:sz w:val="16"/>
                <w:szCs w:val="16"/>
              </w:rPr>
            </w:pPr>
            <w:r w:rsidRPr="00385DDD">
              <w:rPr>
                <w:sz w:val="16"/>
                <w:szCs w:val="16"/>
              </w:rPr>
              <w:t>ADMINISTRACIJA I UPRAVLJANJE</w:t>
            </w:r>
          </w:p>
        </w:tc>
        <w:tc>
          <w:tcPr>
            <w:tcW w:w="631" w:type="pct"/>
            <w:shd w:val="clear" w:color="auto" w:fill="F2F2F2" w:themeFill="background1" w:themeFillShade="F2"/>
            <w:noWrap/>
            <w:vAlign w:val="center"/>
            <w:hideMark/>
          </w:tcPr>
          <w:p w14:paraId="53A4259C" w14:textId="02749B71"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957.870,00</w:t>
            </w:r>
          </w:p>
        </w:tc>
        <w:tc>
          <w:tcPr>
            <w:tcW w:w="631" w:type="pct"/>
            <w:shd w:val="clear" w:color="auto" w:fill="F2F2F2" w:themeFill="background1" w:themeFillShade="F2"/>
            <w:noWrap/>
            <w:vAlign w:val="center"/>
            <w:hideMark/>
          </w:tcPr>
          <w:p w14:paraId="5B43A9C9" w14:textId="0377BF06"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914.256,70</w:t>
            </w:r>
          </w:p>
        </w:tc>
        <w:tc>
          <w:tcPr>
            <w:tcW w:w="631" w:type="pct"/>
            <w:shd w:val="clear" w:color="auto" w:fill="F2F2F2" w:themeFill="background1" w:themeFillShade="F2"/>
            <w:noWrap/>
            <w:vAlign w:val="center"/>
            <w:hideMark/>
          </w:tcPr>
          <w:p w14:paraId="4DD5753C" w14:textId="15C90B39"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95,45%</w:t>
            </w:r>
          </w:p>
        </w:tc>
        <w:tc>
          <w:tcPr>
            <w:tcW w:w="631" w:type="pct"/>
            <w:shd w:val="clear" w:color="auto" w:fill="F2F2F2" w:themeFill="background1" w:themeFillShade="F2"/>
            <w:noWrap/>
            <w:vAlign w:val="center"/>
            <w:hideMark/>
          </w:tcPr>
          <w:p w14:paraId="10FF6A3F" w14:textId="585F2A12"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43.613,30</w:t>
            </w:r>
          </w:p>
        </w:tc>
      </w:tr>
      <w:tr w:rsidR="00385DDD" w:rsidRPr="00385DDD" w14:paraId="7E14C9A3" w14:textId="77777777" w:rsidTr="00A14901">
        <w:trPr>
          <w:trHeight w:val="340"/>
        </w:trPr>
        <w:tc>
          <w:tcPr>
            <w:tcW w:w="636" w:type="pct"/>
            <w:shd w:val="clear" w:color="auto" w:fill="DCE6F1"/>
            <w:noWrap/>
            <w:vAlign w:val="center"/>
            <w:hideMark/>
          </w:tcPr>
          <w:p w14:paraId="3E01B029"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lang w:val="hr-BA"/>
              </w:rPr>
              <w:t>31</w:t>
            </w:r>
          </w:p>
        </w:tc>
        <w:tc>
          <w:tcPr>
            <w:tcW w:w="1839" w:type="pct"/>
            <w:shd w:val="clear" w:color="auto" w:fill="DCE6F1"/>
            <w:noWrap/>
            <w:vAlign w:val="center"/>
            <w:hideMark/>
          </w:tcPr>
          <w:p w14:paraId="61CFEE6F" w14:textId="77777777" w:rsidR="00385DDD" w:rsidRPr="00385DDD" w:rsidRDefault="00385DDD" w:rsidP="00A14901">
            <w:pPr>
              <w:snapToGrid w:val="0"/>
              <w:spacing w:before="20" w:after="20" w:line="240" w:lineRule="auto"/>
              <w:rPr>
                <w:sz w:val="16"/>
                <w:szCs w:val="16"/>
              </w:rPr>
            </w:pPr>
            <w:r w:rsidRPr="00385DDD">
              <w:rPr>
                <w:sz w:val="16"/>
                <w:szCs w:val="16"/>
              </w:rPr>
              <w:t>Rashodi za zaposlene</w:t>
            </w:r>
          </w:p>
        </w:tc>
        <w:tc>
          <w:tcPr>
            <w:tcW w:w="631" w:type="pct"/>
            <w:shd w:val="clear" w:color="auto" w:fill="DCE6F1"/>
            <w:noWrap/>
            <w:vAlign w:val="center"/>
            <w:hideMark/>
          </w:tcPr>
          <w:p w14:paraId="00FAF47D" w14:textId="394330E9"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833.800,00</w:t>
            </w:r>
          </w:p>
        </w:tc>
        <w:tc>
          <w:tcPr>
            <w:tcW w:w="631" w:type="pct"/>
            <w:shd w:val="clear" w:color="auto" w:fill="DCE6F1"/>
            <w:noWrap/>
            <w:vAlign w:val="center"/>
            <w:hideMark/>
          </w:tcPr>
          <w:p w14:paraId="368222EC" w14:textId="72B10B7E"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801.545,81</w:t>
            </w:r>
          </w:p>
        </w:tc>
        <w:tc>
          <w:tcPr>
            <w:tcW w:w="631" w:type="pct"/>
            <w:shd w:val="clear" w:color="auto" w:fill="DCE6F1"/>
            <w:noWrap/>
            <w:vAlign w:val="center"/>
            <w:hideMark/>
          </w:tcPr>
          <w:p w14:paraId="39828476" w14:textId="263140E2"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96,13%</w:t>
            </w:r>
          </w:p>
        </w:tc>
        <w:tc>
          <w:tcPr>
            <w:tcW w:w="631" w:type="pct"/>
            <w:shd w:val="clear" w:color="auto" w:fill="DCE6F1"/>
            <w:noWrap/>
            <w:vAlign w:val="center"/>
            <w:hideMark/>
          </w:tcPr>
          <w:p w14:paraId="5F20882B" w14:textId="7F987440"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32.254,19</w:t>
            </w:r>
          </w:p>
        </w:tc>
      </w:tr>
      <w:tr w:rsidR="00385DDD" w:rsidRPr="00385DDD" w14:paraId="17919E82" w14:textId="77777777" w:rsidTr="00A14901">
        <w:trPr>
          <w:trHeight w:val="340"/>
        </w:trPr>
        <w:tc>
          <w:tcPr>
            <w:tcW w:w="636" w:type="pct"/>
            <w:shd w:val="clear" w:color="auto" w:fill="F2F2F2" w:themeFill="background1" w:themeFillShade="F2"/>
            <w:noWrap/>
            <w:vAlign w:val="center"/>
            <w:hideMark/>
          </w:tcPr>
          <w:p w14:paraId="7E886141"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311</w:t>
            </w:r>
          </w:p>
        </w:tc>
        <w:tc>
          <w:tcPr>
            <w:tcW w:w="1839" w:type="pct"/>
            <w:shd w:val="clear" w:color="auto" w:fill="F2F2F2" w:themeFill="background1" w:themeFillShade="F2"/>
            <w:noWrap/>
            <w:vAlign w:val="center"/>
            <w:hideMark/>
          </w:tcPr>
          <w:p w14:paraId="5108024F" w14:textId="77777777" w:rsidR="00385DDD" w:rsidRPr="00385DDD" w:rsidRDefault="00385DDD" w:rsidP="00A14901">
            <w:pPr>
              <w:snapToGrid w:val="0"/>
              <w:spacing w:before="20" w:after="20" w:line="240" w:lineRule="auto"/>
              <w:rPr>
                <w:sz w:val="16"/>
                <w:szCs w:val="16"/>
              </w:rPr>
            </w:pPr>
            <w:r w:rsidRPr="00385DDD">
              <w:rPr>
                <w:sz w:val="16"/>
                <w:szCs w:val="16"/>
              </w:rPr>
              <w:t>Plaće</w:t>
            </w:r>
          </w:p>
        </w:tc>
        <w:tc>
          <w:tcPr>
            <w:tcW w:w="631" w:type="pct"/>
            <w:shd w:val="clear" w:color="auto" w:fill="F2F2F2" w:themeFill="background1" w:themeFillShade="F2"/>
            <w:noWrap/>
            <w:vAlign w:val="center"/>
            <w:hideMark/>
          </w:tcPr>
          <w:p w14:paraId="3B4D68BE" w14:textId="14818969"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698.300,00</w:t>
            </w:r>
          </w:p>
        </w:tc>
        <w:tc>
          <w:tcPr>
            <w:tcW w:w="631" w:type="pct"/>
            <w:shd w:val="clear" w:color="auto" w:fill="F2F2F2" w:themeFill="background1" w:themeFillShade="F2"/>
            <w:noWrap/>
            <w:vAlign w:val="center"/>
            <w:hideMark/>
          </w:tcPr>
          <w:p w14:paraId="23B804E9" w14:textId="227B8A87"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674.470,94</w:t>
            </w:r>
          </w:p>
        </w:tc>
        <w:tc>
          <w:tcPr>
            <w:tcW w:w="631" w:type="pct"/>
            <w:shd w:val="clear" w:color="auto" w:fill="F2F2F2" w:themeFill="background1" w:themeFillShade="F2"/>
            <w:noWrap/>
            <w:vAlign w:val="center"/>
            <w:hideMark/>
          </w:tcPr>
          <w:p w14:paraId="65A127D9" w14:textId="191B5B2B"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96,59%</w:t>
            </w:r>
          </w:p>
        </w:tc>
        <w:tc>
          <w:tcPr>
            <w:tcW w:w="631" w:type="pct"/>
            <w:shd w:val="clear" w:color="auto" w:fill="F2F2F2" w:themeFill="background1" w:themeFillShade="F2"/>
            <w:noWrap/>
            <w:vAlign w:val="center"/>
            <w:hideMark/>
          </w:tcPr>
          <w:p w14:paraId="72829B6D" w14:textId="1A2BC6B7"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23.829,06</w:t>
            </w:r>
          </w:p>
        </w:tc>
      </w:tr>
      <w:tr w:rsidR="00385DDD" w:rsidRPr="00385DDD" w14:paraId="502DF7FC" w14:textId="77777777" w:rsidTr="00A14901">
        <w:trPr>
          <w:trHeight w:val="340"/>
        </w:trPr>
        <w:tc>
          <w:tcPr>
            <w:tcW w:w="636" w:type="pct"/>
            <w:shd w:val="clear" w:color="auto" w:fill="FFFFFF" w:themeFill="background1"/>
            <w:noWrap/>
            <w:vAlign w:val="center"/>
            <w:hideMark/>
          </w:tcPr>
          <w:p w14:paraId="487AA915"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3111</w:t>
            </w:r>
          </w:p>
        </w:tc>
        <w:tc>
          <w:tcPr>
            <w:tcW w:w="1839" w:type="pct"/>
            <w:shd w:val="clear" w:color="auto" w:fill="FFFFFF" w:themeFill="background1"/>
            <w:noWrap/>
            <w:vAlign w:val="center"/>
            <w:hideMark/>
          </w:tcPr>
          <w:p w14:paraId="24B56BE3" w14:textId="77777777" w:rsidR="00385DDD" w:rsidRPr="00385DDD" w:rsidRDefault="00385DDD" w:rsidP="00A14901">
            <w:pPr>
              <w:snapToGrid w:val="0"/>
              <w:spacing w:before="20" w:after="20" w:line="240" w:lineRule="auto"/>
              <w:rPr>
                <w:sz w:val="16"/>
                <w:szCs w:val="16"/>
              </w:rPr>
            </w:pPr>
            <w:r w:rsidRPr="00385DDD">
              <w:rPr>
                <w:sz w:val="16"/>
                <w:szCs w:val="16"/>
              </w:rPr>
              <w:t>Plaće za redovan rad</w:t>
            </w:r>
          </w:p>
        </w:tc>
        <w:tc>
          <w:tcPr>
            <w:tcW w:w="631" w:type="pct"/>
            <w:shd w:val="clear" w:color="auto" w:fill="FFFFFF" w:themeFill="background1"/>
            <w:noWrap/>
            <w:vAlign w:val="center"/>
            <w:hideMark/>
          </w:tcPr>
          <w:p w14:paraId="5EF8B476" w14:textId="09355047"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698.300,00</w:t>
            </w:r>
          </w:p>
        </w:tc>
        <w:tc>
          <w:tcPr>
            <w:tcW w:w="631" w:type="pct"/>
            <w:shd w:val="clear" w:color="auto" w:fill="FFFFFF" w:themeFill="background1"/>
            <w:noWrap/>
            <w:vAlign w:val="center"/>
            <w:hideMark/>
          </w:tcPr>
          <w:p w14:paraId="062FFA46" w14:textId="302296D8"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674.470,94</w:t>
            </w:r>
          </w:p>
        </w:tc>
        <w:tc>
          <w:tcPr>
            <w:tcW w:w="631" w:type="pct"/>
            <w:shd w:val="clear" w:color="auto" w:fill="FFFFFF" w:themeFill="background1"/>
            <w:noWrap/>
            <w:vAlign w:val="center"/>
            <w:hideMark/>
          </w:tcPr>
          <w:p w14:paraId="79A0F604" w14:textId="6C3DA31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96,59%</w:t>
            </w:r>
          </w:p>
        </w:tc>
        <w:tc>
          <w:tcPr>
            <w:tcW w:w="631" w:type="pct"/>
            <w:shd w:val="clear" w:color="auto" w:fill="FFFFFF" w:themeFill="background1"/>
            <w:vAlign w:val="center"/>
            <w:hideMark/>
          </w:tcPr>
          <w:p w14:paraId="2F0AE633" w14:textId="6992F63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23.829,06</w:t>
            </w:r>
          </w:p>
        </w:tc>
      </w:tr>
      <w:tr w:rsidR="00385DDD" w:rsidRPr="00385DDD" w14:paraId="0E26E1ED" w14:textId="77777777" w:rsidTr="00A14901">
        <w:trPr>
          <w:trHeight w:val="340"/>
        </w:trPr>
        <w:tc>
          <w:tcPr>
            <w:tcW w:w="636" w:type="pct"/>
            <w:shd w:val="clear" w:color="auto" w:fill="FFFFFF" w:themeFill="background1"/>
            <w:noWrap/>
            <w:vAlign w:val="center"/>
            <w:hideMark/>
          </w:tcPr>
          <w:p w14:paraId="0E8F6700" w14:textId="77777777" w:rsidR="00385DDD" w:rsidRPr="00385DDD" w:rsidRDefault="00385DDD" w:rsidP="00A14901">
            <w:pPr>
              <w:snapToGrid w:val="0"/>
              <w:spacing w:before="20" w:after="20" w:line="240" w:lineRule="auto"/>
              <w:jc w:val="center"/>
              <w:rPr>
                <w:sz w:val="16"/>
                <w:szCs w:val="16"/>
              </w:rPr>
            </w:pPr>
            <w:r w:rsidRPr="00385DDD">
              <w:rPr>
                <w:rFonts w:eastAsia="Arial"/>
                <w:sz w:val="16"/>
                <w:szCs w:val="16"/>
              </w:rPr>
              <w:t>3113</w:t>
            </w:r>
          </w:p>
        </w:tc>
        <w:tc>
          <w:tcPr>
            <w:tcW w:w="1839" w:type="pct"/>
            <w:shd w:val="clear" w:color="auto" w:fill="FFFFFF" w:themeFill="background1"/>
            <w:noWrap/>
            <w:vAlign w:val="center"/>
            <w:hideMark/>
          </w:tcPr>
          <w:p w14:paraId="2E6F266B" w14:textId="77777777" w:rsidR="00385DDD" w:rsidRPr="00385DDD" w:rsidRDefault="00385DDD" w:rsidP="00A14901">
            <w:pPr>
              <w:snapToGrid w:val="0"/>
              <w:spacing w:before="20" w:after="20" w:line="240" w:lineRule="auto"/>
              <w:rPr>
                <w:sz w:val="16"/>
                <w:szCs w:val="16"/>
              </w:rPr>
            </w:pPr>
            <w:r w:rsidRPr="00385DDD">
              <w:rPr>
                <w:sz w:val="16"/>
                <w:szCs w:val="16"/>
              </w:rPr>
              <w:t>Plaće za prekovremeni rad</w:t>
            </w:r>
          </w:p>
        </w:tc>
        <w:tc>
          <w:tcPr>
            <w:tcW w:w="631" w:type="pct"/>
            <w:shd w:val="clear" w:color="auto" w:fill="FFFFFF" w:themeFill="background1"/>
            <w:noWrap/>
            <w:vAlign w:val="center"/>
            <w:hideMark/>
          </w:tcPr>
          <w:p w14:paraId="7921B248" w14:textId="711E24CD"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1CC16513" w14:textId="60DF6553"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424F598D" w14:textId="0F51AFDE"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vAlign w:val="center"/>
            <w:hideMark/>
          </w:tcPr>
          <w:p w14:paraId="792B5348" w14:textId="3406DB01"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r>
      <w:tr w:rsidR="00385DDD" w:rsidRPr="00385DDD" w14:paraId="0615036A" w14:textId="77777777" w:rsidTr="00A14901">
        <w:trPr>
          <w:trHeight w:val="340"/>
        </w:trPr>
        <w:tc>
          <w:tcPr>
            <w:tcW w:w="636" w:type="pct"/>
            <w:shd w:val="clear" w:color="auto" w:fill="F2F2F2" w:themeFill="background1" w:themeFillShade="F2"/>
            <w:noWrap/>
            <w:vAlign w:val="center"/>
            <w:hideMark/>
          </w:tcPr>
          <w:p w14:paraId="04B602D0" w14:textId="77777777" w:rsidR="00385DDD" w:rsidRPr="00385DDD" w:rsidRDefault="00385DDD" w:rsidP="00A14901">
            <w:pPr>
              <w:snapToGrid w:val="0"/>
              <w:spacing w:before="20" w:after="20" w:line="240" w:lineRule="auto"/>
              <w:jc w:val="center"/>
              <w:rPr>
                <w:sz w:val="16"/>
                <w:szCs w:val="16"/>
              </w:rPr>
            </w:pPr>
            <w:r w:rsidRPr="00385DDD">
              <w:rPr>
                <w:rFonts w:eastAsia="Arial"/>
                <w:sz w:val="16"/>
                <w:szCs w:val="16"/>
              </w:rPr>
              <w:t>312</w:t>
            </w:r>
          </w:p>
        </w:tc>
        <w:tc>
          <w:tcPr>
            <w:tcW w:w="1839" w:type="pct"/>
            <w:shd w:val="clear" w:color="auto" w:fill="F2F2F2" w:themeFill="background1" w:themeFillShade="F2"/>
            <w:noWrap/>
            <w:vAlign w:val="center"/>
            <w:hideMark/>
          </w:tcPr>
          <w:p w14:paraId="5596A480" w14:textId="77777777" w:rsidR="00385DDD" w:rsidRPr="00385DDD" w:rsidRDefault="00385DDD" w:rsidP="00A14901">
            <w:pPr>
              <w:snapToGrid w:val="0"/>
              <w:spacing w:before="20" w:after="20" w:line="240" w:lineRule="auto"/>
              <w:rPr>
                <w:sz w:val="16"/>
                <w:szCs w:val="16"/>
              </w:rPr>
            </w:pPr>
            <w:r w:rsidRPr="00385DDD">
              <w:rPr>
                <w:sz w:val="16"/>
                <w:szCs w:val="16"/>
              </w:rPr>
              <w:t>Ostali rashodi za zaposlene</w:t>
            </w:r>
          </w:p>
        </w:tc>
        <w:tc>
          <w:tcPr>
            <w:tcW w:w="631" w:type="pct"/>
            <w:shd w:val="clear" w:color="auto" w:fill="F2F2F2" w:themeFill="background1" w:themeFillShade="F2"/>
            <w:noWrap/>
            <w:vAlign w:val="center"/>
            <w:hideMark/>
          </w:tcPr>
          <w:p w14:paraId="0F31B285" w14:textId="2A601541"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20.500,00</w:t>
            </w:r>
          </w:p>
        </w:tc>
        <w:tc>
          <w:tcPr>
            <w:tcW w:w="631" w:type="pct"/>
            <w:shd w:val="clear" w:color="auto" w:fill="F2F2F2" w:themeFill="background1" w:themeFillShade="F2"/>
            <w:noWrap/>
            <w:vAlign w:val="center"/>
            <w:hideMark/>
          </w:tcPr>
          <w:p w14:paraId="009A6100" w14:textId="2B0ADEB2"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15.787,12</w:t>
            </w:r>
          </w:p>
        </w:tc>
        <w:tc>
          <w:tcPr>
            <w:tcW w:w="631" w:type="pct"/>
            <w:shd w:val="clear" w:color="auto" w:fill="F2F2F2" w:themeFill="background1" w:themeFillShade="F2"/>
            <w:noWrap/>
            <w:vAlign w:val="center"/>
            <w:hideMark/>
          </w:tcPr>
          <w:p w14:paraId="3D87F7D2" w14:textId="47EB3843"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77,01%</w:t>
            </w:r>
          </w:p>
        </w:tc>
        <w:tc>
          <w:tcPr>
            <w:tcW w:w="631" w:type="pct"/>
            <w:shd w:val="clear" w:color="auto" w:fill="F2F2F2" w:themeFill="background1" w:themeFillShade="F2"/>
            <w:vAlign w:val="center"/>
            <w:hideMark/>
          </w:tcPr>
          <w:p w14:paraId="243AFD52" w14:textId="4077400E"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4.712,88</w:t>
            </w:r>
          </w:p>
        </w:tc>
      </w:tr>
      <w:tr w:rsidR="00385DDD" w:rsidRPr="00385DDD" w14:paraId="6EC97ECE" w14:textId="77777777" w:rsidTr="00A14901">
        <w:trPr>
          <w:trHeight w:val="340"/>
        </w:trPr>
        <w:tc>
          <w:tcPr>
            <w:tcW w:w="636" w:type="pct"/>
            <w:shd w:val="clear" w:color="auto" w:fill="FFFFFF" w:themeFill="background1"/>
            <w:noWrap/>
            <w:vAlign w:val="center"/>
            <w:hideMark/>
          </w:tcPr>
          <w:p w14:paraId="6F30BE11" w14:textId="77777777" w:rsidR="00385DDD" w:rsidRPr="00385DDD" w:rsidRDefault="00385DDD" w:rsidP="00A14901">
            <w:pPr>
              <w:snapToGrid w:val="0"/>
              <w:spacing w:before="20" w:after="20" w:line="240" w:lineRule="auto"/>
              <w:jc w:val="center"/>
              <w:rPr>
                <w:sz w:val="16"/>
                <w:szCs w:val="16"/>
              </w:rPr>
            </w:pPr>
            <w:r w:rsidRPr="00385DDD">
              <w:rPr>
                <w:rFonts w:eastAsia="Arial"/>
                <w:sz w:val="16"/>
                <w:szCs w:val="16"/>
              </w:rPr>
              <w:t>3121</w:t>
            </w:r>
          </w:p>
        </w:tc>
        <w:tc>
          <w:tcPr>
            <w:tcW w:w="1839" w:type="pct"/>
            <w:shd w:val="clear" w:color="auto" w:fill="FFFFFF" w:themeFill="background1"/>
            <w:noWrap/>
            <w:vAlign w:val="center"/>
            <w:hideMark/>
          </w:tcPr>
          <w:p w14:paraId="3BF873BC" w14:textId="77777777" w:rsidR="00385DDD" w:rsidRPr="00385DDD" w:rsidRDefault="00385DDD" w:rsidP="00A14901">
            <w:pPr>
              <w:snapToGrid w:val="0"/>
              <w:spacing w:before="20" w:after="20" w:line="240" w:lineRule="auto"/>
              <w:rPr>
                <w:sz w:val="16"/>
                <w:szCs w:val="16"/>
              </w:rPr>
            </w:pPr>
            <w:r w:rsidRPr="00385DDD">
              <w:rPr>
                <w:sz w:val="16"/>
                <w:szCs w:val="16"/>
              </w:rPr>
              <w:t>Ostali rashodi za zaposlene</w:t>
            </w:r>
          </w:p>
        </w:tc>
        <w:tc>
          <w:tcPr>
            <w:tcW w:w="631" w:type="pct"/>
            <w:shd w:val="clear" w:color="auto" w:fill="FFFFFF" w:themeFill="background1"/>
            <w:noWrap/>
            <w:vAlign w:val="center"/>
            <w:hideMark/>
          </w:tcPr>
          <w:p w14:paraId="457CB9F4" w14:textId="0FBBFC27"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20.500,00</w:t>
            </w:r>
          </w:p>
        </w:tc>
        <w:tc>
          <w:tcPr>
            <w:tcW w:w="631" w:type="pct"/>
            <w:shd w:val="clear" w:color="auto" w:fill="FFFFFF" w:themeFill="background1"/>
            <w:noWrap/>
            <w:vAlign w:val="center"/>
            <w:hideMark/>
          </w:tcPr>
          <w:p w14:paraId="5CF6AA7E" w14:textId="590C27E8"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15.787,12</w:t>
            </w:r>
          </w:p>
        </w:tc>
        <w:tc>
          <w:tcPr>
            <w:tcW w:w="631" w:type="pct"/>
            <w:shd w:val="clear" w:color="auto" w:fill="FFFFFF" w:themeFill="background1"/>
            <w:noWrap/>
            <w:vAlign w:val="center"/>
            <w:hideMark/>
          </w:tcPr>
          <w:p w14:paraId="7DF79057" w14:textId="098377CC"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77,01%</w:t>
            </w:r>
          </w:p>
        </w:tc>
        <w:tc>
          <w:tcPr>
            <w:tcW w:w="631" w:type="pct"/>
            <w:shd w:val="clear" w:color="auto" w:fill="FFFFFF" w:themeFill="background1"/>
            <w:vAlign w:val="center"/>
            <w:hideMark/>
          </w:tcPr>
          <w:p w14:paraId="1D696161" w14:textId="395767B2"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4.712,88</w:t>
            </w:r>
          </w:p>
        </w:tc>
      </w:tr>
      <w:tr w:rsidR="00385DDD" w:rsidRPr="00385DDD" w14:paraId="487D1700" w14:textId="77777777" w:rsidTr="00A14901">
        <w:trPr>
          <w:trHeight w:val="340"/>
        </w:trPr>
        <w:tc>
          <w:tcPr>
            <w:tcW w:w="636" w:type="pct"/>
            <w:shd w:val="clear" w:color="auto" w:fill="F2F2F2" w:themeFill="background1" w:themeFillShade="F2"/>
            <w:noWrap/>
            <w:vAlign w:val="center"/>
            <w:hideMark/>
          </w:tcPr>
          <w:p w14:paraId="4312AA5C"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313</w:t>
            </w:r>
          </w:p>
        </w:tc>
        <w:tc>
          <w:tcPr>
            <w:tcW w:w="1839" w:type="pct"/>
            <w:shd w:val="clear" w:color="auto" w:fill="F2F2F2" w:themeFill="background1" w:themeFillShade="F2"/>
            <w:noWrap/>
            <w:vAlign w:val="center"/>
            <w:hideMark/>
          </w:tcPr>
          <w:p w14:paraId="3E1E5946" w14:textId="77777777" w:rsidR="00385DDD" w:rsidRPr="00385DDD" w:rsidRDefault="00385DDD" w:rsidP="00A14901">
            <w:pPr>
              <w:snapToGrid w:val="0"/>
              <w:spacing w:before="20" w:after="20" w:line="240" w:lineRule="auto"/>
              <w:rPr>
                <w:sz w:val="16"/>
                <w:szCs w:val="16"/>
              </w:rPr>
            </w:pPr>
            <w:r w:rsidRPr="00385DDD">
              <w:rPr>
                <w:sz w:val="16"/>
                <w:szCs w:val="16"/>
              </w:rPr>
              <w:t>Doprinosi na plaće</w:t>
            </w:r>
          </w:p>
        </w:tc>
        <w:tc>
          <w:tcPr>
            <w:tcW w:w="631" w:type="pct"/>
            <w:shd w:val="clear" w:color="auto" w:fill="F2F2F2" w:themeFill="background1" w:themeFillShade="F2"/>
            <w:noWrap/>
            <w:vAlign w:val="center"/>
            <w:hideMark/>
          </w:tcPr>
          <w:p w14:paraId="2D53A1B5" w14:textId="3A4A47B6"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115.000,00</w:t>
            </w:r>
          </w:p>
        </w:tc>
        <w:tc>
          <w:tcPr>
            <w:tcW w:w="631" w:type="pct"/>
            <w:shd w:val="clear" w:color="auto" w:fill="F2F2F2" w:themeFill="background1" w:themeFillShade="F2"/>
            <w:noWrap/>
            <w:vAlign w:val="center"/>
            <w:hideMark/>
          </w:tcPr>
          <w:p w14:paraId="7C6F56F8" w14:textId="7FA5DB7C"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111.287,75</w:t>
            </w:r>
          </w:p>
        </w:tc>
        <w:tc>
          <w:tcPr>
            <w:tcW w:w="631" w:type="pct"/>
            <w:shd w:val="clear" w:color="auto" w:fill="F2F2F2" w:themeFill="background1" w:themeFillShade="F2"/>
            <w:noWrap/>
            <w:vAlign w:val="center"/>
            <w:hideMark/>
          </w:tcPr>
          <w:p w14:paraId="56686D77" w14:textId="3650801A"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96,77%</w:t>
            </w:r>
          </w:p>
        </w:tc>
        <w:tc>
          <w:tcPr>
            <w:tcW w:w="631" w:type="pct"/>
            <w:shd w:val="clear" w:color="auto" w:fill="F2F2F2" w:themeFill="background1" w:themeFillShade="F2"/>
            <w:vAlign w:val="center"/>
            <w:hideMark/>
          </w:tcPr>
          <w:p w14:paraId="7F3C545B" w14:textId="7EC8D5DF"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3.712,25</w:t>
            </w:r>
          </w:p>
        </w:tc>
      </w:tr>
      <w:tr w:rsidR="00385DDD" w:rsidRPr="00385DDD" w14:paraId="12362D26" w14:textId="77777777" w:rsidTr="00A14901">
        <w:trPr>
          <w:trHeight w:val="340"/>
        </w:trPr>
        <w:tc>
          <w:tcPr>
            <w:tcW w:w="636" w:type="pct"/>
            <w:shd w:val="clear" w:color="auto" w:fill="FFFFFF" w:themeFill="background1"/>
            <w:noWrap/>
            <w:vAlign w:val="center"/>
            <w:hideMark/>
          </w:tcPr>
          <w:p w14:paraId="01E8433B"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3132</w:t>
            </w:r>
          </w:p>
        </w:tc>
        <w:tc>
          <w:tcPr>
            <w:tcW w:w="1839" w:type="pct"/>
            <w:shd w:val="clear" w:color="auto" w:fill="FFFFFF" w:themeFill="background1"/>
            <w:noWrap/>
            <w:vAlign w:val="center"/>
            <w:hideMark/>
          </w:tcPr>
          <w:p w14:paraId="4667D4F2" w14:textId="77777777" w:rsidR="00385DDD" w:rsidRPr="00385DDD" w:rsidRDefault="00385DDD" w:rsidP="00A14901">
            <w:pPr>
              <w:snapToGrid w:val="0"/>
              <w:spacing w:before="20" w:after="20" w:line="240" w:lineRule="auto"/>
              <w:rPr>
                <w:sz w:val="16"/>
                <w:szCs w:val="16"/>
              </w:rPr>
            </w:pPr>
            <w:r w:rsidRPr="00385DDD">
              <w:rPr>
                <w:sz w:val="16"/>
                <w:szCs w:val="16"/>
              </w:rPr>
              <w:t>Doprinosi za obvezno zdravstveno osig.</w:t>
            </w:r>
          </w:p>
        </w:tc>
        <w:tc>
          <w:tcPr>
            <w:tcW w:w="631" w:type="pct"/>
            <w:shd w:val="clear" w:color="auto" w:fill="FFFFFF" w:themeFill="background1"/>
            <w:noWrap/>
            <w:vAlign w:val="center"/>
            <w:hideMark/>
          </w:tcPr>
          <w:p w14:paraId="18612FB2" w14:textId="19E115DF"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115.000,00</w:t>
            </w:r>
          </w:p>
        </w:tc>
        <w:tc>
          <w:tcPr>
            <w:tcW w:w="631" w:type="pct"/>
            <w:shd w:val="clear" w:color="auto" w:fill="FFFFFF" w:themeFill="background1"/>
            <w:noWrap/>
            <w:vAlign w:val="center"/>
            <w:hideMark/>
          </w:tcPr>
          <w:p w14:paraId="636F79BB" w14:textId="7F4C5086"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111.287,75</w:t>
            </w:r>
          </w:p>
        </w:tc>
        <w:tc>
          <w:tcPr>
            <w:tcW w:w="631" w:type="pct"/>
            <w:shd w:val="clear" w:color="auto" w:fill="FFFFFF" w:themeFill="background1"/>
            <w:noWrap/>
            <w:vAlign w:val="center"/>
            <w:hideMark/>
          </w:tcPr>
          <w:p w14:paraId="469DF25F" w14:textId="57DE1297"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96,77%</w:t>
            </w:r>
          </w:p>
        </w:tc>
        <w:tc>
          <w:tcPr>
            <w:tcW w:w="631" w:type="pct"/>
            <w:shd w:val="clear" w:color="auto" w:fill="FFFFFF" w:themeFill="background1"/>
            <w:vAlign w:val="center"/>
            <w:hideMark/>
          </w:tcPr>
          <w:p w14:paraId="3467EE85" w14:textId="1C3136C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3.712,25</w:t>
            </w:r>
          </w:p>
        </w:tc>
      </w:tr>
      <w:tr w:rsidR="00385DDD" w:rsidRPr="00385DDD" w14:paraId="02AB4926" w14:textId="77777777" w:rsidTr="00A14901">
        <w:trPr>
          <w:trHeight w:val="340"/>
        </w:trPr>
        <w:tc>
          <w:tcPr>
            <w:tcW w:w="636" w:type="pct"/>
            <w:shd w:val="clear" w:color="auto" w:fill="DCE6F1"/>
            <w:noWrap/>
            <w:vAlign w:val="center"/>
            <w:hideMark/>
          </w:tcPr>
          <w:p w14:paraId="436ED38F"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w:t>
            </w:r>
          </w:p>
        </w:tc>
        <w:tc>
          <w:tcPr>
            <w:tcW w:w="1839" w:type="pct"/>
            <w:shd w:val="clear" w:color="auto" w:fill="DCE6F1"/>
            <w:noWrap/>
            <w:vAlign w:val="center"/>
            <w:hideMark/>
          </w:tcPr>
          <w:p w14:paraId="0DB6FD1A" w14:textId="77777777" w:rsidR="00385DDD" w:rsidRPr="00385DDD" w:rsidRDefault="00385DDD" w:rsidP="00A14901">
            <w:pPr>
              <w:snapToGrid w:val="0"/>
              <w:spacing w:before="20" w:after="20" w:line="240" w:lineRule="auto"/>
              <w:rPr>
                <w:sz w:val="16"/>
                <w:szCs w:val="16"/>
              </w:rPr>
            </w:pPr>
            <w:r w:rsidRPr="00385DDD">
              <w:rPr>
                <w:sz w:val="16"/>
                <w:szCs w:val="16"/>
              </w:rPr>
              <w:t>Materijalni rashodi</w:t>
            </w:r>
          </w:p>
        </w:tc>
        <w:tc>
          <w:tcPr>
            <w:tcW w:w="631" w:type="pct"/>
            <w:shd w:val="clear" w:color="auto" w:fill="DCE6F1"/>
            <w:noWrap/>
            <w:vAlign w:val="center"/>
            <w:hideMark/>
          </w:tcPr>
          <w:p w14:paraId="4018945B" w14:textId="76AAE51F"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124.000,00</w:t>
            </w:r>
          </w:p>
        </w:tc>
        <w:tc>
          <w:tcPr>
            <w:tcW w:w="631" w:type="pct"/>
            <w:shd w:val="clear" w:color="auto" w:fill="DCE6F1"/>
            <w:noWrap/>
            <w:vAlign w:val="center"/>
            <w:hideMark/>
          </w:tcPr>
          <w:p w14:paraId="0A002C98" w14:textId="42BE63DC"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112.710,42</w:t>
            </w:r>
          </w:p>
        </w:tc>
        <w:tc>
          <w:tcPr>
            <w:tcW w:w="631" w:type="pct"/>
            <w:shd w:val="clear" w:color="auto" w:fill="DCE6F1"/>
            <w:noWrap/>
            <w:vAlign w:val="center"/>
            <w:hideMark/>
          </w:tcPr>
          <w:p w14:paraId="43BB8C46" w14:textId="1A1761A5"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90,90%</w:t>
            </w:r>
          </w:p>
        </w:tc>
        <w:tc>
          <w:tcPr>
            <w:tcW w:w="631" w:type="pct"/>
            <w:shd w:val="clear" w:color="auto" w:fill="DCE6F1"/>
            <w:noWrap/>
            <w:vAlign w:val="center"/>
            <w:hideMark/>
          </w:tcPr>
          <w:p w14:paraId="0D013718" w14:textId="270ED7B0"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11.289,58</w:t>
            </w:r>
          </w:p>
        </w:tc>
      </w:tr>
      <w:tr w:rsidR="00385DDD" w:rsidRPr="00385DDD" w14:paraId="361EE4F9" w14:textId="77777777" w:rsidTr="00A14901">
        <w:trPr>
          <w:trHeight w:val="340"/>
        </w:trPr>
        <w:tc>
          <w:tcPr>
            <w:tcW w:w="636" w:type="pct"/>
            <w:shd w:val="clear" w:color="auto" w:fill="F2F2F2" w:themeFill="background1" w:themeFillShade="F2"/>
            <w:noWrap/>
            <w:vAlign w:val="center"/>
            <w:hideMark/>
          </w:tcPr>
          <w:p w14:paraId="0021D77A"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321</w:t>
            </w:r>
          </w:p>
        </w:tc>
        <w:tc>
          <w:tcPr>
            <w:tcW w:w="1839" w:type="pct"/>
            <w:shd w:val="clear" w:color="auto" w:fill="F2F2F2" w:themeFill="background1" w:themeFillShade="F2"/>
            <w:noWrap/>
            <w:vAlign w:val="center"/>
            <w:hideMark/>
          </w:tcPr>
          <w:p w14:paraId="2D541E4B" w14:textId="77777777" w:rsidR="00385DDD" w:rsidRPr="00385DDD" w:rsidRDefault="00385DDD" w:rsidP="00A14901">
            <w:pPr>
              <w:snapToGrid w:val="0"/>
              <w:spacing w:before="20" w:after="20" w:line="240" w:lineRule="auto"/>
              <w:rPr>
                <w:sz w:val="16"/>
                <w:szCs w:val="16"/>
              </w:rPr>
            </w:pPr>
            <w:r w:rsidRPr="00385DDD">
              <w:rPr>
                <w:sz w:val="16"/>
                <w:szCs w:val="16"/>
              </w:rPr>
              <w:t>Naknade troškova zaposlenima</w:t>
            </w:r>
          </w:p>
        </w:tc>
        <w:tc>
          <w:tcPr>
            <w:tcW w:w="631" w:type="pct"/>
            <w:shd w:val="clear" w:color="auto" w:fill="F2F2F2" w:themeFill="background1" w:themeFillShade="F2"/>
            <w:noWrap/>
            <w:vAlign w:val="center"/>
            <w:hideMark/>
          </w:tcPr>
          <w:p w14:paraId="0F1AEBD9" w14:textId="4FA7717A"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27.136,00</w:t>
            </w:r>
          </w:p>
        </w:tc>
        <w:tc>
          <w:tcPr>
            <w:tcW w:w="631" w:type="pct"/>
            <w:shd w:val="clear" w:color="auto" w:fill="F2F2F2" w:themeFill="background1" w:themeFillShade="F2"/>
            <w:noWrap/>
            <w:vAlign w:val="center"/>
            <w:hideMark/>
          </w:tcPr>
          <w:p w14:paraId="16D6ADCA" w14:textId="0F0AAA46"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26.030,60</w:t>
            </w:r>
          </w:p>
        </w:tc>
        <w:tc>
          <w:tcPr>
            <w:tcW w:w="631" w:type="pct"/>
            <w:shd w:val="clear" w:color="auto" w:fill="F2F2F2" w:themeFill="background1" w:themeFillShade="F2"/>
            <w:noWrap/>
            <w:vAlign w:val="center"/>
            <w:hideMark/>
          </w:tcPr>
          <w:p w14:paraId="44D5DC93" w14:textId="68920078"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95,93%</w:t>
            </w:r>
          </w:p>
        </w:tc>
        <w:tc>
          <w:tcPr>
            <w:tcW w:w="631" w:type="pct"/>
            <w:shd w:val="clear" w:color="auto" w:fill="F2F2F2" w:themeFill="background1" w:themeFillShade="F2"/>
            <w:noWrap/>
            <w:vAlign w:val="center"/>
            <w:hideMark/>
          </w:tcPr>
          <w:p w14:paraId="5B7BC419" w14:textId="6FF7F951"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1.105,40</w:t>
            </w:r>
          </w:p>
        </w:tc>
      </w:tr>
      <w:tr w:rsidR="00385DDD" w:rsidRPr="00385DDD" w14:paraId="2C5BA515" w14:textId="77777777" w:rsidTr="00A14901">
        <w:trPr>
          <w:trHeight w:val="340"/>
        </w:trPr>
        <w:tc>
          <w:tcPr>
            <w:tcW w:w="636" w:type="pct"/>
            <w:shd w:val="clear" w:color="auto" w:fill="FFFFFF" w:themeFill="background1"/>
            <w:noWrap/>
            <w:vAlign w:val="center"/>
            <w:hideMark/>
          </w:tcPr>
          <w:p w14:paraId="5A4301E4" w14:textId="77777777" w:rsidR="00385DDD" w:rsidRPr="00385DDD" w:rsidRDefault="00385DDD" w:rsidP="00A14901">
            <w:pPr>
              <w:snapToGrid w:val="0"/>
              <w:spacing w:before="20" w:after="20" w:line="240" w:lineRule="auto"/>
              <w:jc w:val="center"/>
              <w:rPr>
                <w:sz w:val="16"/>
                <w:szCs w:val="16"/>
              </w:rPr>
            </w:pPr>
            <w:bookmarkStart w:id="255" w:name="RANGE!A15"/>
            <w:r w:rsidRPr="00385DDD">
              <w:rPr>
                <w:sz w:val="16"/>
                <w:szCs w:val="16"/>
              </w:rPr>
              <w:t>3211</w:t>
            </w:r>
            <w:bookmarkEnd w:id="255"/>
          </w:p>
        </w:tc>
        <w:tc>
          <w:tcPr>
            <w:tcW w:w="1839" w:type="pct"/>
            <w:shd w:val="clear" w:color="auto" w:fill="FFFFFF" w:themeFill="background1"/>
            <w:noWrap/>
            <w:vAlign w:val="center"/>
            <w:hideMark/>
          </w:tcPr>
          <w:p w14:paraId="57AC7513" w14:textId="77777777" w:rsidR="00385DDD" w:rsidRPr="00385DDD" w:rsidRDefault="00385DDD" w:rsidP="00A14901">
            <w:pPr>
              <w:snapToGrid w:val="0"/>
              <w:spacing w:before="20" w:after="20" w:line="240" w:lineRule="auto"/>
              <w:rPr>
                <w:sz w:val="16"/>
                <w:szCs w:val="16"/>
              </w:rPr>
            </w:pPr>
            <w:r w:rsidRPr="00385DDD">
              <w:rPr>
                <w:sz w:val="16"/>
                <w:szCs w:val="16"/>
              </w:rPr>
              <w:t>Službena putovanja</w:t>
            </w:r>
          </w:p>
        </w:tc>
        <w:tc>
          <w:tcPr>
            <w:tcW w:w="631" w:type="pct"/>
            <w:shd w:val="clear" w:color="auto" w:fill="FFFFFF" w:themeFill="background1"/>
            <w:noWrap/>
            <w:vAlign w:val="center"/>
            <w:hideMark/>
          </w:tcPr>
          <w:p w14:paraId="0E142D4D" w14:textId="72002A3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11.000,00</w:t>
            </w:r>
          </w:p>
        </w:tc>
        <w:tc>
          <w:tcPr>
            <w:tcW w:w="631" w:type="pct"/>
            <w:shd w:val="clear" w:color="auto" w:fill="FFFFFF" w:themeFill="background1"/>
            <w:noWrap/>
            <w:vAlign w:val="center"/>
            <w:hideMark/>
          </w:tcPr>
          <w:p w14:paraId="371A9CD1" w14:textId="281B68A3"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14.302,71</w:t>
            </w:r>
          </w:p>
        </w:tc>
        <w:tc>
          <w:tcPr>
            <w:tcW w:w="631" w:type="pct"/>
            <w:shd w:val="clear" w:color="auto" w:fill="FFFFFF" w:themeFill="background1"/>
            <w:noWrap/>
            <w:vAlign w:val="center"/>
            <w:hideMark/>
          </w:tcPr>
          <w:p w14:paraId="12FEE076" w14:textId="4F62556C"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130,02%</w:t>
            </w:r>
          </w:p>
        </w:tc>
        <w:tc>
          <w:tcPr>
            <w:tcW w:w="631" w:type="pct"/>
            <w:shd w:val="clear" w:color="auto" w:fill="FFFFFF" w:themeFill="background1"/>
            <w:noWrap/>
            <w:vAlign w:val="center"/>
            <w:hideMark/>
          </w:tcPr>
          <w:p w14:paraId="56F5BCDF" w14:textId="1F9F21C5"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-3.302,71</w:t>
            </w:r>
          </w:p>
        </w:tc>
      </w:tr>
      <w:tr w:rsidR="00385DDD" w:rsidRPr="00385DDD" w14:paraId="40AEB687" w14:textId="77777777" w:rsidTr="00A14901">
        <w:trPr>
          <w:trHeight w:val="340"/>
        </w:trPr>
        <w:tc>
          <w:tcPr>
            <w:tcW w:w="636" w:type="pct"/>
            <w:shd w:val="clear" w:color="auto" w:fill="FFFFFF" w:themeFill="background1"/>
            <w:noWrap/>
            <w:vAlign w:val="center"/>
            <w:hideMark/>
          </w:tcPr>
          <w:p w14:paraId="52D8E9F3"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3212</w:t>
            </w:r>
          </w:p>
        </w:tc>
        <w:tc>
          <w:tcPr>
            <w:tcW w:w="1839" w:type="pct"/>
            <w:shd w:val="clear" w:color="auto" w:fill="FFFFFF" w:themeFill="background1"/>
            <w:noWrap/>
            <w:vAlign w:val="center"/>
            <w:hideMark/>
          </w:tcPr>
          <w:p w14:paraId="6693E884" w14:textId="77777777" w:rsidR="00385DDD" w:rsidRPr="00385DDD" w:rsidRDefault="00385DDD" w:rsidP="00A14901">
            <w:pPr>
              <w:snapToGrid w:val="0"/>
              <w:spacing w:before="20" w:after="20" w:line="240" w:lineRule="auto"/>
              <w:rPr>
                <w:sz w:val="16"/>
                <w:szCs w:val="16"/>
              </w:rPr>
            </w:pPr>
            <w:r w:rsidRPr="00385DDD">
              <w:rPr>
                <w:sz w:val="16"/>
                <w:szCs w:val="16"/>
              </w:rPr>
              <w:t>Naknade za prijevoz, rad na terenu</w:t>
            </w:r>
          </w:p>
        </w:tc>
        <w:tc>
          <w:tcPr>
            <w:tcW w:w="631" w:type="pct"/>
            <w:shd w:val="clear" w:color="auto" w:fill="FFFFFF" w:themeFill="background1"/>
            <w:noWrap/>
            <w:vAlign w:val="center"/>
            <w:hideMark/>
          </w:tcPr>
          <w:p w14:paraId="534BF69B" w14:textId="2EA45917"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13.936,00</w:t>
            </w:r>
          </w:p>
        </w:tc>
        <w:tc>
          <w:tcPr>
            <w:tcW w:w="631" w:type="pct"/>
            <w:shd w:val="clear" w:color="auto" w:fill="FFFFFF" w:themeFill="background1"/>
            <w:noWrap/>
            <w:vAlign w:val="center"/>
            <w:hideMark/>
          </w:tcPr>
          <w:p w14:paraId="24406C4E" w14:textId="32B41EA1"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10.627,14</w:t>
            </w:r>
          </w:p>
        </w:tc>
        <w:tc>
          <w:tcPr>
            <w:tcW w:w="631" w:type="pct"/>
            <w:shd w:val="clear" w:color="auto" w:fill="FFFFFF" w:themeFill="background1"/>
            <w:noWrap/>
            <w:vAlign w:val="center"/>
            <w:hideMark/>
          </w:tcPr>
          <w:p w14:paraId="5687B790" w14:textId="1C75B363"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76,26%</w:t>
            </w:r>
          </w:p>
        </w:tc>
        <w:tc>
          <w:tcPr>
            <w:tcW w:w="631" w:type="pct"/>
            <w:shd w:val="clear" w:color="auto" w:fill="FFFFFF" w:themeFill="background1"/>
            <w:noWrap/>
            <w:vAlign w:val="center"/>
            <w:hideMark/>
          </w:tcPr>
          <w:p w14:paraId="2F99F73D" w14:textId="5441998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3.308,86</w:t>
            </w:r>
          </w:p>
        </w:tc>
      </w:tr>
      <w:tr w:rsidR="00385DDD" w:rsidRPr="00385DDD" w14:paraId="69A36BC2" w14:textId="77777777" w:rsidTr="00A14901">
        <w:trPr>
          <w:trHeight w:val="340"/>
        </w:trPr>
        <w:tc>
          <w:tcPr>
            <w:tcW w:w="636" w:type="pct"/>
            <w:shd w:val="clear" w:color="auto" w:fill="FFFFFF" w:themeFill="background1"/>
            <w:noWrap/>
            <w:vAlign w:val="center"/>
            <w:hideMark/>
          </w:tcPr>
          <w:p w14:paraId="099D2AF1"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3213</w:t>
            </w:r>
          </w:p>
        </w:tc>
        <w:tc>
          <w:tcPr>
            <w:tcW w:w="1839" w:type="pct"/>
            <w:shd w:val="clear" w:color="auto" w:fill="FFFFFF" w:themeFill="background1"/>
            <w:noWrap/>
            <w:vAlign w:val="center"/>
            <w:hideMark/>
          </w:tcPr>
          <w:p w14:paraId="6D85277B" w14:textId="77777777" w:rsidR="00385DDD" w:rsidRPr="00385DDD" w:rsidRDefault="00385DDD" w:rsidP="00A14901">
            <w:pPr>
              <w:snapToGrid w:val="0"/>
              <w:spacing w:before="20" w:after="20" w:line="240" w:lineRule="auto"/>
              <w:rPr>
                <w:sz w:val="16"/>
                <w:szCs w:val="16"/>
              </w:rPr>
            </w:pPr>
            <w:r w:rsidRPr="00385DDD">
              <w:rPr>
                <w:sz w:val="16"/>
                <w:szCs w:val="16"/>
              </w:rPr>
              <w:t>Stručno usavršavanje zaposlenika</w:t>
            </w:r>
          </w:p>
        </w:tc>
        <w:tc>
          <w:tcPr>
            <w:tcW w:w="631" w:type="pct"/>
            <w:shd w:val="clear" w:color="auto" w:fill="FFFFFF" w:themeFill="background1"/>
            <w:noWrap/>
            <w:vAlign w:val="center"/>
            <w:hideMark/>
          </w:tcPr>
          <w:p w14:paraId="284881E9" w14:textId="0C110806"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2.000,00</w:t>
            </w:r>
          </w:p>
        </w:tc>
        <w:tc>
          <w:tcPr>
            <w:tcW w:w="631" w:type="pct"/>
            <w:shd w:val="clear" w:color="auto" w:fill="FFFFFF" w:themeFill="background1"/>
            <w:noWrap/>
            <w:vAlign w:val="center"/>
            <w:hideMark/>
          </w:tcPr>
          <w:p w14:paraId="00AC949A" w14:textId="775BE3FA"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1.100,75</w:t>
            </w:r>
          </w:p>
        </w:tc>
        <w:tc>
          <w:tcPr>
            <w:tcW w:w="631" w:type="pct"/>
            <w:shd w:val="clear" w:color="auto" w:fill="FFFFFF" w:themeFill="background1"/>
            <w:noWrap/>
            <w:vAlign w:val="center"/>
            <w:hideMark/>
          </w:tcPr>
          <w:p w14:paraId="77CD79F6" w14:textId="63FFF6FA"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55,04%</w:t>
            </w:r>
          </w:p>
        </w:tc>
        <w:tc>
          <w:tcPr>
            <w:tcW w:w="631" w:type="pct"/>
            <w:shd w:val="clear" w:color="auto" w:fill="FFFFFF" w:themeFill="background1"/>
            <w:noWrap/>
            <w:vAlign w:val="center"/>
            <w:hideMark/>
          </w:tcPr>
          <w:p w14:paraId="20CCBE0B" w14:textId="7EDA0D69"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899,25</w:t>
            </w:r>
          </w:p>
        </w:tc>
      </w:tr>
      <w:tr w:rsidR="00385DDD" w:rsidRPr="00385DDD" w14:paraId="25CA9905" w14:textId="77777777" w:rsidTr="00A14901">
        <w:trPr>
          <w:trHeight w:val="340"/>
        </w:trPr>
        <w:tc>
          <w:tcPr>
            <w:tcW w:w="636" w:type="pct"/>
            <w:shd w:val="clear" w:color="auto" w:fill="FFFFFF" w:themeFill="background1"/>
            <w:noWrap/>
            <w:vAlign w:val="center"/>
            <w:hideMark/>
          </w:tcPr>
          <w:p w14:paraId="3D69E16B"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3214</w:t>
            </w:r>
          </w:p>
        </w:tc>
        <w:tc>
          <w:tcPr>
            <w:tcW w:w="1839" w:type="pct"/>
            <w:shd w:val="clear" w:color="auto" w:fill="FFFFFF" w:themeFill="background1"/>
            <w:noWrap/>
            <w:vAlign w:val="center"/>
            <w:hideMark/>
          </w:tcPr>
          <w:p w14:paraId="21F9ADF3" w14:textId="77777777" w:rsidR="00385DDD" w:rsidRPr="00385DDD" w:rsidRDefault="00385DDD" w:rsidP="00A14901">
            <w:pPr>
              <w:snapToGrid w:val="0"/>
              <w:spacing w:before="20" w:after="20" w:line="240" w:lineRule="auto"/>
              <w:rPr>
                <w:sz w:val="16"/>
                <w:szCs w:val="16"/>
              </w:rPr>
            </w:pPr>
            <w:r w:rsidRPr="00385DDD">
              <w:rPr>
                <w:sz w:val="16"/>
                <w:szCs w:val="16"/>
              </w:rPr>
              <w:t>Ostale naknade troškova zaposlenima</w:t>
            </w:r>
          </w:p>
        </w:tc>
        <w:tc>
          <w:tcPr>
            <w:tcW w:w="631" w:type="pct"/>
            <w:shd w:val="clear" w:color="auto" w:fill="FFFFFF" w:themeFill="background1"/>
            <w:noWrap/>
            <w:vAlign w:val="center"/>
            <w:hideMark/>
          </w:tcPr>
          <w:p w14:paraId="02930239" w14:textId="00A7246D"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200,00</w:t>
            </w:r>
          </w:p>
        </w:tc>
        <w:tc>
          <w:tcPr>
            <w:tcW w:w="631" w:type="pct"/>
            <w:shd w:val="clear" w:color="auto" w:fill="FFFFFF" w:themeFill="background1"/>
            <w:noWrap/>
            <w:vAlign w:val="center"/>
            <w:hideMark/>
          </w:tcPr>
          <w:p w14:paraId="5CC8E7FF" w14:textId="0A7EBF89"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227910AF" w14:textId="345C708D"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1981DB66" w14:textId="6991DD27"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200,00</w:t>
            </w:r>
          </w:p>
        </w:tc>
      </w:tr>
      <w:tr w:rsidR="00385DDD" w:rsidRPr="00385DDD" w14:paraId="4B14A604" w14:textId="77777777" w:rsidTr="00A14901">
        <w:trPr>
          <w:trHeight w:val="340"/>
        </w:trPr>
        <w:tc>
          <w:tcPr>
            <w:tcW w:w="636" w:type="pct"/>
            <w:shd w:val="clear" w:color="auto" w:fill="F2F2F2" w:themeFill="background1" w:themeFillShade="F2"/>
            <w:noWrap/>
            <w:vAlign w:val="center"/>
            <w:hideMark/>
          </w:tcPr>
          <w:p w14:paraId="685D1ACC" w14:textId="77777777" w:rsidR="00385DDD" w:rsidRPr="00385DDD" w:rsidRDefault="00385DDD" w:rsidP="00A14901">
            <w:pPr>
              <w:snapToGrid w:val="0"/>
              <w:spacing w:before="20" w:after="20" w:line="240" w:lineRule="auto"/>
              <w:jc w:val="center"/>
              <w:rPr>
                <w:sz w:val="16"/>
                <w:szCs w:val="16"/>
              </w:rPr>
            </w:pPr>
            <w:r w:rsidRPr="00385DDD">
              <w:rPr>
                <w:sz w:val="16"/>
                <w:szCs w:val="16"/>
              </w:rPr>
              <w:t>322</w:t>
            </w:r>
          </w:p>
        </w:tc>
        <w:tc>
          <w:tcPr>
            <w:tcW w:w="1839" w:type="pct"/>
            <w:shd w:val="clear" w:color="auto" w:fill="F2F2F2" w:themeFill="background1" w:themeFillShade="F2"/>
            <w:noWrap/>
            <w:vAlign w:val="center"/>
            <w:hideMark/>
          </w:tcPr>
          <w:p w14:paraId="56D9F6F9" w14:textId="77777777" w:rsidR="00385DDD" w:rsidRPr="00385DDD" w:rsidRDefault="00385DDD" w:rsidP="00A14901">
            <w:pPr>
              <w:snapToGrid w:val="0"/>
              <w:spacing w:before="20" w:after="20" w:line="240" w:lineRule="auto"/>
              <w:rPr>
                <w:sz w:val="16"/>
                <w:szCs w:val="16"/>
              </w:rPr>
            </w:pPr>
            <w:r w:rsidRPr="00385DDD">
              <w:rPr>
                <w:sz w:val="16"/>
                <w:szCs w:val="16"/>
              </w:rPr>
              <w:t>Rashodi za materijal i energiju</w:t>
            </w:r>
          </w:p>
        </w:tc>
        <w:tc>
          <w:tcPr>
            <w:tcW w:w="631" w:type="pct"/>
            <w:shd w:val="clear" w:color="auto" w:fill="F2F2F2" w:themeFill="background1" w:themeFillShade="F2"/>
            <w:noWrap/>
            <w:vAlign w:val="center"/>
            <w:hideMark/>
          </w:tcPr>
          <w:p w14:paraId="02E499C2" w14:textId="1423A457"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14.250,00</w:t>
            </w:r>
          </w:p>
        </w:tc>
        <w:tc>
          <w:tcPr>
            <w:tcW w:w="631" w:type="pct"/>
            <w:shd w:val="clear" w:color="auto" w:fill="F2F2F2" w:themeFill="background1" w:themeFillShade="F2"/>
            <w:noWrap/>
            <w:vAlign w:val="center"/>
            <w:hideMark/>
          </w:tcPr>
          <w:p w14:paraId="16EB5F27" w14:textId="40902F6C"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10.554,87</w:t>
            </w:r>
          </w:p>
        </w:tc>
        <w:tc>
          <w:tcPr>
            <w:tcW w:w="631" w:type="pct"/>
            <w:shd w:val="clear" w:color="auto" w:fill="F2F2F2" w:themeFill="background1" w:themeFillShade="F2"/>
            <w:noWrap/>
            <w:vAlign w:val="center"/>
            <w:hideMark/>
          </w:tcPr>
          <w:p w14:paraId="5EAE0D12" w14:textId="7A274792"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74,07%</w:t>
            </w:r>
          </w:p>
        </w:tc>
        <w:tc>
          <w:tcPr>
            <w:tcW w:w="631" w:type="pct"/>
            <w:shd w:val="clear" w:color="auto" w:fill="F2F2F2" w:themeFill="background1" w:themeFillShade="F2"/>
            <w:noWrap/>
            <w:vAlign w:val="center"/>
            <w:hideMark/>
          </w:tcPr>
          <w:p w14:paraId="56385B55" w14:textId="02B1F792"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3.695,13</w:t>
            </w:r>
          </w:p>
        </w:tc>
      </w:tr>
      <w:tr w:rsidR="00385DDD" w:rsidRPr="00385DDD" w14:paraId="6BF168D6" w14:textId="77777777" w:rsidTr="00A14901">
        <w:trPr>
          <w:trHeight w:val="340"/>
        </w:trPr>
        <w:tc>
          <w:tcPr>
            <w:tcW w:w="636" w:type="pct"/>
            <w:shd w:val="clear" w:color="auto" w:fill="FFFFFF" w:themeFill="background1"/>
            <w:noWrap/>
            <w:vAlign w:val="center"/>
            <w:hideMark/>
          </w:tcPr>
          <w:p w14:paraId="7231D4FF"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3221</w:t>
            </w:r>
          </w:p>
        </w:tc>
        <w:tc>
          <w:tcPr>
            <w:tcW w:w="1839" w:type="pct"/>
            <w:shd w:val="clear" w:color="auto" w:fill="FFFFFF" w:themeFill="background1"/>
            <w:noWrap/>
            <w:vAlign w:val="center"/>
            <w:hideMark/>
          </w:tcPr>
          <w:p w14:paraId="7CC529E7" w14:textId="77777777" w:rsidR="00385DDD" w:rsidRPr="00385DDD" w:rsidRDefault="00385DDD" w:rsidP="00A14901">
            <w:pPr>
              <w:snapToGrid w:val="0"/>
              <w:spacing w:before="20" w:after="20" w:line="240" w:lineRule="auto"/>
              <w:rPr>
                <w:sz w:val="16"/>
                <w:szCs w:val="16"/>
              </w:rPr>
            </w:pPr>
            <w:r w:rsidRPr="00385DDD">
              <w:rPr>
                <w:rFonts w:cs="Arial"/>
                <w:sz w:val="16"/>
                <w:szCs w:val="16"/>
              </w:rPr>
              <w:t>Uredski materijal i ostali mat.rashodi</w:t>
            </w:r>
          </w:p>
        </w:tc>
        <w:tc>
          <w:tcPr>
            <w:tcW w:w="631" w:type="pct"/>
            <w:shd w:val="clear" w:color="auto" w:fill="FFFFFF" w:themeFill="background1"/>
            <w:noWrap/>
            <w:vAlign w:val="center"/>
            <w:hideMark/>
          </w:tcPr>
          <w:p w14:paraId="32E57915" w14:textId="63B2A1A2"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2.500,00</w:t>
            </w:r>
          </w:p>
        </w:tc>
        <w:tc>
          <w:tcPr>
            <w:tcW w:w="631" w:type="pct"/>
            <w:shd w:val="clear" w:color="auto" w:fill="FFFFFF" w:themeFill="background1"/>
            <w:noWrap/>
            <w:vAlign w:val="center"/>
            <w:hideMark/>
          </w:tcPr>
          <w:p w14:paraId="2862DF57" w14:textId="4421C93E"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2.559,20</w:t>
            </w:r>
          </w:p>
        </w:tc>
        <w:tc>
          <w:tcPr>
            <w:tcW w:w="631" w:type="pct"/>
            <w:shd w:val="clear" w:color="auto" w:fill="FFFFFF" w:themeFill="background1"/>
            <w:noWrap/>
            <w:vAlign w:val="center"/>
            <w:hideMark/>
          </w:tcPr>
          <w:p w14:paraId="741ED5BC" w14:textId="1FBAA55E"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102,37%</w:t>
            </w:r>
          </w:p>
        </w:tc>
        <w:tc>
          <w:tcPr>
            <w:tcW w:w="631" w:type="pct"/>
            <w:shd w:val="clear" w:color="auto" w:fill="FFFFFF" w:themeFill="background1"/>
            <w:noWrap/>
            <w:vAlign w:val="center"/>
            <w:hideMark/>
          </w:tcPr>
          <w:p w14:paraId="5DFA71ED" w14:textId="41E0D1F5"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-59,20</w:t>
            </w:r>
          </w:p>
        </w:tc>
      </w:tr>
      <w:tr w:rsidR="00385DDD" w:rsidRPr="00385DDD" w14:paraId="77D39F0E" w14:textId="77777777" w:rsidTr="00A14901">
        <w:trPr>
          <w:trHeight w:val="340"/>
        </w:trPr>
        <w:tc>
          <w:tcPr>
            <w:tcW w:w="636" w:type="pct"/>
            <w:shd w:val="clear" w:color="auto" w:fill="FFFFFF" w:themeFill="background1"/>
            <w:noWrap/>
            <w:vAlign w:val="center"/>
            <w:hideMark/>
          </w:tcPr>
          <w:p w14:paraId="274FCE7B" w14:textId="77777777" w:rsidR="00385DDD" w:rsidRPr="00385DDD" w:rsidRDefault="00385DDD" w:rsidP="00A14901">
            <w:pPr>
              <w:snapToGrid w:val="0"/>
              <w:spacing w:before="20" w:after="20" w:line="240" w:lineRule="auto"/>
              <w:jc w:val="center"/>
              <w:rPr>
                <w:sz w:val="16"/>
                <w:szCs w:val="16"/>
              </w:rPr>
            </w:pPr>
            <w:r w:rsidRPr="00385DDD">
              <w:rPr>
                <w:sz w:val="16"/>
                <w:szCs w:val="16"/>
              </w:rPr>
              <w:t>3223</w:t>
            </w:r>
          </w:p>
        </w:tc>
        <w:tc>
          <w:tcPr>
            <w:tcW w:w="1839" w:type="pct"/>
            <w:shd w:val="clear" w:color="auto" w:fill="FFFFFF" w:themeFill="background1"/>
            <w:noWrap/>
            <w:vAlign w:val="center"/>
            <w:hideMark/>
          </w:tcPr>
          <w:p w14:paraId="3BB11E86" w14:textId="77777777" w:rsidR="00385DDD" w:rsidRPr="00385DDD" w:rsidRDefault="00385DDD" w:rsidP="00A14901">
            <w:pPr>
              <w:snapToGrid w:val="0"/>
              <w:spacing w:before="20" w:after="20" w:line="240" w:lineRule="auto"/>
              <w:rPr>
                <w:sz w:val="16"/>
                <w:szCs w:val="16"/>
              </w:rPr>
            </w:pPr>
            <w:r w:rsidRPr="00385DDD">
              <w:rPr>
                <w:sz w:val="16"/>
                <w:szCs w:val="16"/>
              </w:rPr>
              <w:t>Energija</w:t>
            </w:r>
          </w:p>
        </w:tc>
        <w:tc>
          <w:tcPr>
            <w:tcW w:w="631" w:type="pct"/>
            <w:shd w:val="clear" w:color="auto" w:fill="FFFFFF" w:themeFill="background1"/>
            <w:noWrap/>
            <w:vAlign w:val="center"/>
            <w:hideMark/>
          </w:tcPr>
          <w:p w14:paraId="14ECCC5B" w14:textId="77EA1576"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10.750,00</w:t>
            </w:r>
          </w:p>
        </w:tc>
        <w:tc>
          <w:tcPr>
            <w:tcW w:w="631" w:type="pct"/>
            <w:shd w:val="clear" w:color="auto" w:fill="FFFFFF" w:themeFill="background1"/>
            <w:noWrap/>
            <w:vAlign w:val="center"/>
            <w:hideMark/>
          </w:tcPr>
          <w:p w14:paraId="5B687215" w14:textId="23AED46A"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7.395,67</w:t>
            </w:r>
          </w:p>
        </w:tc>
        <w:tc>
          <w:tcPr>
            <w:tcW w:w="631" w:type="pct"/>
            <w:shd w:val="clear" w:color="auto" w:fill="FFFFFF" w:themeFill="background1"/>
            <w:noWrap/>
            <w:vAlign w:val="center"/>
            <w:hideMark/>
          </w:tcPr>
          <w:p w14:paraId="50ED8437" w14:textId="79B6D976"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68,80%</w:t>
            </w:r>
          </w:p>
        </w:tc>
        <w:tc>
          <w:tcPr>
            <w:tcW w:w="631" w:type="pct"/>
            <w:shd w:val="clear" w:color="auto" w:fill="FFFFFF" w:themeFill="background1"/>
            <w:noWrap/>
            <w:vAlign w:val="center"/>
            <w:hideMark/>
          </w:tcPr>
          <w:p w14:paraId="42F62419" w14:textId="760639F6"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3.354,33</w:t>
            </w:r>
          </w:p>
        </w:tc>
      </w:tr>
      <w:tr w:rsidR="00385DDD" w:rsidRPr="00385DDD" w14:paraId="4CC23CA3" w14:textId="77777777" w:rsidTr="00A14901">
        <w:trPr>
          <w:trHeight w:val="340"/>
        </w:trPr>
        <w:tc>
          <w:tcPr>
            <w:tcW w:w="636" w:type="pct"/>
            <w:shd w:val="clear" w:color="auto" w:fill="FFFFFF" w:themeFill="background1"/>
            <w:noWrap/>
            <w:vAlign w:val="center"/>
            <w:hideMark/>
          </w:tcPr>
          <w:p w14:paraId="0C89E356"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3225</w:t>
            </w:r>
          </w:p>
        </w:tc>
        <w:tc>
          <w:tcPr>
            <w:tcW w:w="1839" w:type="pct"/>
            <w:shd w:val="clear" w:color="auto" w:fill="FFFFFF" w:themeFill="background1"/>
            <w:noWrap/>
            <w:vAlign w:val="center"/>
            <w:hideMark/>
          </w:tcPr>
          <w:p w14:paraId="20E3087A" w14:textId="77777777" w:rsidR="00385DDD" w:rsidRPr="00385DDD" w:rsidRDefault="00385DDD" w:rsidP="00A14901">
            <w:pPr>
              <w:snapToGrid w:val="0"/>
              <w:spacing w:before="20" w:after="20" w:line="240" w:lineRule="auto"/>
              <w:rPr>
                <w:sz w:val="16"/>
                <w:szCs w:val="16"/>
              </w:rPr>
            </w:pPr>
            <w:r w:rsidRPr="00385DDD">
              <w:rPr>
                <w:rFonts w:cs="Arial"/>
                <w:sz w:val="16"/>
                <w:szCs w:val="16"/>
              </w:rPr>
              <w:t>Sitni inventar i auto gume</w:t>
            </w:r>
          </w:p>
        </w:tc>
        <w:tc>
          <w:tcPr>
            <w:tcW w:w="631" w:type="pct"/>
            <w:shd w:val="clear" w:color="auto" w:fill="FFFFFF" w:themeFill="background1"/>
            <w:noWrap/>
            <w:vAlign w:val="center"/>
            <w:hideMark/>
          </w:tcPr>
          <w:p w14:paraId="40C8E692" w14:textId="2D2DFAFA"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1.000,00</w:t>
            </w:r>
          </w:p>
        </w:tc>
        <w:tc>
          <w:tcPr>
            <w:tcW w:w="631" w:type="pct"/>
            <w:shd w:val="clear" w:color="auto" w:fill="FFFFFF" w:themeFill="background1"/>
            <w:noWrap/>
            <w:vAlign w:val="center"/>
            <w:hideMark/>
          </w:tcPr>
          <w:p w14:paraId="764235FE" w14:textId="630CF52E"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600,00</w:t>
            </w:r>
          </w:p>
        </w:tc>
        <w:tc>
          <w:tcPr>
            <w:tcW w:w="631" w:type="pct"/>
            <w:shd w:val="clear" w:color="auto" w:fill="FFFFFF" w:themeFill="background1"/>
            <w:noWrap/>
            <w:vAlign w:val="center"/>
            <w:hideMark/>
          </w:tcPr>
          <w:p w14:paraId="651E5200" w14:textId="029D5E3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60,00%</w:t>
            </w:r>
          </w:p>
        </w:tc>
        <w:tc>
          <w:tcPr>
            <w:tcW w:w="631" w:type="pct"/>
            <w:shd w:val="clear" w:color="auto" w:fill="FFFFFF" w:themeFill="background1"/>
            <w:noWrap/>
            <w:vAlign w:val="center"/>
            <w:hideMark/>
          </w:tcPr>
          <w:p w14:paraId="573CA63C" w14:textId="04598D76"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400,00</w:t>
            </w:r>
          </w:p>
        </w:tc>
      </w:tr>
      <w:tr w:rsidR="00385DDD" w:rsidRPr="00385DDD" w14:paraId="03134060" w14:textId="77777777" w:rsidTr="00A14901">
        <w:trPr>
          <w:trHeight w:val="340"/>
        </w:trPr>
        <w:tc>
          <w:tcPr>
            <w:tcW w:w="636" w:type="pct"/>
            <w:shd w:val="clear" w:color="auto" w:fill="F2F2F2" w:themeFill="background1" w:themeFillShade="F2"/>
            <w:noWrap/>
            <w:vAlign w:val="center"/>
            <w:hideMark/>
          </w:tcPr>
          <w:p w14:paraId="529D282F"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323</w:t>
            </w:r>
          </w:p>
        </w:tc>
        <w:tc>
          <w:tcPr>
            <w:tcW w:w="1839" w:type="pct"/>
            <w:shd w:val="clear" w:color="auto" w:fill="F2F2F2" w:themeFill="background1" w:themeFillShade="F2"/>
            <w:noWrap/>
            <w:vAlign w:val="center"/>
            <w:hideMark/>
          </w:tcPr>
          <w:p w14:paraId="721B6D49" w14:textId="77777777" w:rsidR="00385DDD" w:rsidRPr="00385DDD" w:rsidRDefault="00385DDD" w:rsidP="00A14901">
            <w:pPr>
              <w:snapToGrid w:val="0"/>
              <w:spacing w:before="20" w:after="20" w:line="240" w:lineRule="auto"/>
              <w:rPr>
                <w:sz w:val="16"/>
                <w:szCs w:val="16"/>
              </w:rPr>
            </w:pPr>
            <w:r w:rsidRPr="00385DDD">
              <w:rPr>
                <w:rFonts w:cs="Arial"/>
                <w:sz w:val="16"/>
                <w:szCs w:val="16"/>
              </w:rPr>
              <w:t>Rashodi za usluge</w:t>
            </w:r>
          </w:p>
        </w:tc>
        <w:tc>
          <w:tcPr>
            <w:tcW w:w="631" w:type="pct"/>
            <w:shd w:val="clear" w:color="auto" w:fill="F2F2F2" w:themeFill="background1" w:themeFillShade="F2"/>
            <w:noWrap/>
            <w:vAlign w:val="center"/>
            <w:hideMark/>
          </w:tcPr>
          <w:p w14:paraId="213C7E09" w14:textId="22855AC3"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72.050,00</w:t>
            </w:r>
          </w:p>
        </w:tc>
        <w:tc>
          <w:tcPr>
            <w:tcW w:w="631" w:type="pct"/>
            <w:shd w:val="clear" w:color="auto" w:fill="F2F2F2" w:themeFill="background1" w:themeFillShade="F2"/>
            <w:noWrap/>
            <w:vAlign w:val="center"/>
            <w:hideMark/>
          </w:tcPr>
          <w:p w14:paraId="28BBE421" w14:textId="6A416FE7"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67.932,85</w:t>
            </w:r>
          </w:p>
        </w:tc>
        <w:tc>
          <w:tcPr>
            <w:tcW w:w="631" w:type="pct"/>
            <w:shd w:val="clear" w:color="auto" w:fill="F2F2F2" w:themeFill="background1" w:themeFillShade="F2"/>
            <w:noWrap/>
            <w:vAlign w:val="center"/>
            <w:hideMark/>
          </w:tcPr>
          <w:p w14:paraId="4B2B9D0E" w14:textId="15063EE9"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94,29%</w:t>
            </w:r>
          </w:p>
        </w:tc>
        <w:tc>
          <w:tcPr>
            <w:tcW w:w="631" w:type="pct"/>
            <w:shd w:val="clear" w:color="auto" w:fill="F2F2F2" w:themeFill="background1" w:themeFillShade="F2"/>
            <w:noWrap/>
            <w:vAlign w:val="center"/>
            <w:hideMark/>
          </w:tcPr>
          <w:p w14:paraId="6334FE78" w14:textId="6C564CBE"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4.117,15</w:t>
            </w:r>
          </w:p>
        </w:tc>
      </w:tr>
      <w:tr w:rsidR="00385DDD" w:rsidRPr="00385DDD" w14:paraId="6CD161C5" w14:textId="77777777" w:rsidTr="00A14901">
        <w:trPr>
          <w:trHeight w:val="340"/>
        </w:trPr>
        <w:tc>
          <w:tcPr>
            <w:tcW w:w="636" w:type="pct"/>
            <w:shd w:val="clear" w:color="auto" w:fill="FFFFFF" w:themeFill="background1"/>
            <w:noWrap/>
            <w:vAlign w:val="center"/>
            <w:hideMark/>
          </w:tcPr>
          <w:p w14:paraId="1499633E"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3231</w:t>
            </w:r>
          </w:p>
        </w:tc>
        <w:tc>
          <w:tcPr>
            <w:tcW w:w="1839" w:type="pct"/>
            <w:shd w:val="clear" w:color="auto" w:fill="FFFFFF" w:themeFill="background1"/>
            <w:noWrap/>
            <w:vAlign w:val="center"/>
            <w:hideMark/>
          </w:tcPr>
          <w:p w14:paraId="5B80F620" w14:textId="77777777" w:rsidR="00385DDD" w:rsidRPr="00385DDD" w:rsidRDefault="00385DDD" w:rsidP="00A14901">
            <w:pPr>
              <w:snapToGrid w:val="0"/>
              <w:spacing w:before="20" w:after="20" w:line="240" w:lineRule="auto"/>
              <w:rPr>
                <w:sz w:val="16"/>
                <w:szCs w:val="16"/>
              </w:rPr>
            </w:pPr>
            <w:r w:rsidRPr="00385DDD">
              <w:rPr>
                <w:rFonts w:cs="Arial"/>
                <w:sz w:val="16"/>
                <w:szCs w:val="16"/>
              </w:rPr>
              <w:t>Usluge telefona. Pošte i prijevoza</w:t>
            </w:r>
          </w:p>
        </w:tc>
        <w:tc>
          <w:tcPr>
            <w:tcW w:w="631" w:type="pct"/>
            <w:shd w:val="clear" w:color="auto" w:fill="FFFFFF" w:themeFill="background1"/>
            <w:noWrap/>
            <w:vAlign w:val="center"/>
            <w:hideMark/>
          </w:tcPr>
          <w:p w14:paraId="7D6F07BB" w14:textId="180EC572"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11.000,00</w:t>
            </w:r>
          </w:p>
        </w:tc>
        <w:tc>
          <w:tcPr>
            <w:tcW w:w="631" w:type="pct"/>
            <w:shd w:val="clear" w:color="auto" w:fill="FFFFFF" w:themeFill="background1"/>
            <w:noWrap/>
            <w:vAlign w:val="center"/>
            <w:hideMark/>
          </w:tcPr>
          <w:p w14:paraId="27889688" w14:textId="274CEAE8"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11.344,68</w:t>
            </w:r>
          </w:p>
        </w:tc>
        <w:tc>
          <w:tcPr>
            <w:tcW w:w="631" w:type="pct"/>
            <w:shd w:val="clear" w:color="auto" w:fill="FFFFFF" w:themeFill="background1"/>
            <w:noWrap/>
            <w:vAlign w:val="center"/>
            <w:hideMark/>
          </w:tcPr>
          <w:p w14:paraId="3E03B427" w14:textId="44261765"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103,13%</w:t>
            </w:r>
          </w:p>
        </w:tc>
        <w:tc>
          <w:tcPr>
            <w:tcW w:w="631" w:type="pct"/>
            <w:shd w:val="clear" w:color="auto" w:fill="FFFFFF" w:themeFill="background1"/>
            <w:noWrap/>
            <w:vAlign w:val="center"/>
            <w:hideMark/>
          </w:tcPr>
          <w:p w14:paraId="2F23005B" w14:textId="654EF14F"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-344,68</w:t>
            </w:r>
          </w:p>
        </w:tc>
      </w:tr>
      <w:tr w:rsidR="00385DDD" w:rsidRPr="00385DDD" w14:paraId="117FEB94" w14:textId="77777777" w:rsidTr="00A14901">
        <w:trPr>
          <w:trHeight w:val="340"/>
        </w:trPr>
        <w:tc>
          <w:tcPr>
            <w:tcW w:w="636" w:type="pct"/>
            <w:shd w:val="clear" w:color="auto" w:fill="FFFFFF" w:themeFill="background1"/>
            <w:noWrap/>
            <w:vAlign w:val="center"/>
            <w:hideMark/>
          </w:tcPr>
          <w:p w14:paraId="37A0C40B"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3232</w:t>
            </w:r>
          </w:p>
        </w:tc>
        <w:tc>
          <w:tcPr>
            <w:tcW w:w="1839" w:type="pct"/>
            <w:shd w:val="clear" w:color="auto" w:fill="FFFFFF" w:themeFill="background1"/>
            <w:noWrap/>
            <w:vAlign w:val="center"/>
            <w:hideMark/>
          </w:tcPr>
          <w:p w14:paraId="2D8DAF0B" w14:textId="7525E41C" w:rsidR="00385DDD" w:rsidRPr="00385DDD" w:rsidRDefault="00385DDD" w:rsidP="00A14901">
            <w:pPr>
              <w:snapToGrid w:val="0"/>
              <w:spacing w:before="20" w:after="20" w:line="240" w:lineRule="auto"/>
              <w:rPr>
                <w:sz w:val="16"/>
                <w:szCs w:val="16"/>
              </w:rPr>
            </w:pPr>
            <w:r w:rsidRPr="00385DDD">
              <w:rPr>
                <w:rFonts w:cs="Arial"/>
                <w:sz w:val="16"/>
                <w:szCs w:val="16"/>
              </w:rPr>
              <w:t>Usluge tek. i invest održavanja</w:t>
            </w:r>
          </w:p>
        </w:tc>
        <w:tc>
          <w:tcPr>
            <w:tcW w:w="631" w:type="pct"/>
            <w:shd w:val="clear" w:color="auto" w:fill="FFFFFF" w:themeFill="background1"/>
            <w:noWrap/>
            <w:vAlign w:val="center"/>
            <w:hideMark/>
          </w:tcPr>
          <w:p w14:paraId="2F80F2B1" w14:textId="43015C30"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4.000,00</w:t>
            </w:r>
          </w:p>
        </w:tc>
        <w:tc>
          <w:tcPr>
            <w:tcW w:w="631" w:type="pct"/>
            <w:shd w:val="clear" w:color="auto" w:fill="FFFFFF" w:themeFill="background1"/>
            <w:noWrap/>
            <w:vAlign w:val="center"/>
            <w:hideMark/>
          </w:tcPr>
          <w:p w14:paraId="00EB44E6" w14:textId="2B945540"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2.953,30</w:t>
            </w:r>
          </w:p>
        </w:tc>
        <w:tc>
          <w:tcPr>
            <w:tcW w:w="631" w:type="pct"/>
            <w:shd w:val="clear" w:color="auto" w:fill="FFFFFF" w:themeFill="background1"/>
            <w:noWrap/>
            <w:vAlign w:val="center"/>
            <w:hideMark/>
          </w:tcPr>
          <w:p w14:paraId="5CBEE1CD" w14:textId="6BFE707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73,83%</w:t>
            </w:r>
          </w:p>
        </w:tc>
        <w:tc>
          <w:tcPr>
            <w:tcW w:w="631" w:type="pct"/>
            <w:shd w:val="clear" w:color="auto" w:fill="FFFFFF" w:themeFill="background1"/>
            <w:noWrap/>
            <w:vAlign w:val="center"/>
            <w:hideMark/>
          </w:tcPr>
          <w:p w14:paraId="21E962CC" w14:textId="5391BA2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1.046,70</w:t>
            </w:r>
          </w:p>
        </w:tc>
      </w:tr>
      <w:tr w:rsidR="00385DDD" w:rsidRPr="00385DDD" w14:paraId="00D9B9C8" w14:textId="77777777" w:rsidTr="00A14901">
        <w:trPr>
          <w:trHeight w:val="340"/>
        </w:trPr>
        <w:tc>
          <w:tcPr>
            <w:tcW w:w="636" w:type="pct"/>
            <w:shd w:val="clear" w:color="auto" w:fill="FFFFFF" w:themeFill="background1"/>
            <w:noWrap/>
            <w:vAlign w:val="center"/>
            <w:hideMark/>
          </w:tcPr>
          <w:p w14:paraId="737D3A78"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3233</w:t>
            </w:r>
          </w:p>
        </w:tc>
        <w:tc>
          <w:tcPr>
            <w:tcW w:w="1839" w:type="pct"/>
            <w:shd w:val="clear" w:color="auto" w:fill="FFFFFF" w:themeFill="background1"/>
            <w:noWrap/>
            <w:vAlign w:val="center"/>
            <w:hideMark/>
          </w:tcPr>
          <w:p w14:paraId="26390628" w14:textId="77777777" w:rsidR="00385DDD" w:rsidRPr="00385DDD" w:rsidRDefault="00385DDD" w:rsidP="00A14901">
            <w:pPr>
              <w:snapToGrid w:val="0"/>
              <w:spacing w:before="20" w:after="20" w:line="240" w:lineRule="auto"/>
              <w:rPr>
                <w:sz w:val="16"/>
                <w:szCs w:val="16"/>
              </w:rPr>
            </w:pPr>
            <w:r w:rsidRPr="00385DDD">
              <w:rPr>
                <w:rFonts w:cs="Arial"/>
                <w:sz w:val="16"/>
                <w:szCs w:val="16"/>
              </w:rPr>
              <w:t>Usluge promidžbe i informiranja</w:t>
            </w:r>
          </w:p>
        </w:tc>
        <w:tc>
          <w:tcPr>
            <w:tcW w:w="631" w:type="pct"/>
            <w:shd w:val="clear" w:color="auto" w:fill="FFFFFF" w:themeFill="background1"/>
            <w:noWrap/>
            <w:vAlign w:val="center"/>
            <w:hideMark/>
          </w:tcPr>
          <w:p w14:paraId="74ADEA0B" w14:textId="22599B2C"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5.000,00</w:t>
            </w:r>
          </w:p>
        </w:tc>
        <w:tc>
          <w:tcPr>
            <w:tcW w:w="631" w:type="pct"/>
            <w:shd w:val="clear" w:color="auto" w:fill="FFFFFF" w:themeFill="background1"/>
            <w:noWrap/>
            <w:vAlign w:val="center"/>
            <w:hideMark/>
          </w:tcPr>
          <w:p w14:paraId="4EF8AD11" w14:textId="140C4708"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2.527,50</w:t>
            </w:r>
          </w:p>
        </w:tc>
        <w:tc>
          <w:tcPr>
            <w:tcW w:w="631" w:type="pct"/>
            <w:shd w:val="clear" w:color="auto" w:fill="FFFFFF" w:themeFill="background1"/>
            <w:noWrap/>
            <w:vAlign w:val="center"/>
            <w:hideMark/>
          </w:tcPr>
          <w:p w14:paraId="351455CB" w14:textId="48D051F3"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50,55%</w:t>
            </w:r>
          </w:p>
        </w:tc>
        <w:tc>
          <w:tcPr>
            <w:tcW w:w="631" w:type="pct"/>
            <w:shd w:val="clear" w:color="auto" w:fill="FFFFFF" w:themeFill="background1"/>
            <w:noWrap/>
            <w:vAlign w:val="center"/>
            <w:hideMark/>
          </w:tcPr>
          <w:p w14:paraId="682C26CF" w14:textId="3514DEEC"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2.472,50</w:t>
            </w:r>
          </w:p>
        </w:tc>
      </w:tr>
      <w:tr w:rsidR="00385DDD" w:rsidRPr="00385DDD" w14:paraId="05BB019D" w14:textId="77777777" w:rsidTr="00A14901">
        <w:trPr>
          <w:trHeight w:val="340"/>
        </w:trPr>
        <w:tc>
          <w:tcPr>
            <w:tcW w:w="636" w:type="pct"/>
            <w:shd w:val="clear" w:color="auto" w:fill="FFFFFF" w:themeFill="background1"/>
            <w:noWrap/>
            <w:vAlign w:val="center"/>
            <w:hideMark/>
          </w:tcPr>
          <w:p w14:paraId="3BB8D452"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3234</w:t>
            </w:r>
          </w:p>
        </w:tc>
        <w:tc>
          <w:tcPr>
            <w:tcW w:w="1839" w:type="pct"/>
            <w:shd w:val="clear" w:color="auto" w:fill="FFFFFF" w:themeFill="background1"/>
            <w:noWrap/>
            <w:vAlign w:val="center"/>
            <w:hideMark/>
          </w:tcPr>
          <w:p w14:paraId="3CB61D24" w14:textId="77777777" w:rsidR="00385DDD" w:rsidRPr="00385DDD" w:rsidRDefault="00385DDD" w:rsidP="00A14901">
            <w:pPr>
              <w:snapToGrid w:val="0"/>
              <w:spacing w:before="20" w:after="20" w:line="240" w:lineRule="auto"/>
              <w:rPr>
                <w:sz w:val="16"/>
                <w:szCs w:val="16"/>
              </w:rPr>
            </w:pPr>
            <w:r w:rsidRPr="00385DDD">
              <w:rPr>
                <w:rFonts w:cs="Arial"/>
                <w:sz w:val="16"/>
                <w:szCs w:val="16"/>
              </w:rPr>
              <w:t>Komunalne usluge</w:t>
            </w:r>
          </w:p>
        </w:tc>
        <w:tc>
          <w:tcPr>
            <w:tcW w:w="631" w:type="pct"/>
            <w:shd w:val="clear" w:color="auto" w:fill="FFFFFF" w:themeFill="background1"/>
            <w:noWrap/>
            <w:vAlign w:val="center"/>
            <w:hideMark/>
          </w:tcPr>
          <w:p w14:paraId="3188BABB" w14:textId="5867411C"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4.550,00</w:t>
            </w:r>
          </w:p>
        </w:tc>
        <w:tc>
          <w:tcPr>
            <w:tcW w:w="631" w:type="pct"/>
            <w:shd w:val="clear" w:color="auto" w:fill="FFFFFF" w:themeFill="background1"/>
            <w:noWrap/>
            <w:vAlign w:val="center"/>
            <w:hideMark/>
          </w:tcPr>
          <w:p w14:paraId="65706ACD" w14:textId="1F8236CF"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6.401,82</w:t>
            </w:r>
          </w:p>
        </w:tc>
        <w:tc>
          <w:tcPr>
            <w:tcW w:w="631" w:type="pct"/>
            <w:shd w:val="clear" w:color="auto" w:fill="FFFFFF" w:themeFill="background1"/>
            <w:noWrap/>
            <w:vAlign w:val="center"/>
            <w:hideMark/>
          </w:tcPr>
          <w:p w14:paraId="24BE36A1" w14:textId="2444508D"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140,70%</w:t>
            </w:r>
          </w:p>
        </w:tc>
        <w:tc>
          <w:tcPr>
            <w:tcW w:w="631" w:type="pct"/>
            <w:shd w:val="clear" w:color="auto" w:fill="FFFFFF" w:themeFill="background1"/>
            <w:noWrap/>
            <w:vAlign w:val="center"/>
            <w:hideMark/>
          </w:tcPr>
          <w:p w14:paraId="30429781" w14:textId="174899EC"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-1.851,82</w:t>
            </w:r>
          </w:p>
        </w:tc>
      </w:tr>
      <w:tr w:rsidR="00385DDD" w:rsidRPr="00385DDD" w14:paraId="144A68D9" w14:textId="77777777" w:rsidTr="00A14901">
        <w:trPr>
          <w:trHeight w:val="340"/>
        </w:trPr>
        <w:tc>
          <w:tcPr>
            <w:tcW w:w="636" w:type="pct"/>
            <w:shd w:val="clear" w:color="auto" w:fill="FFFFFF" w:themeFill="background1"/>
            <w:noWrap/>
            <w:vAlign w:val="center"/>
            <w:hideMark/>
          </w:tcPr>
          <w:p w14:paraId="72399E07"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3235</w:t>
            </w:r>
          </w:p>
        </w:tc>
        <w:tc>
          <w:tcPr>
            <w:tcW w:w="1839" w:type="pct"/>
            <w:shd w:val="clear" w:color="auto" w:fill="FFFFFF" w:themeFill="background1"/>
            <w:noWrap/>
            <w:vAlign w:val="center"/>
            <w:hideMark/>
          </w:tcPr>
          <w:p w14:paraId="27706303" w14:textId="77777777" w:rsidR="00385DDD" w:rsidRPr="00385DDD" w:rsidRDefault="00385DDD" w:rsidP="00A14901">
            <w:pPr>
              <w:snapToGrid w:val="0"/>
              <w:spacing w:before="20" w:after="20" w:line="240" w:lineRule="auto"/>
              <w:rPr>
                <w:sz w:val="16"/>
                <w:szCs w:val="16"/>
              </w:rPr>
            </w:pPr>
            <w:r w:rsidRPr="00385DDD">
              <w:rPr>
                <w:rFonts w:cs="Arial"/>
                <w:sz w:val="16"/>
                <w:szCs w:val="16"/>
              </w:rPr>
              <w:t>Zakupnine i najamnine</w:t>
            </w:r>
          </w:p>
        </w:tc>
        <w:tc>
          <w:tcPr>
            <w:tcW w:w="631" w:type="pct"/>
            <w:shd w:val="clear" w:color="auto" w:fill="FFFFFF" w:themeFill="background1"/>
            <w:noWrap/>
            <w:vAlign w:val="center"/>
            <w:hideMark/>
          </w:tcPr>
          <w:p w14:paraId="1D93364B" w14:textId="28731B5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9.000,00</w:t>
            </w:r>
          </w:p>
        </w:tc>
        <w:tc>
          <w:tcPr>
            <w:tcW w:w="631" w:type="pct"/>
            <w:shd w:val="clear" w:color="auto" w:fill="FFFFFF" w:themeFill="background1"/>
            <w:noWrap/>
            <w:vAlign w:val="center"/>
            <w:hideMark/>
          </w:tcPr>
          <w:p w14:paraId="3396AAAC" w14:textId="4349567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7.345,14</w:t>
            </w:r>
          </w:p>
        </w:tc>
        <w:tc>
          <w:tcPr>
            <w:tcW w:w="631" w:type="pct"/>
            <w:shd w:val="clear" w:color="auto" w:fill="FFFFFF" w:themeFill="background1"/>
            <w:noWrap/>
            <w:vAlign w:val="center"/>
            <w:hideMark/>
          </w:tcPr>
          <w:p w14:paraId="361E50A4" w14:textId="13E2F0C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81,61%</w:t>
            </w:r>
          </w:p>
        </w:tc>
        <w:tc>
          <w:tcPr>
            <w:tcW w:w="631" w:type="pct"/>
            <w:shd w:val="clear" w:color="auto" w:fill="FFFFFF" w:themeFill="background1"/>
            <w:noWrap/>
            <w:vAlign w:val="center"/>
            <w:hideMark/>
          </w:tcPr>
          <w:p w14:paraId="44087A58" w14:textId="172B613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1.654,86</w:t>
            </w:r>
          </w:p>
        </w:tc>
      </w:tr>
      <w:tr w:rsidR="00385DDD" w:rsidRPr="00385DDD" w14:paraId="77CC88E5" w14:textId="77777777" w:rsidTr="00A14901">
        <w:trPr>
          <w:trHeight w:val="340"/>
        </w:trPr>
        <w:tc>
          <w:tcPr>
            <w:tcW w:w="636" w:type="pct"/>
            <w:shd w:val="clear" w:color="auto" w:fill="FFFFFF" w:themeFill="background1"/>
            <w:noWrap/>
            <w:vAlign w:val="center"/>
            <w:hideMark/>
          </w:tcPr>
          <w:p w14:paraId="05A50F5F"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lastRenderedPageBreak/>
              <w:t>3236</w:t>
            </w:r>
          </w:p>
        </w:tc>
        <w:tc>
          <w:tcPr>
            <w:tcW w:w="1839" w:type="pct"/>
            <w:shd w:val="clear" w:color="auto" w:fill="FFFFFF" w:themeFill="background1"/>
            <w:noWrap/>
            <w:vAlign w:val="center"/>
            <w:hideMark/>
          </w:tcPr>
          <w:p w14:paraId="284B6E61" w14:textId="77777777" w:rsidR="00385DDD" w:rsidRPr="00385DDD" w:rsidRDefault="00385DDD" w:rsidP="00A14901">
            <w:pPr>
              <w:snapToGrid w:val="0"/>
              <w:spacing w:before="20" w:after="20" w:line="240" w:lineRule="auto"/>
              <w:rPr>
                <w:sz w:val="16"/>
                <w:szCs w:val="16"/>
              </w:rPr>
            </w:pPr>
            <w:r w:rsidRPr="00385DDD">
              <w:rPr>
                <w:rFonts w:cs="Arial"/>
                <w:sz w:val="16"/>
                <w:szCs w:val="16"/>
              </w:rPr>
              <w:t>Zdravstvene i veterinarske usluge</w:t>
            </w:r>
          </w:p>
        </w:tc>
        <w:tc>
          <w:tcPr>
            <w:tcW w:w="631" w:type="pct"/>
            <w:shd w:val="clear" w:color="auto" w:fill="FFFFFF" w:themeFill="background1"/>
            <w:noWrap/>
            <w:vAlign w:val="center"/>
            <w:hideMark/>
          </w:tcPr>
          <w:p w14:paraId="70D641EC" w14:textId="3A1713B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2.000,00</w:t>
            </w:r>
          </w:p>
        </w:tc>
        <w:tc>
          <w:tcPr>
            <w:tcW w:w="631" w:type="pct"/>
            <w:shd w:val="clear" w:color="auto" w:fill="FFFFFF" w:themeFill="background1"/>
            <w:noWrap/>
            <w:vAlign w:val="center"/>
            <w:hideMark/>
          </w:tcPr>
          <w:p w14:paraId="66ABEDE6" w14:textId="5DFD17AF"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1.440,00</w:t>
            </w:r>
          </w:p>
        </w:tc>
        <w:tc>
          <w:tcPr>
            <w:tcW w:w="631" w:type="pct"/>
            <w:shd w:val="clear" w:color="auto" w:fill="FFFFFF" w:themeFill="background1"/>
            <w:noWrap/>
            <w:vAlign w:val="center"/>
            <w:hideMark/>
          </w:tcPr>
          <w:p w14:paraId="6CD2716F" w14:textId="16620CB2"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72,00%</w:t>
            </w:r>
          </w:p>
        </w:tc>
        <w:tc>
          <w:tcPr>
            <w:tcW w:w="631" w:type="pct"/>
            <w:shd w:val="clear" w:color="auto" w:fill="FFFFFF" w:themeFill="background1"/>
            <w:noWrap/>
            <w:vAlign w:val="center"/>
            <w:hideMark/>
          </w:tcPr>
          <w:p w14:paraId="6056AA34" w14:textId="3D51A1E7"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560,00</w:t>
            </w:r>
          </w:p>
        </w:tc>
      </w:tr>
      <w:tr w:rsidR="00385DDD" w:rsidRPr="00385DDD" w14:paraId="5D41B1DC" w14:textId="77777777" w:rsidTr="00A14901">
        <w:trPr>
          <w:trHeight w:val="340"/>
        </w:trPr>
        <w:tc>
          <w:tcPr>
            <w:tcW w:w="636" w:type="pct"/>
            <w:shd w:val="clear" w:color="auto" w:fill="FFFFFF" w:themeFill="background1"/>
            <w:noWrap/>
            <w:vAlign w:val="center"/>
            <w:hideMark/>
          </w:tcPr>
          <w:p w14:paraId="7CACAAA1"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3237</w:t>
            </w:r>
          </w:p>
        </w:tc>
        <w:tc>
          <w:tcPr>
            <w:tcW w:w="1839" w:type="pct"/>
            <w:shd w:val="clear" w:color="auto" w:fill="FFFFFF" w:themeFill="background1"/>
            <w:noWrap/>
            <w:vAlign w:val="center"/>
            <w:hideMark/>
          </w:tcPr>
          <w:p w14:paraId="071AE2FE" w14:textId="77777777" w:rsidR="00385DDD" w:rsidRPr="00385DDD" w:rsidRDefault="00385DDD" w:rsidP="00A14901">
            <w:pPr>
              <w:snapToGrid w:val="0"/>
              <w:spacing w:before="20" w:after="20" w:line="240" w:lineRule="auto"/>
              <w:rPr>
                <w:sz w:val="16"/>
                <w:szCs w:val="16"/>
              </w:rPr>
            </w:pPr>
            <w:r w:rsidRPr="00385DDD">
              <w:rPr>
                <w:rFonts w:cs="Arial"/>
                <w:sz w:val="16"/>
                <w:szCs w:val="16"/>
              </w:rPr>
              <w:t>Intelektualne i osobne usluge</w:t>
            </w:r>
          </w:p>
        </w:tc>
        <w:tc>
          <w:tcPr>
            <w:tcW w:w="631" w:type="pct"/>
            <w:shd w:val="clear" w:color="auto" w:fill="FFFFFF" w:themeFill="background1"/>
            <w:noWrap/>
            <w:vAlign w:val="center"/>
            <w:hideMark/>
          </w:tcPr>
          <w:p w14:paraId="2D82F188" w14:textId="0D519BCF"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17.500,00</w:t>
            </w:r>
          </w:p>
        </w:tc>
        <w:tc>
          <w:tcPr>
            <w:tcW w:w="631" w:type="pct"/>
            <w:shd w:val="clear" w:color="auto" w:fill="FFFFFF" w:themeFill="background1"/>
            <w:noWrap/>
            <w:vAlign w:val="center"/>
            <w:hideMark/>
          </w:tcPr>
          <w:p w14:paraId="1378BE48" w14:textId="52ABF491"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11.886,00</w:t>
            </w:r>
          </w:p>
        </w:tc>
        <w:tc>
          <w:tcPr>
            <w:tcW w:w="631" w:type="pct"/>
            <w:shd w:val="clear" w:color="auto" w:fill="FFFFFF" w:themeFill="background1"/>
            <w:noWrap/>
            <w:vAlign w:val="center"/>
            <w:hideMark/>
          </w:tcPr>
          <w:p w14:paraId="1A289BC3" w14:textId="042D4AD5"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67,92%</w:t>
            </w:r>
          </w:p>
        </w:tc>
        <w:tc>
          <w:tcPr>
            <w:tcW w:w="631" w:type="pct"/>
            <w:shd w:val="clear" w:color="auto" w:fill="FFFFFF" w:themeFill="background1"/>
            <w:noWrap/>
            <w:vAlign w:val="center"/>
            <w:hideMark/>
          </w:tcPr>
          <w:p w14:paraId="22EC45E2" w14:textId="05A97303"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5.614,00</w:t>
            </w:r>
          </w:p>
        </w:tc>
      </w:tr>
      <w:tr w:rsidR="00385DDD" w:rsidRPr="00385DDD" w14:paraId="1223E308" w14:textId="77777777" w:rsidTr="00A14901">
        <w:trPr>
          <w:trHeight w:val="340"/>
        </w:trPr>
        <w:tc>
          <w:tcPr>
            <w:tcW w:w="636" w:type="pct"/>
            <w:shd w:val="clear" w:color="auto" w:fill="FFFFFF" w:themeFill="background1"/>
            <w:noWrap/>
            <w:vAlign w:val="center"/>
            <w:hideMark/>
          </w:tcPr>
          <w:p w14:paraId="3C513F0E"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3238</w:t>
            </w:r>
          </w:p>
        </w:tc>
        <w:tc>
          <w:tcPr>
            <w:tcW w:w="1839" w:type="pct"/>
            <w:shd w:val="clear" w:color="auto" w:fill="FFFFFF" w:themeFill="background1"/>
            <w:noWrap/>
            <w:vAlign w:val="center"/>
            <w:hideMark/>
          </w:tcPr>
          <w:p w14:paraId="13ECD8C6" w14:textId="77777777" w:rsidR="00385DDD" w:rsidRPr="00385DDD" w:rsidRDefault="00385DDD" w:rsidP="00A14901">
            <w:pPr>
              <w:snapToGrid w:val="0"/>
              <w:spacing w:before="20" w:after="20" w:line="240" w:lineRule="auto"/>
              <w:rPr>
                <w:sz w:val="16"/>
                <w:szCs w:val="16"/>
              </w:rPr>
            </w:pPr>
            <w:r w:rsidRPr="00385DDD">
              <w:rPr>
                <w:rFonts w:cs="Arial"/>
                <w:sz w:val="16"/>
                <w:szCs w:val="16"/>
              </w:rPr>
              <w:t>Računalne usluge</w:t>
            </w:r>
          </w:p>
        </w:tc>
        <w:tc>
          <w:tcPr>
            <w:tcW w:w="631" w:type="pct"/>
            <w:shd w:val="clear" w:color="auto" w:fill="FFFFFF" w:themeFill="background1"/>
            <w:noWrap/>
            <w:vAlign w:val="center"/>
            <w:hideMark/>
          </w:tcPr>
          <w:p w14:paraId="0044F1DC" w14:textId="3C099F2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13.000,00</w:t>
            </w:r>
          </w:p>
        </w:tc>
        <w:tc>
          <w:tcPr>
            <w:tcW w:w="631" w:type="pct"/>
            <w:shd w:val="clear" w:color="auto" w:fill="FFFFFF" w:themeFill="background1"/>
            <w:noWrap/>
            <w:vAlign w:val="center"/>
            <w:hideMark/>
          </w:tcPr>
          <w:p w14:paraId="6FFF34CC" w14:textId="03FE312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17.004,66</w:t>
            </w:r>
          </w:p>
        </w:tc>
        <w:tc>
          <w:tcPr>
            <w:tcW w:w="631" w:type="pct"/>
            <w:shd w:val="clear" w:color="auto" w:fill="FFFFFF" w:themeFill="background1"/>
            <w:noWrap/>
            <w:vAlign w:val="center"/>
            <w:hideMark/>
          </w:tcPr>
          <w:p w14:paraId="2C9978F0" w14:textId="2591EBC1"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130,81%</w:t>
            </w:r>
          </w:p>
        </w:tc>
        <w:tc>
          <w:tcPr>
            <w:tcW w:w="631" w:type="pct"/>
            <w:shd w:val="clear" w:color="auto" w:fill="FFFFFF" w:themeFill="background1"/>
            <w:noWrap/>
            <w:vAlign w:val="center"/>
            <w:hideMark/>
          </w:tcPr>
          <w:p w14:paraId="16C15699" w14:textId="38F4D59C"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-4.004,66</w:t>
            </w:r>
          </w:p>
        </w:tc>
      </w:tr>
      <w:tr w:rsidR="00385DDD" w:rsidRPr="00385DDD" w14:paraId="6175E78F" w14:textId="77777777" w:rsidTr="00A14901">
        <w:trPr>
          <w:trHeight w:val="340"/>
        </w:trPr>
        <w:tc>
          <w:tcPr>
            <w:tcW w:w="636" w:type="pct"/>
            <w:shd w:val="clear" w:color="auto" w:fill="FFFFFF" w:themeFill="background1"/>
            <w:noWrap/>
            <w:vAlign w:val="center"/>
            <w:hideMark/>
          </w:tcPr>
          <w:p w14:paraId="05C96D45"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3239</w:t>
            </w:r>
          </w:p>
        </w:tc>
        <w:tc>
          <w:tcPr>
            <w:tcW w:w="1839" w:type="pct"/>
            <w:shd w:val="clear" w:color="auto" w:fill="FFFFFF" w:themeFill="background1"/>
            <w:noWrap/>
            <w:vAlign w:val="center"/>
            <w:hideMark/>
          </w:tcPr>
          <w:p w14:paraId="1B71AEDC" w14:textId="77777777" w:rsidR="00385DDD" w:rsidRPr="00385DDD" w:rsidRDefault="00385DDD" w:rsidP="00A14901">
            <w:pPr>
              <w:snapToGrid w:val="0"/>
              <w:spacing w:before="20" w:after="20" w:line="240" w:lineRule="auto"/>
              <w:rPr>
                <w:sz w:val="16"/>
                <w:szCs w:val="16"/>
              </w:rPr>
            </w:pPr>
            <w:r w:rsidRPr="00385DDD">
              <w:rPr>
                <w:rFonts w:cs="Arial"/>
                <w:sz w:val="16"/>
                <w:szCs w:val="16"/>
              </w:rPr>
              <w:t>Ostale usluge</w:t>
            </w:r>
          </w:p>
        </w:tc>
        <w:tc>
          <w:tcPr>
            <w:tcW w:w="631" w:type="pct"/>
            <w:shd w:val="clear" w:color="auto" w:fill="FFFFFF" w:themeFill="background1"/>
            <w:noWrap/>
            <w:vAlign w:val="center"/>
            <w:hideMark/>
          </w:tcPr>
          <w:p w14:paraId="734DE9A3" w14:textId="3C4AC34C"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6.000,00</w:t>
            </w:r>
          </w:p>
        </w:tc>
        <w:tc>
          <w:tcPr>
            <w:tcW w:w="631" w:type="pct"/>
            <w:shd w:val="clear" w:color="auto" w:fill="FFFFFF" w:themeFill="background1"/>
            <w:noWrap/>
            <w:vAlign w:val="center"/>
            <w:hideMark/>
          </w:tcPr>
          <w:p w14:paraId="0F090981" w14:textId="10C41B8A"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7.029,75</w:t>
            </w:r>
          </w:p>
        </w:tc>
        <w:tc>
          <w:tcPr>
            <w:tcW w:w="631" w:type="pct"/>
            <w:shd w:val="clear" w:color="auto" w:fill="FFFFFF" w:themeFill="background1"/>
            <w:noWrap/>
            <w:vAlign w:val="center"/>
            <w:hideMark/>
          </w:tcPr>
          <w:p w14:paraId="68BE53EE" w14:textId="03AF0A09"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117,16%</w:t>
            </w:r>
          </w:p>
        </w:tc>
        <w:tc>
          <w:tcPr>
            <w:tcW w:w="631" w:type="pct"/>
            <w:shd w:val="clear" w:color="auto" w:fill="FFFFFF" w:themeFill="background1"/>
            <w:noWrap/>
            <w:vAlign w:val="center"/>
            <w:hideMark/>
          </w:tcPr>
          <w:p w14:paraId="68A6C8E5" w14:textId="18ABF4C5"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-1.029,75</w:t>
            </w:r>
          </w:p>
        </w:tc>
      </w:tr>
      <w:tr w:rsidR="00385DDD" w:rsidRPr="00385DDD" w14:paraId="4F518872" w14:textId="77777777" w:rsidTr="00A14901">
        <w:trPr>
          <w:trHeight w:val="340"/>
        </w:trPr>
        <w:tc>
          <w:tcPr>
            <w:tcW w:w="636" w:type="pct"/>
            <w:shd w:val="clear" w:color="auto" w:fill="F2F2F2" w:themeFill="background1" w:themeFillShade="F2"/>
            <w:noWrap/>
            <w:vAlign w:val="center"/>
            <w:hideMark/>
          </w:tcPr>
          <w:p w14:paraId="03414826"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324</w:t>
            </w:r>
          </w:p>
        </w:tc>
        <w:tc>
          <w:tcPr>
            <w:tcW w:w="1839" w:type="pct"/>
            <w:shd w:val="clear" w:color="auto" w:fill="F2F2F2" w:themeFill="background1" w:themeFillShade="F2"/>
            <w:noWrap/>
            <w:vAlign w:val="center"/>
            <w:hideMark/>
          </w:tcPr>
          <w:p w14:paraId="7A797C32" w14:textId="77777777" w:rsidR="00385DDD" w:rsidRPr="00385DDD" w:rsidRDefault="00385DDD" w:rsidP="00A14901">
            <w:pPr>
              <w:snapToGrid w:val="0"/>
              <w:spacing w:before="20" w:after="20" w:line="240" w:lineRule="auto"/>
              <w:rPr>
                <w:sz w:val="16"/>
                <w:szCs w:val="16"/>
              </w:rPr>
            </w:pPr>
            <w:r w:rsidRPr="00385DDD">
              <w:rPr>
                <w:rFonts w:cs="Arial"/>
                <w:sz w:val="16"/>
                <w:szCs w:val="16"/>
              </w:rPr>
              <w:t>Naknada troškova osobama izvan radnog odnosa</w:t>
            </w:r>
          </w:p>
        </w:tc>
        <w:tc>
          <w:tcPr>
            <w:tcW w:w="631" w:type="pct"/>
            <w:shd w:val="clear" w:color="auto" w:fill="F2F2F2" w:themeFill="background1" w:themeFillShade="F2"/>
            <w:noWrap/>
            <w:vAlign w:val="center"/>
            <w:hideMark/>
          </w:tcPr>
          <w:p w14:paraId="219E7252" w14:textId="0D0624C5"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500,00</w:t>
            </w:r>
          </w:p>
        </w:tc>
        <w:tc>
          <w:tcPr>
            <w:tcW w:w="631" w:type="pct"/>
            <w:shd w:val="clear" w:color="auto" w:fill="F2F2F2" w:themeFill="background1" w:themeFillShade="F2"/>
            <w:noWrap/>
            <w:vAlign w:val="center"/>
            <w:hideMark/>
          </w:tcPr>
          <w:p w14:paraId="56946A69" w14:textId="5D020800"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142,00</w:t>
            </w:r>
          </w:p>
        </w:tc>
        <w:tc>
          <w:tcPr>
            <w:tcW w:w="631" w:type="pct"/>
            <w:shd w:val="clear" w:color="auto" w:fill="F2F2F2" w:themeFill="background1" w:themeFillShade="F2"/>
            <w:noWrap/>
            <w:vAlign w:val="center"/>
            <w:hideMark/>
          </w:tcPr>
          <w:p w14:paraId="16C327F2" w14:textId="5A1A5266"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28,40%</w:t>
            </w:r>
          </w:p>
        </w:tc>
        <w:tc>
          <w:tcPr>
            <w:tcW w:w="631" w:type="pct"/>
            <w:shd w:val="clear" w:color="auto" w:fill="F2F2F2" w:themeFill="background1" w:themeFillShade="F2"/>
            <w:noWrap/>
            <w:vAlign w:val="center"/>
            <w:hideMark/>
          </w:tcPr>
          <w:p w14:paraId="57E034AC" w14:textId="7F6DDEEB"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358,00</w:t>
            </w:r>
          </w:p>
        </w:tc>
      </w:tr>
      <w:tr w:rsidR="00385DDD" w:rsidRPr="00385DDD" w14:paraId="1853CBFD" w14:textId="77777777" w:rsidTr="00A14901">
        <w:trPr>
          <w:trHeight w:val="340"/>
        </w:trPr>
        <w:tc>
          <w:tcPr>
            <w:tcW w:w="636" w:type="pct"/>
            <w:shd w:val="clear" w:color="auto" w:fill="FFFFFF" w:themeFill="background1"/>
            <w:noWrap/>
            <w:vAlign w:val="center"/>
            <w:hideMark/>
          </w:tcPr>
          <w:p w14:paraId="05EC4EB7"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3241</w:t>
            </w:r>
          </w:p>
        </w:tc>
        <w:tc>
          <w:tcPr>
            <w:tcW w:w="1839" w:type="pct"/>
            <w:shd w:val="clear" w:color="auto" w:fill="FFFFFF" w:themeFill="background1"/>
            <w:noWrap/>
            <w:vAlign w:val="center"/>
            <w:hideMark/>
          </w:tcPr>
          <w:p w14:paraId="55947907" w14:textId="77777777" w:rsidR="00385DDD" w:rsidRPr="00385DDD" w:rsidRDefault="00385DDD" w:rsidP="00A14901">
            <w:pPr>
              <w:snapToGrid w:val="0"/>
              <w:spacing w:before="20" w:after="20" w:line="240" w:lineRule="auto"/>
              <w:rPr>
                <w:sz w:val="16"/>
                <w:szCs w:val="16"/>
              </w:rPr>
            </w:pPr>
            <w:r w:rsidRPr="00385DDD">
              <w:rPr>
                <w:rFonts w:cs="Arial"/>
                <w:sz w:val="16"/>
                <w:szCs w:val="16"/>
              </w:rPr>
              <w:t>Naknada troškova osobama izvan radnog odnosa</w:t>
            </w:r>
          </w:p>
        </w:tc>
        <w:tc>
          <w:tcPr>
            <w:tcW w:w="631" w:type="pct"/>
            <w:shd w:val="clear" w:color="auto" w:fill="FFFFFF" w:themeFill="background1"/>
            <w:noWrap/>
            <w:vAlign w:val="center"/>
            <w:hideMark/>
          </w:tcPr>
          <w:p w14:paraId="3BF3E460" w14:textId="6CD82627"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500,00</w:t>
            </w:r>
          </w:p>
        </w:tc>
        <w:tc>
          <w:tcPr>
            <w:tcW w:w="631" w:type="pct"/>
            <w:shd w:val="clear" w:color="auto" w:fill="FFFFFF" w:themeFill="background1"/>
            <w:noWrap/>
            <w:vAlign w:val="center"/>
            <w:hideMark/>
          </w:tcPr>
          <w:p w14:paraId="168D00C2" w14:textId="208AFEE7"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142,00</w:t>
            </w:r>
          </w:p>
        </w:tc>
        <w:tc>
          <w:tcPr>
            <w:tcW w:w="631" w:type="pct"/>
            <w:shd w:val="clear" w:color="auto" w:fill="FFFFFF" w:themeFill="background1"/>
            <w:noWrap/>
            <w:vAlign w:val="center"/>
            <w:hideMark/>
          </w:tcPr>
          <w:p w14:paraId="3A62C9B3" w14:textId="2F611F33"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28,40%</w:t>
            </w:r>
          </w:p>
        </w:tc>
        <w:tc>
          <w:tcPr>
            <w:tcW w:w="631" w:type="pct"/>
            <w:shd w:val="clear" w:color="auto" w:fill="FFFFFF" w:themeFill="background1"/>
            <w:noWrap/>
            <w:vAlign w:val="center"/>
            <w:hideMark/>
          </w:tcPr>
          <w:p w14:paraId="7AE0ACD8" w14:textId="01DE41EC"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358,00</w:t>
            </w:r>
          </w:p>
        </w:tc>
      </w:tr>
      <w:tr w:rsidR="00385DDD" w:rsidRPr="00385DDD" w14:paraId="21ACDCF2" w14:textId="77777777" w:rsidTr="00A14901">
        <w:trPr>
          <w:trHeight w:val="340"/>
        </w:trPr>
        <w:tc>
          <w:tcPr>
            <w:tcW w:w="636" w:type="pct"/>
            <w:shd w:val="clear" w:color="auto" w:fill="F2F2F2" w:themeFill="background1" w:themeFillShade="F2"/>
            <w:noWrap/>
            <w:vAlign w:val="center"/>
            <w:hideMark/>
          </w:tcPr>
          <w:p w14:paraId="61C56394"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329</w:t>
            </w:r>
          </w:p>
        </w:tc>
        <w:tc>
          <w:tcPr>
            <w:tcW w:w="1839" w:type="pct"/>
            <w:shd w:val="clear" w:color="auto" w:fill="F2F2F2" w:themeFill="background1" w:themeFillShade="F2"/>
            <w:noWrap/>
            <w:vAlign w:val="center"/>
            <w:hideMark/>
          </w:tcPr>
          <w:p w14:paraId="6C8A0738" w14:textId="77777777" w:rsidR="00385DDD" w:rsidRPr="00385DDD" w:rsidRDefault="00385DDD" w:rsidP="00A14901">
            <w:pPr>
              <w:snapToGrid w:val="0"/>
              <w:spacing w:before="20" w:after="20" w:line="240" w:lineRule="auto"/>
              <w:rPr>
                <w:sz w:val="16"/>
                <w:szCs w:val="16"/>
              </w:rPr>
            </w:pPr>
            <w:r w:rsidRPr="00385DDD">
              <w:rPr>
                <w:rFonts w:cs="Arial"/>
                <w:sz w:val="16"/>
                <w:szCs w:val="16"/>
              </w:rPr>
              <w:t>Ostali nespomenuti rashodi poslovanja</w:t>
            </w:r>
          </w:p>
        </w:tc>
        <w:tc>
          <w:tcPr>
            <w:tcW w:w="631" w:type="pct"/>
            <w:shd w:val="clear" w:color="auto" w:fill="F2F2F2" w:themeFill="background1" w:themeFillShade="F2"/>
            <w:noWrap/>
            <w:vAlign w:val="center"/>
            <w:hideMark/>
          </w:tcPr>
          <w:p w14:paraId="0643E31D" w14:textId="593F2D59"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10.064,00</w:t>
            </w:r>
          </w:p>
        </w:tc>
        <w:tc>
          <w:tcPr>
            <w:tcW w:w="631" w:type="pct"/>
            <w:shd w:val="clear" w:color="auto" w:fill="F2F2F2" w:themeFill="background1" w:themeFillShade="F2"/>
            <w:noWrap/>
            <w:vAlign w:val="center"/>
            <w:hideMark/>
          </w:tcPr>
          <w:p w14:paraId="756C7512" w14:textId="22D77426"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8.050,10</w:t>
            </w:r>
          </w:p>
        </w:tc>
        <w:tc>
          <w:tcPr>
            <w:tcW w:w="631" w:type="pct"/>
            <w:shd w:val="clear" w:color="auto" w:fill="F2F2F2" w:themeFill="background1" w:themeFillShade="F2"/>
            <w:noWrap/>
            <w:vAlign w:val="center"/>
            <w:hideMark/>
          </w:tcPr>
          <w:p w14:paraId="5CD433D1" w14:textId="23618307"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79,99%</w:t>
            </w:r>
          </w:p>
        </w:tc>
        <w:tc>
          <w:tcPr>
            <w:tcW w:w="631" w:type="pct"/>
            <w:shd w:val="clear" w:color="auto" w:fill="F2F2F2" w:themeFill="background1" w:themeFillShade="F2"/>
            <w:noWrap/>
            <w:vAlign w:val="center"/>
            <w:hideMark/>
          </w:tcPr>
          <w:p w14:paraId="53D4B191" w14:textId="0081D690"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2.013,90</w:t>
            </w:r>
          </w:p>
        </w:tc>
      </w:tr>
      <w:tr w:rsidR="00385DDD" w:rsidRPr="00385DDD" w14:paraId="7D4C44DE" w14:textId="77777777" w:rsidTr="00A14901">
        <w:trPr>
          <w:trHeight w:val="340"/>
        </w:trPr>
        <w:tc>
          <w:tcPr>
            <w:tcW w:w="636" w:type="pct"/>
            <w:shd w:val="clear" w:color="auto" w:fill="FFFFFF" w:themeFill="background1"/>
            <w:noWrap/>
            <w:vAlign w:val="center"/>
            <w:hideMark/>
          </w:tcPr>
          <w:p w14:paraId="7FA4FE83"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3292</w:t>
            </w:r>
          </w:p>
        </w:tc>
        <w:tc>
          <w:tcPr>
            <w:tcW w:w="1839" w:type="pct"/>
            <w:shd w:val="clear" w:color="auto" w:fill="FFFFFF" w:themeFill="background1"/>
            <w:noWrap/>
            <w:vAlign w:val="center"/>
            <w:hideMark/>
          </w:tcPr>
          <w:p w14:paraId="77C4D62E" w14:textId="77777777" w:rsidR="00385DDD" w:rsidRPr="00385DDD" w:rsidRDefault="00385DDD" w:rsidP="00A14901">
            <w:pPr>
              <w:snapToGrid w:val="0"/>
              <w:spacing w:before="20" w:after="20" w:line="240" w:lineRule="auto"/>
              <w:rPr>
                <w:sz w:val="16"/>
                <w:szCs w:val="16"/>
              </w:rPr>
            </w:pPr>
            <w:r w:rsidRPr="00385DDD">
              <w:rPr>
                <w:rFonts w:cs="Arial"/>
                <w:sz w:val="16"/>
                <w:szCs w:val="16"/>
              </w:rPr>
              <w:t>Premije osiguranja</w:t>
            </w:r>
          </w:p>
        </w:tc>
        <w:tc>
          <w:tcPr>
            <w:tcW w:w="631" w:type="pct"/>
            <w:shd w:val="clear" w:color="auto" w:fill="FFFFFF" w:themeFill="background1"/>
            <w:noWrap/>
            <w:vAlign w:val="center"/>
            <w:hideMark/>
          </w:tcPr>
          <w:p w14:paraId="5559A6CF" w14:textId="79375B1F"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100,00</w:t>
            </w:r>
          </w:p>
        </w:tc>
        <w:tc>
          <w:tcPr>
            <w:tcW w:w="631" w:type="pct"/>
            <w:shd w:val="clear" w:color="auto" w:fill="FFFFFF" w:themeFill="background1"/>
            <w:noWrap/>
            <w:vAlign w:val="center"/>
            <w:hideMark/>
          </w:tcPr>
          <w:p w14:paraId="6B613607" w14:textId="7C0EB8EE"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0B629ACA" w14:textId="41BBADD6"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60D8EEC1" w14:textId="633F3BBD"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100,00</w:t>
            </w:r>
          </w:p>
        </w:tc>
      </w:tr>
      <w:tr w:rsidR="00385DDD" w:rsidRPr="00385DDD" w14:paraId="6904C06A" w14:textId="77777777" w:rsidTr="00A14901">
        <w:trPr>
          <w:trHeight w:val="340"/>
        </w:trPr>
        <w:tc>
          <w:tcPr>
            <w:tcW w:w="636" w:type="pct"/>
            <w:shd w:val="clear" w:color="auto" w:fill="FFFFFF" w:themeFill="background1"/>
            <w:noWrap/>
            <w:vAlign w:val="center"/>
            <w:hideMark/>
          </w:tcPr>
          <w:p w14:paraId="71FAE1EC"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3293</w:t>
            </w:r>
          </w:p>
        </w:tc>
        <w:tc>
          <w:tcPr>
            <w:tcW w:w="1839" w:type="pct"/>
            <w:shd w:val="clear" w:color="auto" w:fill="FFFFFF" w:themeFill="background1"/>
            <w:noWrap/>
            <w:vAlign w:val="center"/>
            <w:hideMark/>
          </w:tcPr>
          <w:p w14:paraId="40B9FC84" w14:textId="77777777" w:rsidR="00385DDD" w:rsidRPr="00385DDD" w:rsidRDefault="00385DDD" w:rsidP="00A14901">
            <w:pPr>
              <w:snapToGrid w:val="0"/>
              <w:spacing w:before="20" w:after="20" w:line="240" w:lineRule="auto"/>
              <w:rPr>
                <w:sz w:val="16"/>
                <w:szCs w:val="16"/>
              </w:rPr>
            </w:pPr>
            <w:r w:rsidRPr="00385DDD">
              <w:rPr>
                <w:rFonts w:cs="Arial"/>
                <w:sz w:val="16"/>
                <w:szCs w:val="16"/>
              </w:rPr>
              <w:t>Reprezentacija</w:t>
            </w:r>
          </w:p>
        </w:tc>
        <w:tc>
          <w:tcPr>
            <w:tcW w:w="631" w:type="pct"/>
            <w:shd w:val="clear" w:color="auto" w:fill="FFFFFF" w:themeFill="background1"/>
            <w:noWrap/>
            <w:vAlign w:val="center"/>
            <w:hideMark/>
          </w:tcPr>
          <w:p w14:paraId="3A192F71" w14:textId="3943C778"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4.700,00</w:t>
            </w:r>
          </w:p>
        </w:tc>
        <w:tc>
          <w:tcPr>
            <w:tcW w:w="631" w:type="pct"/>
            <w:shd w:val="clear" w:color="auto" w:fill="FFFFFF" w:themeFill="background1"/>
            <w:noWrap/>
            <w:vAlign w:val="center"/>
            <w:hideMark/>
          </w:tcPr>
          <w:p w14:paraId="733DD392" w14:textId="021F735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4.878,94</w:t>
            </w:r>
          </w:p>
        </w:tc>
        <w:tc>
          <w:tcPr>
            <w:tcW w:w="631" w:type="pct"/>
            <w:shd w:val="clear" w:color="auto" w:fill="FFFFFF" w:themeFill="background1"/>
            <w:noWrap/>
            <w:vAlign w:val="center"/>
            <w:hideMark/>
          </w:tcPr>
          <w:p w14:paraId="25EA79DB" w14:textId="08EA06A9"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103,81%</w:t>
            </w:r>
          </w:p>
        </w:tc>
        <w:tc>
          <w:tcPr>
            <w:tcW w:w="631" w:type="pct"/>
            <w:shd w:val="clear" w:color="auto" w:fill="FFFFFF" w:themeFill="background1"/>
            <w:noWrap/>
            <w:vAlign w:val="center"/>
            <w:hideMark/>
          </w:tcPr>
          <w:p w14:paraId="2F519D1A" w14:textId="5B233AD0"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-178,94</w:t>
            </w:r>
          </w:p>
        </w:tc>
      </w:tr>
      <w:tr w:rsidR="00385DDD" w:rsidRPr="00385DDD" w14:paraId="008185AD" w14:textId="77777777" w:rsidTr="00A14901">
        <w:trPr>
          <w:trHeight w:val="340"/>
        </w:trPr>
        <w:tc>
          <w:tcPr>
            <w:tcW w:w="636" w:type="pct"/>
            <w:shd w:val="clear" w:color="auto" w:fill="FFFFFF" w:themeFill="background1"/>
            <w:noWrap/>
            <w:vAlign w:val="center"/>
            <w:hideMark/>
          </w:tcPr>
          <w:p w14:paraId="765697C5"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3296</w:t>
            </w:r>
          </w:p>
        </w:tc>
        <w:tc>
          <w:tcPr>
            <w:tcW w:w="1839" w:type="pct"/>
            <w:shd w:val="clear" w:color="auto" w:fill="FFFFFF" w:themeFill="background1"/>
            <w:noWrap/>
            <w:vAlign w:val="center"/>
            <w:hideMark/>
          </w:tcPr>
          <w:p w14:paraId="730944AB" w14:textId="77777777" w:rsidR="00385DDD" w:rsidRPr="00385DDD" w:rsidRDefault="00385DDD" w:rsidP="00A14901">
            <w:pPr>
              <w:snapToGrid w:val="0"/>
              <w:spacing w:before="20" w:after="20" w:line="240" w:lineRule="auto"/>
              <w:rPr>
                <w:sz w:val="16"/>
                <w:szCs w:val="16"/>
              </w:rPr>
            </w:pPr>
            <w:r w:rsidRPr="00385DDD">
              <w:rPr>
                <w:rFonts w:cs="Arial"/>
                <w:sz w:val="16"/>
                <w:szCs w:val="16"/>
              </w:rPr>
              <w:t>Troškovi sudskih postupaka</w:t>
            </w:r>
          </w:p>
        </w:tc>
        <w:tc>
          <w:tcPr>
            <w:tcW w:w="631" w:type="pct"/>
            <w:shd w:val="clear" w:color="auto" w:fill="FFFFFF" w:themeFill="background1"/>
            <w:noWrap/>
            <w:vAlign w:val="center"/>
            <w:hideMark/>
          </w:tcPr>
          <w:p w14:paraId="459C47BC" w14:textId="5C2CBB3D"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5.000,00</w:t>
            </w:r>
          </w:p>
        </w:tc>
        <w:tc>
          <w:tcPr>
            <w:tcW w:w="631" w:type="pct"/>
            <w:shd w:val="clear" w:color="auto" w:fill="FFFFFF" w:themeFill="background1"/>
            <w:noWrap/>
            <w:vAlign w:val="center"/>
            <w:hideMark/>
          </w:tcPr>
          <w:p w14:paraId="1778DBA1" w14:textId="23F6BC1E"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2.915,00</w:t>
            </w:r>
          </w:p>
        </w:tc>
        <w:tc>
          <w:tcPr>
            <w:tcW w:w="631" w:type="pct"/>
            <w:shd w:val="clear" w:color="auto" w:fill="FFFFFF" w:themeFill="background1"/>
            <w:noWrap/>
            <w:vAlign w:val="center"/>
            <w:hideMark/>
          </w:tcPr>
          <w:p w14:paraId="128E6B49" w14:textId="291DA599"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58,30%</w:t>
            </w:r>
          </w:p>
        </w:tc>
        <w:tc>
          <w:tcPr>
            <w:tcW w:w="631" w:type="pct"/>
            <w:shd w:val="clear" w:color="auto" w:fill="FFFFFF" w:themeFill="background1"/>
            <w:noWrap/>
            <w:vAlign w:val="center"/>
            <w:hideMark/>
          </w:tcPr>
          <w:p w14:paraId="7CB6810B" w14:textId="0A5C745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2.085,00</w:t>
            </w:r>
          </w:p>
        </w:tc>
      </w:tr>
      <w:tr w:rsidR="00385DDD" w:rsidRPr="00385DDD" w14:paraId="1133A10B" w14:textId="77777777" w:rsidTr="00A14901">
        <w:trPr>
          <w:trHeight w:val="340"/>
        </w:trPr>
        <w:tc>
          <w:tcPr>
            <w:tcW w:w="636" w:type="pct"/>
            <w:shd w:val="clear" w:color="auto" w:fill="FFFFFF" w:themeFill="background1"/>
            <w:noWrap/>
            <w:vAlign w:val="center"/>
            <w:hideMark/>
          </w:tcPr>
          <w:p w14:paraId="03F1E8EF"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3299</w:t>
            </w:r>
          </w:p>
        </w:tc>
        <w:tc>
          <w:tcPr>
            <w:tcW w:w="1839" w:type="pct"/>
            <w:shd w:val="clear" w:color="auto" w:fill="FFFFFF" w:themeFill="background1"/>
            <w:noWrap/>
            <w:vAlign w:val="center"/>
            <w:hideMark/>
          </w:tcPr>
          <w:p w14:paraId="7281DD4F" w14:textId="350FF6E2" w:rsidR="00385DDD" w:rsidRPr="00385DDD" w:rsidRDefault="00385DDD" w:rsidP="00A14901">
            <w:pPr>
              <w:snapToGrid w:val="0"/>
              <w:spacing w:before="20" w:after="20" w:line="240" w:lineRule="auto"/>
              <w:rPr>
                <w:sz w:val="16"/>
                <w:szCs w:val="16"/>
              </w:rPr>
            </w:pPr>
            <w:r w:rsidRPr="00385DDD">
              <w:rPr>
                <w:rFonts w:cs="Arial"/>
                <w:sz w:val="16"/>
                <w:szCs w:val="16"/>
              </w:rPr>
              <w:t>Ostali nespomenuti rashodi posl.</w:t>
            </w:r>
          </w:p>
        </w:tc>
        <w:tc>
          <w:tcPr>
            <w:tcW w:w="631" w:type="pct"/>
            <w:shd w:val="clear" w:color="auto" w:fill="FFFFFF" w:themeFill="background1"/>
            <w:noWrap/>
            <w:vAlign w:val="center"/>
            <w:hideMark/>
          </w:tcPr>
          <w:p w14:paraId="7B1405C8" w14:textId="2314CABA"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264,00</w:t>
            </w:r>
          </w:p>
        </w:tc>
        <w:tc>
          <w:tcPr>
            <w:tcW w:w="631" w:type="pct"/>
            <w:shd w:val="clear" w:color="auto" w:fill="FFFFFF" w:themeFill="background1"/>
            <w:noWrap/>
            <w:vAlign w:val="center"/>
            <w:hideMark/>
          </w:tcPr>
          <w:p w14:paraId="4A2EC1C4" w14:textId="199C98D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256,16</w:t>
            </w:r>
          </w:p>
        </w:tc>
        <w:tc>
          <w:tcPr>
            <w:tcW w:w="631" w:type="pct"/>
            <w:shd w:val="clear" w:color="auto" w:fill="FFFFFF" w:themeFill="background1"/>
            <w:noWrap/>
            <w:vAlign w:val="center"/>
            <w:hideMark/>
          </w:tcPr>
          <w:p w14:paraId="7ECC5CA2" w14:textId="334B6E92"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97,03%</w:t>
            </w:r>
          </w:p>
        </w:tc>
        <w:tc>
          <w:tcPr>
            <w:tcW w:w="631" w:type="pct"/>
            <w:shd w:val="clear" w:color="auto" w:fill="FFFFFF" w:themeFill="background1"/>
            <w:noWrap/>
            <w:vAlign w:val="center"/>
            <w:hideMark/>
          </w:tcPr>
          <w:p w14:paraId="010AAA4B" w14:textId="22652CA0"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7,84</w:t>
            </w:r>
          </w:p>
        </w:tc>
      </w:tr>
      <w:tr w:rsidR="00385DDD" w:rsidRPr="00385DDD" w14:paraId="2D7E9617" w14:textId="77777777" w:rsidTr="00A14901">
        <w:trPr>
          <w:trHeight w:val="340"/>
        </w:trPr>
        <w:tc>
          <w:tcPr>
            <w:tcW w:w="636" w:type="pct"/>
            <w:shd w:val="clear" w:color="auto" w:fill="DCE6F1"/>
            <w:noWrap/>
            <w:vAlign w:val="center"/>
            <w:hideMark/>
          </w:tcPr>
          <w:p w14:paraId="04B5D368"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34</w:t>
            </w:r>
          </w:p>
        </w:tc>
        <w:tc>
          <w:tcPr>
            <w:tcW w:w="1839" w:type="pct"/>
            <w:shd w:val="clear" w:color="auto" w:fill="DCE6F1"/>
            <w:noWrap/>
            <w:vAlign w:val="center"/>
            <w:hideMark/>
          </w:tcPr>
          <w:p w14:paraId="4E7BE26F" w14:textId="77777777" w:rsidR="00385DDD" w:rsidRPr="00385DDD" w:rsidRDefault="00385DDD" w:rsidP="00A14901">
            <w:pPr>
              <w:snapToGrid w:val="0"/>
              <w:spacing w:before="20" w:after="20" w:line="240" w:lineRule="auto"/>
              <w:rPr>
                <w:sz w:val="16"/>
                <w:szCs w:val="16"/>
              </w:rPr>
            </w:pPr>
            <w:r w:rsidRPr="00385DDD">
              <w:rPr>
                <w:rFonts w:cs="Arial"/>
                <w:sz w:val="16"/>
                <w:szCs w:val="16"/>
              </w:rPr>
              <w:t>Financijski rashodi</w:t>
            </w:r>
          </w:p>
        </w:tc>
        <w:tc>
          <w:tcPr>
            <w:tcW w:w="631" w:type="pct"/>
            <w:shd w:val="clear" w:color="auto" w:fill="DCE6F1"/>
            <w:noWrap/>
            <w:vAlign w:val="center"/>
            <w:hideMark/>
          </w:tcPr>
          <w:p w14:paraId="01AA8D83" w14:textId="0044304B"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70,00</w:t>
            </w:r>
          </w:p>
        </w:tc>
        <w:tc>
          <w:tcPr>
            <w:tcW w:w="631" w:type="pct"/>
            <w:shd w:val="clear" w:color="auto" w:fill="DCE6F1"/>
            <w:noWrap/>
            <w:vAlign w:val="center"/>
            <w:hideMark/>
          </w:tcPr>
          <w:p w14:paraId="070399D5" w14:textId="5F7F9357"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0,47</w:t>
            </w:r>
          </w:p>
        </w:tc>
        <w:tc>
          <w:tcPr>
            <w:tcW w:w="631" w:type="pct"/>
            <w:shd w:val="clear" w:color="auto" w:fill="DCE6F1"/>
            <w:noWrap/>
            <w:vAlign w:val="center"/>
            <w:hideMark/>
          </w:tcPr>
          <w:p w14:paraId="30313F8C" w14:textId="2794934A"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0,67%</w:t>
            </w:r>
          </w:p>
        </w:tc>
        <w:tc>
          <w:tcPr>
            <w:tcW w:w="631" w:type="pct"/>
            <w:shd w:val="clear" w:color="auto" w:fill="DCE6F1"/>
            <w:noWrap/>
            <w:vAlign w:val="center"/>
            <w:hideMark/>
          </w:tcPr>
          <w:p w14:paraId="6C5FAD0C" w14:textId="6DA4142D"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69,53</w:t>
            </w:r>
          </w:p>
        </w:tc>
      </w:tr>
      <w:tr w:rsidR="00385DDD" w:rsidRPr="00385DDD" w14:paraId="7F7354C4" w14:textId="77777777" w:rsidTr="00A14901">
        <w:trPr>
          <w:trHeight w:val="340"/>
        </w:trPr>
        <w:tc>
          <w:tcPr>
            <w:tcW w:w="636" w:type="pct"/>
            <w:shd w:val="clear" w:color="auto" w:fill="F2F2F2" w:themeFill="background1" w:themeFillShade="F2"/>
            <w:noWrap/>
            <w:vAlign w:val="center"/>
            <w:hideMark/>
          </w:tcPr>
          <w:p w14:paraId="6C50C1CD"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343</w:t>
            </w:r>
          </w:p>
        </w:tc>
        <w:tc>
          <w:tcPr>
            <w:tcW w:w="1839" w:type="pct"/>
            <w:shd w:val="clear" w:color="auto" w:fill="F2F2F2" w:themeFill="background1" w:themeFillShade="F2"/>
            <w:noWrap/>
            <w:vAlign w:val="center"/>
            <w:hideMark/>
          </w:tcPr>
          <w:p w14:paraId="7127C051" w14:textId="77777777" w:rsidR="00385DDD" w:rsidRPr="00385DDD" w:rsidRDefault="00385DDD" w:rsidP="00A14901">
            <w:pPr>
              <w:snapToGrid w:val="0"/>
              <w:spacing w:before="20" w:after="20" w:line="240" w:lineRule="auto"/>
              <w:rPr>
                <w:sz w:val="16"/>
                <w:szCs w:val="16"/>
              </w:rPr>
            </w:pPr>
            <w:r w:rsidRPr="00385DDD">
              <w:rPr>
                <w:rFonts w:cs="Arial"/>
                <w:sz w:val="16"/>
                <w:szCs w:val="16"/>
              </w:rPr>
              <w:t>Ostali financijski rashodi</w:t>
            </w:r>
          </w:p>
        </w:tc>
        <w:tc>
          <w:tcPr>
            <w:tcW w:w="631" w:type="pct"/>
            <w:shd w:val="clear" w:color="auto" w:fill="F2F2F2" w:themeFill="background1" w:themeFillShade="F2"/>
            <w:noWrap/>
            <w:vAlign w:val="center"/>
            <w:hideMark/>
          </w:tcPr>
          <w:p w14:paraId="1D09E488" w14:textId="00E951B4"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70,00</w:t>
            </w:r>
          </w:p>
        </w:tc>
        <w:tc>
          <w:tcPr>
            <w:tcW w:w="631" w:type="pct"/>
            <w:shd w:val="clear" w:color="auto" w:fill="F2F2F2" w:themeFill="background1" w:themeFillShade="F2"/>
            <w:noWrap/>
            <w:vAlign w:val="center"/>
            <w:hideMark/>
          </w:tcPr>
          <w:p w14:paraId="1F90E7AF" w14:textId="4142E0A9"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0,47</w:t>
            </w:r>
          </w:p>
        </w:tc>
        <w:tc>
          <w:tcPr>
            <w:tcW w:w="631" w:type="pct"/>
            <w:shd w:val="clear" w:color="auto" w:fill="F2F2F2" w:themeFill="background1" w:themeFillShade="F2"/>
            <w:noWrap/>
            <w:vAlign w:val="center"/>
            <w:hideMark/>
          </w:tcPr>
          <w:p w14:paraId="1514F9D8" w14:textId="5F96B7AA"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0,67%</w:t>
            </w:r>
          </w:p>
        </w:tc>
        <w:tc>
          <w:tcPr>
            <w:tcW w:w="631" w:type="pct"/>
            <w:shd w:val="clear" w:color="auto" w:fill="F2F2F2" w:themeFill="background1" w:themeFillShade="F2"/>
            <w:noWrap/>
            <w:vAlign w:val="center"/>
            <w:hideMark/>
          </w:tcPr>
          <w:p w14:paraId="60C1A211" w14:textId="06031C0A"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69,53</w:t>
            </w:r>
          </w:p>
        </w:tc>
      </w:tr>
      <w:tr w:rsidR="00385DDD" w:rsidRPr="00385DDD" w14:paraId="05820858" w14:textId="77777777" w:rsidTr="00A14901">
        <w:trPr>
          <w:trHeight w:val="340"/>
        </w:trPr>
        <w:tc>
          <w:tcPr>
            <w:tcW w:w="636" w:type="pct"/>
            <w:shd w:val="clear" w:color="auto" w:fill="FFFFFF" w:themeFill="background1"/>
            <w:noWrap/>
            <w:vAlign w:val="center"/>
            <w:hideMark/>
          </w:tcPr>
          <w:p w14:paraId="0687E74E"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3431</w:t>
            </w:r>
          </w:p>
        </w:tc>
        <w:tc>
          <w:tcPr>
            <w:tcW w:w="1839" w:type="pct"/>
            <w:shd w:val="clear" w:color="auto" w:fill="FFFFFF" w:themeFill="background1"/>
            <w:noWrap/>
            <w:vAlign w:val="center"/>
            <w:hideMark/>
          </w:tcPr>
          <w:p w14:paraId="26C157CE" w14:textId="77777777" w:rsidR="00385DDD" w:rsidRPr="00385DDD" w:rsidRDefault="00385DDD" w:rsidP="00A14901">
            <w:pPr>
              <w:snapToGrid w:val="0"/>
              <w:spacing w:before="20" w:after="20" w:line="240" w:lineRule="auto"/>
              <w:rPr>
                <w:sz w:val="16"/>
                <w:szCs w:val="16"/>
              </w:rPr>
            </w:pPr>
            <w:r w:rsidRPr="00385DDD">
              <w:rPr>
                <w:rFonts w:cs="Arial"/>
                <w:sz w:val="16"/>
                <w:szCs w:val="16"/>
              </w:rPr>
              <w:t>Bankarske usluge</w:t>
            </w:r>
          </w:p>
        </w:tc>
        <w:tc>
          <w:tcPr>
            <w:tcW w:w="631" w:type="pct"/>
            <w:shd w:val="clear" w:color="auto" w:fill="FFFFFF" w:themeFill="background1"/>
            <w:noWrap/>
            <w:vAlign w:val="center"/>
            <w:hideMark/>
          </w:tcPr>
          <w:p w14:paraId="625243B7" w14:textId="7324E420"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50,00</w:t>
            </w:r>
          </w:p>
        </w:tc>
        <w:tc>
          <w:tcPr>
            <w:tcW w:w="631" w:type="pct"/>
            <w:shd w:val="clear" w:color="auto" w:fill="FFFFFF" w:themeFill="background1"/>
            <w:noWrap/>
            <w:vAlign w:val="center"/>
            <w:hideMark/>
          </w:tcPr>
          <w:p w14:paraId="08FCA112" w14:textId="53868B67"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5EBBDDFE" w14:textId="49830EF6"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68404ACA" w14:textId="49C0ADF5"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50,00</w:t>
            </w:r>
          </w:p>
        </w:tc>
      </w:tr>
      <w:tr w:rsidR="00385DDD" w:rsidRPr="00385DDD" w14:paraId="044EE9A7" w14:textId="77777777" w:rsidTr="00A14901">
        <w:trPr>
          <w:trHeight w:val="340"/>
        </w:trPr>
        <w:tc>
          <w:tcPr>
            <w:tcW w:w="636" w:type="pct"/>
            <w:shd w:val="clear" w:color="auto" w:fill="FFFFFF" w:themeFill="background1"/>
            <w:noWrap/>
            <w:vAlign w:val="center"/>
            <w:hideMark/>
          </w:tcPr>
          <w:p w14:paraId="6886CD17"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3434</w:t>
            </w:r>
          </w:p>
        </w:tc>
        <w:tc>
          <w:tcPr>
            <w:tcW w:w="1839" w:type="pct"/>
            <w:shd w:val="clear" w:color="auto" w:fill="FFFFFF" w:themeFill="background1"/>
            <w:noWrap/>
            <w:vAlign w:val="center"/>
            <w:hideMark/>
          </w:tcPr>
          <w:p w14:paraId="1676E33E" w14:textId="77777777" w:rsidR="00385DDD" w:rsidRPr="00385DDD" w:rsidRDefault="00385DDD" w:rsidP="00A14901">
            <w:pPr>
              <w:snapToGrid w:val="0"/>
              <w:spacing w:before="20" w:after="20" w:line="240" w:lineRule="auto"/>
              <w:rPr>
                <w:sz w:val="16"/>
                <w:szCs w:val="16"/>
              </w:rPr>
            </w:pPr>
            <w:r w:rsidRPr="00385DDD">
              <w:rPr>
                <w:rFonts w:cs="Arial"/>
                <w:sz w:val="16"/>
                <w:szCs w:val="16"/>
              </w:rPr>
              <w:t>Ostali nespomenuti financijski rashodi</w:t>
            </w:r>
          </w:p>
        </w:tc>
        <w:tc>
          <w:tcPr>
            <w:tcW w:w="631" w:type="pct"/>
            <w:shd w:val="clear" w:color="auto" w:fill="FFFFFF" w:themeFill="background1"/>
            <w:noWrap/>
            <w:vAlign w:val="center"/>
            <w:hideMark/>
          </w:tcPr>
          <w:p w14:paraId="69F88CF9" w14:textId="14C87B89"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20,00</w:t>
            </w:r>
          </w:p>
        </w:tc>
        <w:tc>
          <w:tcPr>
            <w:tcW w:w="631" w:type="pct"/>
            <w:shd w:val="clear" w:color="auto" w:fill="FFFFFF" w:themeFill="background1"/>
            <w:noWrap/>
            <w:vAlign w:val="center"/>
            <w:hideMark/>
          </w:tcPr>
          <w:p w14:paraId="7F452949" w14:textId="024414F9"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0,47</w:t>
            </w:r>
          </w:p>
        </w:tc>
        <w:tc>
          <w:tcPr>
            <w:tcW w:w="631" w:type="pct"/>
            <w:shd w:val="clear" w:color="auto" w:fill="FFFFFF" w:themeFill="background1"/>
            <w:noWrap/>
            <w:vAlign w:val="center"/>
            <w:hideMark/>
          </w:tcPr>
          <w:p w14:paraId="1B4DC6E3" w14:textId="5BE65173"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2,35%</w:t>
            </w:r>
          </w:p>
        </w:tc>
        <w:tc>
          <w:tcPr>
            <w:tcW w:w="631" w:type="pct"/>
            <w:shd w:val="clear" w:color="auto" w:fill="FFFFFF" w:themeFill="background1"/>
            <w:noWrap/>
            <w:vAlign w:val="center"/>
            <w:hideMark/>
          </w:tcPr>
          <w:p w14:paraId="11D3C590" w14:textId="0F6A5F30"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19,53</w:t>
            </w:r>
          </w:p>
        </w:tc>
      </w:tr>
      <w:tr w:rsidR="003D2D3A" w:rsidRPr="00385DDD" w14:paraId="411547AD" w14:textId="77777777" w:rsidTr="00A14901">
        <w:trPr>
          <w:trHeight w:val="340"/>
        </w:trPr>
        <w:tc>
          <w:tcPr>
            <w:tcW w:w="636" w:type="pct"/>
            <w:shd w:val="clear" w:color="auto" w:fill="F2F2F2" w:themeFill="background1" w:themeFillShade="F2"/>
            <w:noWrap/>
            <w:vAlign w:val="center"/>
            <w:hideMark/>
          </w:tcPr>
          <w:p w14:paraId="626651F4" w14:textId="77777777" w:rsidR="003D2D3A" w:rsidRPr="00385DDD" w:rsidRDefault="003D2D3A" w:rsidP="00A14901">
            <w:pPr>
              <w:snapToGrid w:val="0"/>
              <w:spacing w:before="20" w:after="20" w:line="240" w:lineRule="auto"/>
              <w:jc w:val="center"/>
              <w:rPr>
                <w:sz w:val="16"/>
                <w:szCs w:val="16"/>
              </w:rPr>
            </w:pPr>
            <w:r w:rsidRPr="00385DDD">
              <w:rPr>
                <w:rFonts w:cs="Arial"/>
                <w:sz w:val="16"/>
                <w:szCs w:val="16"/>
              </w:rPr>
              <w:t>K874004</w:t>
            </w:r>
          </w:p>
        </w:tc>
        <w:tc>
          <w:tcPr>
            <w:tcW w:w="1839" w:type="pct"/>
            <w:shd w:val="clear" w:color="auto" w:fill="F2F2F2" w:themeFill="background1" w:themeFillShade="F2"/>
            <w:noWrap/>
            <w:vAlign w:val="center"/>
            <w:hideMark/>
          </w:tcPr>
          <w:p w14:paraId="0A62F6E1" w14:textId="77777777" w:rsidR="003D2D3A" w:rsidRPr="00385DDD" w:rsidRDefault="003D2D3A" w:rsidP="00A14901">
            <w:pPr>
              <w:snapToGrid w:val="0"/>
              <w:spacing w:before="20" w:after="20" w:line="240" w:lineRule="auto"/>
              <w:rPr>
                <w:sz w:val="16"/>
                <w:szCs w:val="16"/>
              </w:rPr>
            </w:pPr>
            <w:r w:rsidRPr="00385DDD">
              <w:rPr>
                <w:rFonts w:cs="Arial"/>
                <w:sz w:val="16"/>
                <w:szCs w:val="16"/>
              </w:rPr>
              <w:t>INFORMATIZACIJA</w:t>
            </w:r>
          </w:p>
        </w:tc>
        <w:tc>
          <w:tcPr>
            <w:tcW w:w="631" w:type="pct"/>
            <w:shd w:val="clear" w:color="auto" w:fill="F2F2F2" w:themeFill="background1" w:themeFillShade="F2"/>
            <w:noWrap/>
            <w:vAlign w:val="center"/>
            <w:hideMark/>
          </w:tcPr>
          <w:p w14:paraId="11A5C52C" w14:textId="77777777" w:rsidR="003D2D3A" w:rsidRPr="00385DDD" w:rsidRDefault="003D2D3A" w:rsidP="00A14901">
            <w:pPr>
              <w:snapToGrid w:val="0"/>
              <w:spacing w:before="20" w:after="20" w:line="240" w:lineRule="auto"/>
              <w:jc w:val="right"/>
              <w:rPr>
                <w:sz w:val="16"/>
                <w:szCs w:val="16"/>
              </w:rPr>
            </w:pPr>
          </w:p>
        </w:tc>
        <w:tc>
          <w:tcPr>
            <w:tcW w:w="631" w:type="pct"/>
            <w:shd w:val="clear" w:color="auto" w:fill="F2F2F2" w:themeFill="background1" w:themeFillShade="F2"/>
            <w:noWrap/>
            <w:vAlign w:val="center"/>
            <w:hideMark/>
          </w:tcPr>
          <w:p w14:paraId="1F89DBA3" w14:textId="77777777" w:rsidR="003D2D3A" w:rsidRPr="00385DDD" w:rsidRDefault="003D2D3A" w:rsidP="00A14901">
            <w:pPr>
              <w:snapToGrid w:val="0"/>
              <w:spacing w:before="20" w:after="20" w:line="240" w:lineRule="auto"/>
              <w:jc w:val="right"/>
              <w:rPr>
                <w:sz w:val="16"/>
                <w:szCs w:val="16"/>
              </w:rPr>
            </w:pPr>
          </w:p>
        </w:tc>
        <w:tc>
          <w:tcPr>
            <w:tcW w:w="631" w:type="pct"/>
            <w:shd w:val="clear" w:color="auto" w:fill="F2F2F2" w:themeFill="background1" w:themeFillShade="F2"/>
            <w:noWrap/>
            <w:vAlign w:val="center"/>
            <w:hideMark/>
          </w:tcPr>
          <w:p w14:paraId="06BBCDF7" w14:textId="77777777" w:rsidR="003D2D3A" w:rsidRPr="00385DDD" w:rsidRDefault="003D2D3A" w:rsidP="00A14901">
            <w:pPr>
              <w:snapToGrid w:val="0"/>
              <w:spacing w:before="20" w:after="20" w:line="240" w:lineRule="auto"/>
              <w:jc w:val="right"/>
              <w:rPr>
                <w:sz w:val="16"/>
                <w:szCs w:val="16"/>
              </w:rPr>
            </w:pPr>
          </w:p>
        </w:tc>
        <w:tc>
          <w:tcPr>
            <w:tcW w:w="631" w:type="pct"/>
            <w:shd w:val="clear" w:color="auto" w:fill="F2F2F2" w:themeFill="background1" w:themeFillShade="F2"/>
            <w:noWrap/>
            <w:vAlign w:val="center"/>
            <w:hideMark/>
          </w:tcPr>
          <w:p w14:paraId="6DD936B9" w14:textId="77777777" w:rsidR="003D2D3A" w:rsidRPr="00385DDD" w:rsidRDefault="003D2D3A" w:rsidP="00A14901">
            <w:pPr>
              <w:snapToGrid w:val="0"/>
              <w:spacing w:before="20" w:after="20" w:line="240" w:lineRule="auto"/>
              <w:jc w:val="right"/>
              <w:rPr>
                <w:sz w:val="16"/>
                <w:szCs w:val="16"/>
              </w:rPr>
            </w:pPr>
          </w:p>
        </w:tc>
      </w:tr>
      <w:tr w:rsidR="00385DDD" w:rsidRPr="00385DDD" w14:paraId="25F56091" w14:textId="77777777" w:rsidTr="00A14901">
        <w:trPr>
          <w:trHeight w:val="340"/>
        </w:trPr>
        <w:tc>
          <w:tcPr>
            <w:tcW w:w="636" w:type="pct"/>
            <w:shd w:val="clear" w:color="auto" w:fill="DCE6F1"/>
            <w:noWrap/>
            <w:vAlign w:val="center"/>
            <w:hideMark/>
          </w:tcPr>
          <w:p w14:paraId="686B840C"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Izvor 11</w:t>
            </w:r>
          </w:p>
        </w:tc>
        <w:tc>
          <w:tcPr>
            <w:tcW w:w="1839" w:type="pct"/>
            <w:shd w:val="clear" w:color="auto" w:fill="DCE6F1"/>
            <w:noWrap/>
            <w:vAlign w:val="center"/>
            <w:hideMark/>
          </w:tcPr>
          <w:p w14:paraId="7FB5B625" w14:textId="77777777" w:rsidR="00385DDD" w:rsidRPr="00385DDD" w:rsidRDefault="00385DDD" w:rsidP="00A14901">
            <w:pPr>
              <w:snapToGrid w:val="0"/>
              <w:spacing w:before="20" w:after="20" w:line="240" w:lineRule="auto"/>
              <w:rPr>
                <w:sz w:val="16"/>
                <w:szCs w:val="16"/>
              </w:rPr>
            </w:pPr>
          </w:p>
        </w:tc>
        <w:tc>
          <w:tcPr>
            <w:tcW w:w="631" w:type="pct"/>
            <w:shd w:val="clear" w:color="auto" w:fill="DCE6F1"/>
            <w:noWrap/>
            <w:vAlign w:val="center"/>
            <w:hideMark/>
          </w:tcPr>
          <w:p w14:paraId="791997F5" w14:textId="097E0F8B"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10.000,00</w:t>
            </w:r>
          </w:p>
        </w:tc>
        <w:tc>
          <w:tcPr>
            <w:tcW w:w="631" w:type="pct"/>
            <w:shd w:val="clear" w:color="auto" w:fill="DCE6F1"/>
            <w:noWrap/>
            <w:vAlign w:val="center"/>
            <w:hideMark/>
          </w:tcPr>
          <w:p w14:paraId="65E78F35" w14:textId="299BCFEB"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4.815,00</w:t>
            </w:r>
          </w:p>
        </w:tc>
        <w:tc>
          <w:tcPr>
            <w:tcW w:w="631" w:type="pct"/>
            <w:shd w:val="clear" w:color="auto" w:fill="DCE6F1"/>
            <w:noWrap/>
            <w:vAlign w:val="center"/>
            <w:hideMark/>
          </w:tcPr>
          <w:p w14:paraId="7F6DD22C" w14:textId="41B5633D"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48,15%</w:t>
            </w:r>
          </w:p>
        </w:tc>
        <w:tc>
          <w:tcPr>
            <w:tcW w:w="631" w:type="pct"/>
            <w:shd w:val="clear" w:color="auto" w:fill="DCE6F1"/>
            <w:noWrap/>
            <w:vAlign w:val="center"/>
            <w:hideMark/>
          </w:tcPr>
          <w:p w14:paraId="3324CDBB" w14:textId="13D85755"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5.185,00</w:t>
            </w:r>
          </w:p>
        </w:tc>
      </w:tr>
      <w:tr w:rsidR="00385DDD" w:rsidRPr="00385DDD" w14:paraId="44D3CFA7" w14:textId="77777777" w:rsidTr="00A14901">
        <w:trPr>
          <w:trHeight w:val="340"/>
        </w:trPr>
        <w:tc>
          <w:tcPr>
            <w:tcW w:w="636" w:type="pct"/>
            <w:shd w:val="clear" w:color="auto" w:fill="F2F2F2" w:themeFill="background1" w:themeFillShade="F2"/>
            <w:noWrap/>
            <w:vAlign w:val="center"/>
            <w:hideMark/>
          </w:tcPr>
          <w:p w14:paraId="51866827"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412</w:t>
            </w:r>
          </w:p>
        </w:tc>
        <w:tc>
          <w:tcPr>
            <w:tcW w:w="1839" w:type="pct"/>
            <w:shd w:val="clear" w:color="auto" w:fill="F2F2F2" w:themeFill="background1" w:themeFillShade="F2"/>
            <w:noWrap/>
            <w:vAlign w:val="center"/>
            <w:hideMark/>
          </w:tcPr>
          <w:p w14:paraId="2C5672F7" w14:textId="77777777" w:rsidR="00385DDD" w:rsidRPr="00385DDD" w:rsidRDefault="00385DDD" w:rsidP="00A14901">
            <w:pPr>
              <w:snapToGrid w:val="0"/>
              <w:spacing w:before="20" w:after="20" w:line="240" w:lineRule="auto"/>
              <w:rPr>
                <w:sz w:val="16"/>
                <w:szCs w:val="16"/>
              </w:rPr>
            </w:pPr>
            <w:r w:rsidRPr="00385DDD">
              <w:rPr>
                <w:rFonts w:cs="Arial"/>
                <w:sz w:val="16"/>
                <w:szCs w:val="16"/>
              </w:rPr>
              <w:t>Nematerijalna imovina</w:t>
            </w:r>
          </w:p>
        </w:tc>
        <w:tc>
          <w:tcPr>
            <w:tcW w:w="631" w:type="pct"/>
            <w:shd w:val="clear" w:color="auto" w:fill="F2F2F2" w:themeFill="background1" w:themeFillShade="F2"/>
            <w:noWrap/>
            <w:vAlign w:val="center"/>
            <w:hideMark/>
          </w:tcPr>
          <w:p w14:paraId="0B853C8F" w14:textId="6F3ABD4C"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0,00</w:t>
            </w:r>
          </w:p>
        </w:tc>
        <w:tc>
          <w:tcPr>
            <w:tcW w:w="631" w:type="pct"/>
            <w:shd w:val="clear" w:color="auto" w:fill="F2F2F2" w:themeFill="background1" w:themeFillShade="F2"/>
            <w:noWrap/>
            <w:vAlign w:val="center"/>
            <w:hideMark/>
          </w:tcPr>
          <w:p w14:paraId="1170F0BA" w14:textId="47055D73"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0,00</w:t>
            </w:r>
          </w:p>
        </w:tc>
        <w:tc>
          <w:tcPr>
            <w:tcW w:w="631" w:type="pct"/>
            <w:shd w:val="clear" w:color="auto" w:fill="F2F2F2" w:themeFill="background1" w:themeFillShade="F2"/>
            <w:noWrap/>
            <w:vAlign w:val="center"/>
            <w:hideMark/>
          </w:tcPr>
          <w:p w14:paraId="34CFBA95" w14:textId="05CD5F12"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0,00%</w:t>
            </w:r>
          </w:p>
        </w:tc>
        <w:tc>
          <w:tcPr>
            <w:tcW w:w="631" w:type="pct"/>
            <w:shd w:val="clear" w:color="auto" w:fill="F2F2F2" w:themeFill="background1" w:themeFillShade="F2"/>
            <w:noWrap/>
            <w:vAlign w:val="center"/>
            <w:hideMark/>
          </w:tcPr>
          <w:p w14:paraId="2035A3A6" w14:textId="44C20BEE"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0,00</w:t>
            </w:r>
          </w:p>
        </w:tc>
      </w:tr>
      <w:tr w:rsidR="00385DDD" w:rsidRPr="00385DDD" w14:paraId="477129E8" w14:textId="77777777" w:rsidTr="00A14901">
        <w:trPr>
          <w:trHeight w:val="340"/>
        </w:trPr>
        <w:tc>
          <w:tcPr>
            <w:tcW w:w="636" w:type="pct"/>
            <w:shd w:val="clear" w:color="auto" w:fill="FFFFFF" w:themeFill="background1"/>
            <w:noWrap/>
            <w:vAlign w:val="center"/>
            <w:hideMark/>
          </w:tcPr>
          <w:p w14:paraId="0CD203ED"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4123</w:t>
            </w:r>
          </w:p>
        </w:tc>
        <w:tc>
          <w:tcPr>
            <w:tcW w:w="1839" w:type="pct"/>
            <w:shd w:val="clear" w:color="auto" w:fill="FFFFFF" w:themeFill="background1"/>
            <w:noWrap/>
            <w:vAlign w:val="center"/>
            <w:hideMark/>
          </w:tcPr>
          <w:p w14:paraId="6FED4ECC" w14:textId="77777777" w:rsidR="00385DDD" w:rsidRPr="00385DDD" w:rsidRDefault="00385DDD" w:rsidP="00A14901">
            <w:pPr>
              <w:snapToGrid w:val="0"/>
              <w:spacing w:before="20" w:after="20" w:line="240" w:lineRule="auto"/>
              <w:rPr>
                <w:sz w:val="16"/>
                <w:szCs w:val="16"/>
              </w:rPr>
            </w:pPr>
            <w:r w:rsidRPr="00385DDD">
              <w:rPr>
                <w:rFonts w:cs="Arial"/>
                <w:sz w:val="16"/>
                <w:szCs w:val="16"/>
              </w:rPr>
              <w:t>Licence</w:t>
            </w:r>
          </w:p>
        </w:tc>
        <w:tc>
          <w:tcPr>
            <w:tcW w:w="631" w:type="pct"/>
            <w:shd w:val="clear" w:color="auto" w:fill="FFFFFF" w:themeFill="background1"/>
            <w:noWrap/>
            <w:vAlign w:val="center"/>
            <w:hideMark/>
          </w:tcPr>
          <w:p w14:paraId="7DF4CEAF" w14:textId="23458D16"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33AA030A" w14:textId="0F9C6CD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1C436D07" w14:textId="63D54C4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61BA6993" w14:textId="6F34A149"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r>
      <w:tr w:rsidR="00385DDD" w:rsidRPr="00385DDD" w14:paraId="354E19A2" w14:textId="77777777" w:rsidTr="00A14901">
        <w:trPr>
          <w:trHeight w:val="340"/>
        </w:trPr>
        <w:tc>
          <w:tcPr>
            <w:tcW w:w="636" w:type="pct"/>
            <w:shd w:val="clear" w:color="auto" w:fill="F2F2F2" w:themeFill="background1" w:themeFillShade="F2"/>
            <w:noWrap/>
            <w:vAlign w:val="center"/>
            <w:hideMark/>
          </w:tcPr>
          <w:p w14:paraId="5B618CA3"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422</w:t>
            </w:r>
          </w:p>
        </w:tc>
        <w:tc>
          <w:tcPr>
            <w:tcW w:w="1839" w:type="pct"/>
            <w:shd w:val="clear" w:color="auto" w:fill="F2F2F2" w:themeFill="background1" w:themeFillShade="F2"/>
            <w:noWrap/>
            <w:vAlign w:val="center"/>
            <w:hideMark/>
          </w:tcPr>
          <w:p w14:paraId="485D1D82" w14:textId="77777777" w:rsidR="00385DDD" w:rsidRPr="00385DDD" w:rsidRDefault="00385DDD" w:rsidP="00A14901">
            <w:pPr>
              <w:snapToGrid w:val="0"/>
              <w:spacing w:before="20" w:after="20" w:line="240" w:lineRule="auto"/>
              <w:rPr>
                <w:sz w:val="16"/>
                <w:szCs w:val="16"/>
              </w:rPr>
            </w:pPr>
            <w:r w:rsidRPr="00385DDD">
              <w:rPr>
                <w:rFonts w:cs="Arial"/>
                <w:sz w:val="16"/>
                <w:szCs w:val="16"/>
              </w:rPr>
              <w:t>Postrojenja i oprema</w:t>
            </w:r>
          </w:p>
        </w:tc>
        <w:tc>
          <w:tcPr>
            <w:tcW w:w="631" w:type="pct"/>
            <w:shd w:val="clear" w:color="auto" w:fill="F2F2F2" w:themeFill="background1" w:themeFillShade="F2"/>
            <w:noWrap/>
            <w:vAlign w:val="center"/>
            <w:hideMark/>
          </w:tcPr>
          <w:p w14:paraId="3741EB54" w14:textId="46AAD1FE"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4.000,00</w:t>
            </w:r>
          </w:p>
        </w:tc>
        <w:tc>
          <w:tcPr>
            <w:tcW w:w="631" w:type="pct"/>
            <w:shd w:val="clear" w:color="auto" w:fill="F2F2F2" w:themeFill="background1" w:themeFillShade="F2"/>
            <w:noWrap/>
            <w:vAlign w:val="center"/>
            <w:hideMark/>
          </w:tcPr>
          <w:p w14:paraId="76EDCCF4" w14:textId="1515C9EC"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3.015,00</w:t>
            </w:r>
          </w:p>
        </w:tc>
        <w:tc>
          <w:tcPr>
            <w:tcW w:w="631" w:type="pct"/>
            <w:shd w:val="clear" w:color="auto" w:fill="F2F2F2" w:themeFill="background1" w:themeFillShade="F2"/>
            <w:noWrap/>
            <w:vAlign w:val="center"/>
            <w:hideMark/>
          </w:tcPr>
          <w:p w14:paraId="1BDCABDF" w14:textId="3A6B31F3"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75,38%</w:t>
            </w:r>
          </w:p>
        </w:tc>
        <w:tc>
          <w:tcPr>
            <w:tcW w:w="631" w:type="pct"/>
            <w:shd w:val="clear" w:color="auto" w:fill="F2F2F2" w:themeFill="background1" w:themeFillShade="F2"/>
            <w:noWrap/>
            <w:vAlign w:val="center"/>
            <w:hideMark/>
          </w:tcPr>
          <w:p w14:paraId="7BBA4DF8" w14:textId="5DEC6BFB"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985,00</w:t>
            </w:r>
          </w:p>
        </w:tc>
      </w:tr>
      <w:tr w:rsidR="00385DDD" w:rsidRPr="00385DDD" w14:paraId="4B83C3D0" w14:textId="77777777" w:rsidTr="00A14901">
        <w:trPr>
          <w:trHeight w:val="340"/>
        </w:trPr>
        <w:tc>
          <w:tcPr>
            <w:tcW w:w="636" w:type="pct"/>
            <w:shd w:val="clear" w:color="auto" w:fill="FFFFFF" w:themeFill="background1"/>
            <w:noWrap/>
            <w:vAlign w:val="center"/>
            <w:hideMark/>
          </w:tcPr>
          <w:p w14:paraId="103A1D1E"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4221</w:t>
            </w:r>
          </w:p>
        </w:tc>
        <w:tc>
          <w:tcPr>
            <w:tcW w:w="1839" w:type="pct"/>
            <w:shd w:val="clear" w:color="auto" w:fill="FFFFFF" w:themeFill="background1"/>
            <w:noWrap/>
            <w:vAlign w:val="center"/>
            <w:hideMark/>
          </w:tcPr>
          <w:p w14:paraId="207BC365" w14:textId="77777777" w:rsidR="00385DDD" w:rsidRPr="00385DDD" w:rsidRDefault="00385DDD" w:rsidP="00A14901">
            <w:pPr>
              <w:snapToGrid w:val="0"/>
              <w:spacing w:before="20" w:after="20" w:line="240" w:lineRule="auto"/>
              <w:rPr>
                <w:sz w:val="16"/>
                <w:szCs w:val="16"/>
              </w:rPr>
            </w:pPr>
            <w:r w:rsidRPr="00385DDD">
              <w:rPr>
                <w:rFonts w:cs="Arial"/>
                <w:sz w:val="16"/>
                <w:szCs w:val="16"/>
              </w:rPr>
              <w:t>Uredska oprema i namještaj</w:t>
            </w:r>
          </w:p>
        </w:tc>
        <w:tc>
          <w:tcPr>
            <w:tcW w:w="631" w:type="pct"/>
            <w:shd w:val="clear" w:color="auto" w:fill="FFFFFF" w:themeFill="background1"/>
            <w:noWrap/>
            <w:vAlign w:val="center"/>
            <w:hideMark/>
          </w:tcPr>
          <w:p w14:paraId="4703B5B5" w14:textId="1AD99CC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4.000,00</w:t>
            </w:r>
          </w:p>
        </w:tc>
        <w:tc>
          <w:tcPr>
            <w:tcW w:w="631" w:type="pct"/>
            <w:shd w:val="clear" w:color="auto" w:fill="FFFFFF" w:themeFill="background1"/>
            <w:noWrap/>
            <w:vAlign w:val="center"/>
            <w:hideMark/>
          </w:tcPr>
          <w:p w14:paraId="745ECD8C" w14:textId="59FD610E"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3.015,00</w:t>
            </w:r>
          </w:p>
        </w:tc>
        <w:tc>
          <w:tcPr>
            <w:tcW w:w="631" w:type="pct"/>
            <w:shd w:val="clear" w:color="auto" w:fill="FFFFFF" w:themeFill="background1"/>
            <w:noWrap/>
            <w:vAlign w:val="center"/>
            <w:hideMark/>
          </w:tcPr>
          <w:p w14:paraId="74006A2B" w14:textId="3E15B469"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75,38%</w:t>
            </w:r>
          </w:p>
        </w:tc>
        <w:tc>
          <w:tcPr>
            <w:tcW w:w="631" w:type="pct"/>
            <w:shd w:val="clear" w:color="auto" w:fill="FFFFFF" w:themeFill="background1"/>
            <w:noWrap/>
            <w:vAlign w:val="center"/>
            <w:hideMark/>
          </w:tcPr>
          <w:p w14:paraId="4EF5ECA1" w14:textId="41A720FB"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985,00</w:t>
            </w:r>
          </w:p>
        </w:tc>
      </w:tr>
      <w:tr w:rsidR="00385DDD" w:rsidRPr="00385DDD" w14:paraId="1607A475" w14:textId="77777777" w:rsidTr="00A14901">
        <w:trPr>
          <w:trHeight w:val="340"/>
        </w:trPr>
        <w:tc>
          <w:tcPr>
            <w:tcW w:w="636" w:type="pct"/>
            <w:shd w:val="clear" w:color="auto" w:fill="FFFFFF" w:themeFill="background1"/>
            <w:noWrap/>
            <w:vAlign w:val="center"/>
            <w:hideMark/>
          </w:tcPr>
          <w:p w14:paraId="18FBEEE9"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4222</w:t>
            </w:r>
          </w:p>
        </w:tc>
        <w:tc>
          <w:tcPr>
            <w:tcW w:w="1839" w:type="pct"/>
            <w:shd w:val="clear" w:color="auto" w:fill="FFFFFF" w:themeFill="background1"/>
            <w:noWrap/>
            <w:vAlign w:val="center"/>
            <w:hideMark/>
          </w:tcPr>
          <w:p w14:paraId="14092D26" w14:textId="77777777" w:rsidR="00385DDD" w:rsidRPr="00385DDD" w:rsidRDefault="00385DDD" w:rsidP="00A14901">
            <w:pPr>
              <w:snapToGrid w:val="0"/>
              <w:spacing w:before="20" w:after="20" w:line="240" w:lineRule="auto"/>
              <w:rPr>
                <w:sz w:val="16"/>
                <w:szCs w:val="16"/>
              </w:rPr>
            </w:pPr>
            <w:r w:rsidRPr="00385DDD">
              <w:rPr>
                <w:rFonts w:cs="Arial"/>
                <w:sz w:val="16"/>
                <w:szCs w:val="16"/>
              </w:rPr>
              <w:t>Komunikacijska oprema</w:t>
            </w:r>
          </w:p>
        </w:tc>
        <w:tc>
          <w:tcPr>
            <w:tcW w:w="631" w:type="pct"/>
            <w:shd w:val="clear" w:color="auto" w:fill="FFFFFF" w:themeFill="background1"/>
            <w:noWrap/>
            <w:vAlign w:val="center"/>
            <w:hideMark/>
          </w:tcPr>
          <w:p w14:paraId="3F15CFBD" w14:textId="4849D9D6"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42CF63B2" w14:textId="525073C4"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29307BEE" w14:textId="1450909D"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c>
          <w:tcPr>
            <w:tcW w:w="631" w:type="pct"/>
            <w:shd w:val="clear" w:color="auto" w:fill="FFFFFF" w:themeFill="background1"/>
            <w:noWrap/>
            <w:vAlign w:val="center"/>
            <w:hideMark/>
          </w:tcPr>
          <w:p w14:paraId="440F3240" w14:textId="389B710D"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0,00</w:t>
            </w:r>
          </w:p>
        </w:tc>
      </w:tr>
      <w:tr w:rsidR="00385DDD" w:rsidRPr="00385DDD" w14:paraId="62964EA0" w14:textId="77777777" w:rsidTr="00A14901">
        <w:trPr>
          <w:trHeight w:val="340"/>
        </w:trPr>
        <w:tc>
          <w:tcPr>
            <w:tcW w:w="636" w:type="pct"/>
            <w:shd w:val="clear" w:color="auto" w:fill="F2F2F2" w:themeFill="background1" w:themeFillShade="F2"/>
            <w:noWrap/>
            <w:vAlign w:val="center"/>
            <w:hideMark/>
          </w:tcPr>
          <w:p w14:paraId="3E3CE2DD"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426</w:t>
            </w:r>
          </w:p>
        </w:tc>
        <w:tc>
          <w:tcPr>
            <w:tcW w:w="1839" w:type="pct"/>
            <w:shd w:val="clear" w:color="auto" w:fill="F2F2F2" w:themeFill="background1" w:themeFillShade="F2"/>
            <w:noWrap/>
            <w:vAlign w:val="center"/>
            <w:hideMark/>
          </w:tcPr>
          <w:p w14:paraId="40D80144" w14:textId="77777777" w:rsidR="00385DDD" w:rsidRPr="00385DDD" w:rsidRDefault="00385DDD" w:rsidP="00A14901">
            <w:pPr>
              <w:snapToGrid w:val="0"/>
              <w:spacing w:before="20" w:after="20" w:line="240" w:lineRule="auto"/>
              <w:rPr>
                <w:sz w:val="16"/>
                <w:szCs w:val="16"/>
              </w:rPr>
            </w:pPr>
          </w:p>
        </w:tc>
        <w:tc>
          <w:tcPr>
            <w:tcW w:w="631" w:type="pct"/>
            <w:shd w:val="clear" w:color="auto" w:fill="F2F2F2" w:themeFill="background1" w:themeFillShade="F2"/>
            <w:noWrap/>
            <w:vAlign w:val="center"/>
            <w:hideMark/>
          </w:tcPr>
          <w:p w14:paraId="39B56465" w14:textId="24BF00EF"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6.000,00</w:t>
            </w:r>
          </w:p>
        </w:tc>
        <w:tc>
          <w:tcPr>
            <w:tcW w:w="631" w:type="pct"/>
            <w:shd w:val="clear" w:color="auto" w:fill="F2F2F2" w:themeFill="background1" w:themeFillShade="F2"/>
            <w:noWrap/>
            <w:vAlign w:val="center"/>
            <w:hideMark/>
          </w:tcPr>
          <w:p w14:paraId="7ED95699" w14:textId="119F9217"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1.800,00</w:t>
            </w:r>
          </w:p>
        </w:tc>
        <w:tc>
          <w:tcPr>
            <w:tcW w:w="631" w:type="pct"/>
            <w:shd w:val="clear" w:color="auto" w:fill="F2F2F2" w:themeFill="background1" w:themeFillShade="F2"/>
            <w:noWrap/>
            <w:vAlign w:val="center"/>
            <w:hideMark/>
          </w:tcPr>
          <w:p w14:paraId="72DC189A" w14:textId="67C7199E"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30,00%</w:t>
            </w:r>
          </w:p>
        </w:tc>
        <w:tc>
          <w:tcPr>
            <w:tcW w:w="631" w:type="pct"/>
            <w:shd w:val="clear" w:color="auto" w:fill="F2F2F2" w:themeFill="background1" w:themeFillShade="F2"/>
            <w:noWrap/>
            <w:vAlign w:val="center"/>
            <w:hideMark/>
          </w:tcPr>
          <w:p w14:paraId="00A8B0E1" w14:textId="089063C2" w:rsidR="00385DDD" w:rsidRPr="00385DDD" w:rsidRDefault="00385DDD" w:rsidP="00A14901">
            <w:pPr>
              <w:snapToGrid w:val="0"/>
              <w:spacing w:before="20" w:after="20" w:line="240" w:lineRule="auto"/>
              <w:jc w:val="right"/>
              <w:rPr>
                <w:sz w:val="16"/>
                <w:szCs w:val="16"/>
              </w:rPr>
            </w:pPr>
            <w:r w:rsidRPr="00385DDD">
              <w:rPr>
                <w:rFonts w:eastAsia="Times New Roman" w:cs="Calibri"/>
                <w:b/>
                <w:bCs/>
                <w:color w:val="000000"/>
                <w:sz w:val="16"/>
                <w:szCs w:val="16"/>
              </w:rPr>
              <w:t>4.200,00</w:t>
            </w:r>
          </w:p>
        </w:tc>
      </w:tr>
      <w:tr w:rsidR="00385DDD" w:rsidRPr="00385DDD" w14:paraId="02312009" w14:textId="77777777" w:rsidTr="00A14901">
        <w:trPr>
          <w:trHeight w:val="340"/>
        </w:trPr>
        <w:tc>
          <w:tcPr>
            <w:tcW w:w="636" w:type="pct"/>
            <w:shd w:val="clear" w:color="auto" w:fill="FFFFFF" w:themeFill="background1"/>
            <w:noWrap/>
            <w:vAlign w:val="center"/>
            <w:hideMark/>
          </w:tcPr>
          <w:p w14:paraId="3B533461" w14:textId="77777777" w:rsidR="00385DDD" w:rsidRPr="00385DDD" w:rsidRDefault="00385DDD" w:rsidP="00A14901">
            <w:pPr>
              <w:snapToGrid w:val="0"/>
              <w:spacing w:before="20" w:after="20" w:line="240" w:lineRule="auto"/>
              <w:jc w:val="center"/>
              <w:rPr>
                <w:sz w:val="16"/>
                <w:szCs w:val="16"/>
              </w:rPr>
            </w:pPr>
            <w:r w:rsidRPr="00385DDD">
              <w:rPr>
                <w:rFonts w:cs="Arial"/>
                <w:sz w:val="16"/>
                <w:szCs w:val="16"/>
              </w:rPr>
              <w:t>4262</w:t>
            </w:r>
          </w:p>
        </w:tc>
        <w:tc>
          <w:tcPr>
            <w:tcW w:w="1839" w:type="pct"/>
            <w:shd w:val="clear" w:color="auto" w:fill="FFFFFF" w:themeFill="background1"/>
            <w:noWrap/>
            <w:vAlign w:val="center"/>
            <w:hideMark/>
          </w:tcPr>
          <w:p w14:paraId="020D53E5" w14:textId="77777777" w:rsidR="00385DDD" w:rsidRPr="00385DDD" w:rsidRDefault="00385DDD" w:rsidP="00A14901">
            <w:pPr>
              <w:snapToGrid w:val="0"/>
              <w:spacing w:before="20" w:after="20" w:line="240" w:lineRule="auto"/>
              <w:rPr>
                <w:sz w:val="16"/>
                <w:szCs w:val="16"/>
              </w:rPr>
            </w:pPr>
            <w:r w:rsidRPr="00385DDD">
              <w:rPr>
                <w:rFonts w:cs="Arial"/>
                <w:sz w:val="16"/>
                <w:szCs w:val="16"/>
              </w:rPr>
              <w:t>Ulaganja u programe</w:t>
            </w:r>
          </w:p>
        </w:tc>
        <w:tc>
          <w:tcPr>
            <w:tcW w:w="631" w:type="pct"/>
            <w:shd w:val="clear" w:color="auto" w:fill="FFFFFF" w:themeFill="background1"/>
            <w:noWrap/>
            <w:vAlign w:val="center"/>
            <w:hideMark/>
          </w:tcPr>
          <w:p w14:paraId="545825D2" w14:textId="5E83521E"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6.000,00</w:t>
            </w:r>
          </w:p>
        </w:tc>
        <w:tc>
          <w:tcPr>
            <w:tcW w:w="631" w:type="pct"/>
            <w:shd w:val="clear" w:color="auto" w:fill="FFFFFF" w:themeFill="background1"/>
            <w:noWrap/>
            <w:vAlign w:val="center"/>
            <w:hideMark/>
          </w:tcPr>
          <w:p w14:paraId="54AFDAE2" w14:textId="5D72D891"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1.800,00</w:t>
            </w:r>
          </w:p>
        </w:tc>
        <w:tc>
          <w:tcPr>
            <w:tcW w:w="631" w:type="pct"/>
            <w:shd w:val="clear" w:color="auto" w:fill="FFFFFF" w:themeFill="background1"/>
            <w:noWrap/>
            <w:vAlign w:val="center"/>
            <w:hideMark/>
          </w:tcPr>
          <w:p w14:paraId="796CE8AA" w14:textId="6CDE0C7F"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30,00%</w:t>
            </w:r>
          </w:p>
        </w:tc>
        <w:tc>
          <w:tcPr>
            <w:tcW w:w="631" w:type="pct"/>
            <w:shd w:val="clear" w:color="auto" w:fill="FFFFFF" w:themeFill="background1"/>
            <w:noWrap/>
            <w:vAlign w:val="center"/>
            <w:hideMark/>
          </w:tcPr>
          <w:p w14:paraId="6226B66B" w14:textId="13233ABC" w:rsidR="00385DDD" w:rsidRPr="00385DDD" w:rsidRDefault="00385DDD" w:rsidP="00A14901">
            <w:pPr>
              <w:snapToGrid w:val="0"/>
              <w:spacing w:before="20" w:after="20" w:line="240" w:lineRule="auto"/>
              <w:jc w:val="right"/>
              <w:rPr>
                <w:sz w:val="16"/>
                <w:szCs w:val="16"/>
              </w:rPr>
            </w:pPr>
            <w:r w:rsidRPr="00385DDD">
              <w:rPr>
                <w:rFonts w:eastAsia="Times New Roman" w:cs="Calibri"/>
                <w:color w:val="000000"/>
                <w:sz w:val="16"/>
                <w:szCs w:val="16"/>
              </w:rPr>
              <w:t>4.200,00</w:t>
            </w:r>
          </w:p>
        </w:tc>
      </w:tr>
    </w:tbl>
    <w:p w14:paraId="662979D5" w14:textId="764D6D4F" w:rsidR="003D2D3A" w:rsidRDefault="003D2D3A" w:rsidP="003D2D3A">
      <w:pPr>
        <w:widowControl w:val="0"/>
        <w:spacing w:before="240" w:after="0"/>
        <w:rPr>
          <w:rFonts w:eastAsia="Malgun Gothic" w:cs="Arial"/>
          <w:sz w:val="18"/>
          <w:szCs w:val="18"/>
          <w:lang w:eastAsia="ko-KR"/>
        </w:rPr>
      </w:pPr>
    </w:p>
    <w:p w14:paraId="136775E6" w14:textId="77777777" w:rsidR="003D2D3A" w:rsidRDefault="003D2D3A" w:rsidP="000A5DD6">
      <w:pPr>
        <w:spacing w:after="0" w:line="240" w:lineRule="auto"/>
        <w:rPr>
          <w:rFonts w:eastAsia="Malgun Gothic" w:cs="Arial"/>
          <w:sz w:val="18"/>
          <w:szCs w:val="18"/>
          <w:lang w:eastAsia="ko-KR"/>
        </w:rPr>
      </w:pPr>
      <w:r>
        <w:rPr>
          <w:rFonts w:eastAsia="Malgun Gothic" w:cs="Arial"/>
          <w:sz w:val="18"/>
          <w:szCs w:val="18"/>
          <w:lang w:eastAsia="ko-KR"/>
        </w:rPr>
        <w:br w:type="page"/>
      </w:r>
    </w:p>
    <w:p w14:paraId="02E01275" w14:textId="64984D8B" w:rsidR="00F97385" w:rsidRPr="00F0315E" w:rsidRDefault="00F97385" w:rsidP="007B4CE1">
      <w:pPr>
        <w:pStyle w:val="Naslov1"/>
        <w:numPr>
          <w:ilvl w:val="0"/>
          <w:numId w:val="0"/>
        </w:numPr>
        <w:ind w:left="1022"/>
      </w:pPr>
      <w:bookmarkStart w:id="256" w:name="_Toc162445813"/>
      <w:bookmarkStart w:id="257" w:name="_Toc225865652"/>
      <w:r>
        <w:lastRenderedPageBreak/>
        <w:t>E)</w:t>
      </w:r>
      <w:r>
        <w:tab/>
        <w:t>OSVRT, PRIJEDLOZI I PREPORUKE ZA OTKLANJANJE NEDOSTATAKA I NEPRAVILNOSTI TE OKVIRNI PLAN DJELOVANJA POVJERENIKA I UREDA POVJERENIKA U 202</w:t>
      </w:r>
      <w:r w:rsidR="00997E56">
        <w:t>6</w:t>
      </w:r>
      <w:r>
        <w:t>.</w:t>
      </w:r>
      <w:bookmarkEnd w:id="256"/>
      <w:bookmarkEnd w:id="257"/>
    </w:p>
    <w:p w14:paraId="4C793FB3" w14:textId="3974D971" w:rsidR="00FA7DD0" w:rsidRPr="00F0315E" w:rsidRDefault="00FA7DD0" w:rsidP="007B4CE1">
      <w:pPr>
        <w:pStyle w:val="Naslov1"/>
        <w:rPr>
          <w:lang w:eastAsia="en-US"/>
        </w:rPr>
      </w:pPr>
      <w:bookmarkStart w:id="258" w:name="_Toc225865653"/>
      <w:r>
        <w:t>O</w:t>
      </w:r>
      <w:bookmarkEnd w:id="253"/>
      <w:r w:rsidR="00F45E79">
        <w:t>svrt</w:t>
      </w:r>
      <w:r w:rsidR="00F45E79" w:rsidRPr="7D481D26">
        <w:rPr>
          <w:lang w:eastAsia="en-US"/>
        </w:rPr>
        <w:t xml:space="preserve"> na </w:t>
      </w:r>
      <w:r w:rsidR="00F45E79">
        <w:t>prijedloge</w:t>
      </w:r>
      <w:r w:rsidR="00BA6454" w:rsidRPr="7D481D26">
        <w:rPr>
          <w:lang w:eastAsia="en-US"/>
        </w:rPr>
        <w:t xml:space="preserve">, </w:t>
      </w:r>
      <w:r w:rsidR="00F45E79" w:rsidRPr="7D481D26">
        <w:rPr>
          <w:lang w:eastAsia="en-US"/>
        </w:rPr>
        <w:t>preporuke</w:t>
      </w:r>
      <w:r w:rsidR="00BA6454" w:rsidRPr="7D481D26">
        <w:rPr>
          <w:lang w:eastAsia="en-US"/>
        </w:rPr>
        <w:t xml:space="preserve"> i aktivnosti Ureda povjerenika</w:t>
      </w:r>
      <w:r w:rsidR="00F45E79" w:rsidRPr="7D481D26">
        <w:rPr>
          <w:lang w:eastAsia="en-US"/>
        </w:rPr>
        <w:t xml:space="preserve"> iz prošlogodišnjeg Izvješća</w:t>
      </w:r>
      <w:bookmarkEnd w:id="258"/>
    </w:p>
    <w:p w14:paraId="29C2AFC0" w14:textId="77777777" w:rsidR="00385DDD" w:rsidRPr="005F5F69" w:rsidRDefault="00385DDD" w:rsidP="00385DDD">
      <w:pPr>
        <w:spacing w:after="0"/>
        <w:rPr>
          <w:rFonts w:cs="Arial"/>
        </w:rPr>
      </w:pPr>
      <w:r w:rsidRPr="005F5F69">
        <w:rPr>
          <w:rFonts w:cs="Arial"/>
        </w:rPr>
        <w:t>U Izvješću za 2024., s ciljem osiguravanja pravilne primjene ZPPI-ja, omogućavanja korisnicima što učinkovitijeg pristupa informacijama te olakšanja rada tijela javne vlasti u području rješavanja zahtjeva i ispunjavanja svih zakonskih obveza, dani su sljedeći prijedlozi i preporuke za 2025.:</w:t>
      </w:r>
    </w:p>
    <w:p w14:paraId="2CDD1080" w14:textId="77777777" w:rsidR="00385DDD" w:rsidRPr="005F5F69" w:rsidRDefault="00385DDD" w:rsidP="00385DDD">
      <w:pPr>
        <w:spacing w:after="0"/>
        <w:rPr>
          <w:rFonts w:cs="Arial"/>
        </w:rPr>
      </w:pPr>
    </w:p>
    <w:p w14:paraId="37CEB75F" w14:textId="77777777" w:rsidR="00385DDD" w:rsidRPr="005F5F69" w:rsidRDefault="00385DDD" w:rsidP="005F0EC0">
      <w:pPr>
        <w:numPr>
          <w:ilvl w:val="0"/>
          <w:numId w:val="10"/>
        </w:numPr>
        <w:spacing w:after="160" w:line="259" w:lineRule="auto"/>
        <w:jc w:val="left"/>
        <w:rPr>
          <w:rFonts w:cs="Arial"/>
        </w:rPr>
      </w:pPr>
      <w:r w:rsidRPr="005F5F69">
        <w:rPr>
          <w:rFonts w:cs="Arial"/>
        </w:rPr>
        <w:t>Pravilno vođenje službenog upisnika o zaprimljenim zahtjevima</w:t>
      </w:r>
    </w:p>
    <w:p w14:paraId="105D8C2F" w14:textId="77777777" w:rsidR="00385DDD" w:rsidRPr="005F5F69" w:rsidRDefault="00385DDD" w:rsidP="005F0EC0">
      <w:pPr>
        <w:numPr>
          <w:ilvl w:val="0"/>
          <w:numId w:val="10"/>
        </w:numPr>
        <w:spacing w:after="160" w:line="259" w:lineRule="auto"/>
        <w:jc w:val="left"/>
        <w:rPr>
          <w:rFonts w:cs="Arial"/>
        </w:rPr>
      </w:pPr>
      <w:r w:rsidRPr="005F5F69">
        <w:rPr>
          <w:rFonts w:cs="Arial"/>
        </w:rPr>
        <w:t>Kontinuirano primjenjivanje prakse Povjerenika i Visokog upravnog suda radi smanjivanja broja žalbi i tužbi i brže dostupnosti informacija koje su javnog karaktera</w:t>
      </w:r>
    </w:p>
    <w:p w14:paraId="6FD7A44A" w14:textId="77777777" w:rsidR="00385DDD" w:rsidRPr="005F5F69" w:rsidRDefault="00385DDD" w:rsidP="005F0EC0">
      <w:pPr>
        <w:numPr>
          <w:ilvl w:val="0"/>
          <w:numId w:val="10"/>
        </w:numPr>
        <w:spacing w:after="160" w:line="259" w:lineRule="auto"/>
        <w:jc w:val="left"/>
      </w:pPr>
      <w:r w:rsidRPr="005F5F69">
        <w:t>Pravilna primjena odredbi oko postupanja sa zahtjevima za pristup i ponovnu uporabu informacija</w:t>
      </w:r>
    </w:p>
    <w:p w14:paraId="3EC69415" w14:textId="77777777" w:rsidR="00385DDD" w:rsidRPr="005F5F69" w:rsidRDefault="00385DDD" w:rsidP="005F0EC0">
      <w:pPr>
        <w:numPr>
          <w:ilvl w:val="0"/>
          <w:numId w:val="10"/>
        </w:numPr>
        <w:spacing w:after="160" w:line="259" w:lineRule="auto"/>
        <w:jc w:val="left"/>
      </w:pPr>
      <w:r w:rsidRPr="005F5F69">
        <w:t>Pravilno postupanje prilikom izdavanja obavijesti iz članka 23. stavka 1. točke 2.-6. ZPPI-ja</w:t>
      </w:r>
    </w:p>
    <w:p w14:paraId="632BC45E" w14:textId="77777777" w:rsidR="00385DDD" w:rsidRPr="005F5F69" w:rsidRDefault="00385DDD" w:rsidP="005F0EC0">
      <w:pPr>
        <w:numPr>
          <w:ilvl w:val="0"/>
          <w:numId w:val="10"/>
        </w:numPr>
        <w:spacing w:after="160" w:line="259" w:lineRule="auto"/>
        <w:jc w:val="left"/>
      </w:pPr>
      <w:r w:rsidRPr="005F5F69">
        <w:t>Pravilno postupanje po izjavljenom prigovoru</w:t>
      </w:r>
    </w:p>
    <w:p w14:paraId="211922B7" w14:textId="77777777" w:rsidR="00385DDD" w:rsidRPr="005F5F69" w:rsidRDefault="00385DDD" w:rsidP="005F0EC0">
      <w:pPr>
        <w:numPr>
          <w:ilvl w:val="0"/>
          <w:numId w:val="10"/>
        </w:numPr>
        <w:spacing w:after="160" w:line="259" w:lineRule="auto"/>
        <w:jc w:val="left"/>
      </w:pPr>
      <w:r w:rsidRPr="005F5F69">
        <w:t xml:space="preserve">Pravilna primjena odredbi ZUP-a o postupanju sa spisom predmeta tijela javne vlasti u slučaju izjavljivanje žalbe </w:t>
      </w:r>
    </w:p>
    <w:p w14:paraId="5C5594C7" w14:textId="77777777" w:rsidR="00385DDD" w:rsidRPr="005F5F69" w:rsidRDefault="00385DDD" w:rsidP="005F0EC0">
      <w:pPr>
        <w:numPr>
          <w:ilvl w:val="0"/>
          <w:numId w:val="10"/>
        </w:numPr>
        <w:spacing w:after="160" w:line="259" w:lineRule="auto"/>
        <w:jc w:val="left"/>
      </w:pPr>
      <w:r w:rsidRPr="005F5F69">
        <w:t>Osiguravanje stručnog osposobljavanja službenika za informiranje i drugih osoba uključenih u postupak ostvarivanja prava na pristup informacijama</w:t>
      </w:r>
    </w:p>
    <w:p w14:paraId="5A398F60" w14:textId="77777777" w:rsidR="00385DDD" w:rsidRPr="005F5F69" w:rsidRDefault="00385DDD" w:rsidP="005F0EC0">
      <w:pPr>
        <w:numPr>
          <w:ilvl w:val="0"/>
          <w:numId w:val="10"/>
        </w:numPr>
        <w:spacing w:after="160" w:line="259" w:lineRule="auto"/>
        <w:jc w:val="left"/>
      </w:pPr>
      <w:r w:rsidRPr="005F5F69">
        <w:t xml:space="preserve">Objavljivanje sastava radnih skupina koje su izradile nacrte akata koji se stavljaju na savjetovanje </w:t>
      </w:r>
    </w:p>
    <w:p w14:paraId="6D3E4418" w14:textId="77777777" w:rsidR="00385DDD" w:rsidRPr="005F5F69" w:rsidRDefault="00385DDD" w:rsidP="005F0EC0">
      <w:pPr>
        <w:numPr>
          <w:ilvl w:val="0"/>
          <w:numId w:val="10"/>
        </w:numPr>
        <w:spacing w:after="160" w:line="259" w:lineRule="auto"/>
        <w:jc w:val="left"/>
      </w:pPr>
      <w:r w:rsidRPr="005F5F69">
        <w:t>Objavljivanje izvješća o provedenom savjetovanju</w:t>
      </w:r>
    </w:p>
    <w:p w14:paraId="08C72DFB" w14:textId="77777777" w:rsidR="00385DDD" w:rsidRPr="005F5F69" w:rsidRDefault="00385DDD" w:rsidP="005F0EC0">
      <w:pPr>
        <w:numPr>
          <w:ilvl w:val="0"/>
          <w:numId w:val="10"/>
        </w:numPr>
        <w:spacing w:after="160" w:line="259" w:lineRule="auto"/>
        <w:jc w:val="left"/>
      </w:pPr>
      <w:r w:rsidRPr="005F5F69">
        <w:t xml:space="preserve">Objavljivanje i redovno ažuriranje popisa skupova podataka iz djelokruga tijela (tzv. </w:t>
      </w:r>
      <w:r w:rsidRPr="005F5F69">
        <w:rPr>
          <w:i/>
          <w:iCs/>
        </w:rPr>
        <w:t>asset</w:t>
      </w:r>
      <w:r w:rsidRPr="005F5F69">
        <w:t xml:space="preserve"> lista), s metapodacima</w:t>
      </w:r>
    </w:p>
    <w:p w14:paraId="5C3BA0D1" w14:textId="77777777" w:rsidR="00385DDD" w:rsidRPr="005F5F69" w:rsidRDefault="00385DDD" w:rsidP="005F0EC0">
      <w:pPr>
        <w:numPr>
          <w:ilvl w:val="0"/>
          <w:numId w:val="10"/>
        </w:numPr>
        <w:spacing w:after="160" w:line="259" w:lineRule="auto"/>
        <w:jc w:val="left"/>
      </w:pPr>
      <w:r w:rsidRPr="005F5F69">
        <w:t>Objavljivanje registara i baza podataka te skupova podataka za ponovnu uporabu iz nadležnosti tijela na Portalu otvorenih podataka</w:t>
      </w:r>
    </w:p>
    <w:p w14:paraId="76955953" w14:textId="77777777" w:rsidR="00385DDD" w:rsidRPr="005F5F69" w:rsidRDefault="00385DDD" w:rsidP="005F0EC0">
      <w:pPr>
        <w:numPr>
          <w:ilvl w:val="0"/>
          <w:numId w:val="10"/>
        </w:numPr>
        <w:spacing w:after="160" w:line="259" w:lineRule="auto"/>
        <w:jc w:val="left"/>
      </w:pPr>
      <w:r w:rsidRPr="005F5F69">
        <w:t>Objavljivanje visokovrijednih skupova podataka, u strojno čitljivom obliku, putem odgovarajućih API servisa i u obliku masovnog preuzimanja</w:t>
      </w:r>
    </w:p>
    <w:p w14:paraId="5A90B877" w14:textId="77777777" w:rsidR="00385DDD" w:rsidRPr="005F5F69" w:rsidRDefault="00385DDD" w:rsidP="005F0EC0">
      <w:pPr>
        <w:numPr>
          <w:ilvl w:val="0"/>
          <w:numId w:val="10"/>
        </w:numPr>
        <w:spacing w:after="160" w:line="259" w:lineRule="auto"/>
        <w:jc w:val="left"/>
      </w:pPr>
      <w:r w:rsidRPr="005F5F69">
        <w:t>Izmjena normativnog okvira za ostvarivanje pristupa informacijama</w:t>
      </w:r>
    </w:p>
    <w:p w14:paraId="62B7B35B" w14:textId="77777777" w:rsidR="00385DDD" w:rsidRDefault="00385DDD" w:rsidP="000A5DD6">
      <w:pPr>
        <w:rPr>
          <w:rFonts w:cs="Arial"/>
        </w:rPr>
      </w:pPr>
    </w:p>
    <w:p w14:paraId="0E6301A9" w14:textId="77777777" w:rsidR="00385DDD" w:rsidRPr="005F5F69" w:rsidRDefault="00385DDD" w:rsidP="00385DDD">
      <w:pPr>
        <w:rPr>
          <w:rFonts w:cs="Arial"/>
        </w:rPr>
      </w:pPr>
      <w:r w:rsidRPr="005F5F69">
        <w:rPr>
          <w:rFonts w:cs="Arial"/>
        </w:rPr>
        <w:lastRenderedPageBreak/>
        <w:t xml:space="preserve">Navedene preporuke su općenite naravi te se kontinuirano iznose u izvješćima Povjerenika. Putem edukacija i drugih vidova komunikacije, službenici za informiranje tijela javne vlasti upućuju se na primjenu uspostavljene prakse Povjerenika i Visokog upravnog suda RH, kako se ne bi nepotrebno vodili žalbeni postupci i upravni sporovi za informacije za koje je potvrđeno da su javnog karaktera i da trebaju biti dostupne korisnicima. </w:t>
      </w:r>
    </w:p>
    <w:p w14:paraId="07437BED" w14:textId="77777777" w:rsidR="00385DDD" w:rsidRPr="00A01248" w:rsidRDefault="00385DDD" w:rsidP="00385DDD">
      <w:pPr>
        <w:rPr>
          <w:rFonts w:cs="Arial"/>
        </w:rPr>
      </w:pPr>
      <w:r w:rsidRPr="005F5F69">
        <w:rPr>
          <w:rFonts w:cs="Arial"/>
        </w:rPr>
        <w:t xml:space="preserve">S obzirom da se u postupcima ostvarivanja prava na pristup i ponovnu uporabu informacija primjenjuju odredbe ZUP-a, za buduće izvještajno razdoblje i dalje ostaju preporuke da je prilikom izdavanja obavijesti korisnike potrebno uputiti na mogućnost izjavljivanja prigovora čelniku tijela, da se informacije koje su predmet žalbenog postupka Povjereniku moraju pravodobno dostaviti te da se rješenja Povjerenika žaliteljima dostavljaju sukladno odredbama </w:t>
      </w:r>
      <w:r w:rsidRPr="00A01248">
        <w:rPr>
          <w:rFonts w:cs="Arial"/>
        </w:rPr>
        <w:t>ZUP-a.</w:t>
      </w:r>
    </w:p>
    <w:p w14:paraId="42F5EA2C" w14:textId="30F3D041" w:rsidR="00385DDD" w:rsidRPr="005F5F69" w:rsidRDefault="00385DDD" w:rsidP="00385DDD">
      <w:pPr>
        <w:rPr>
          <w:rFonts w:cs="Arial"/>
        </w:rPr>
      </w:pPr>
      <w:r w:rsidRPr="00A01248">
        <w:rPr>
          <w:rFonts w:cs="Arial"/>
        </w:rPr>
        <w:t>Ispunjenje zakonskih obveza objave Zakonom pobrojanih kategorija informacija</w:t>
      </w:r>
      <w:r w:rsidR="00790470" w:rsidRPr="00A01248">
        <w:rPr>
          <w:rFonts w:cs="Arial"/>
        </w:rPr>
        <w:t>, omogućavanja javnosti rada te objave informacija pogodnih za ponovnu uporabu odnosi se na sva tijela javne vlasti</w:t>
      </w:r>
      <w:r w:rsidRPr="00A01248">
        <w:rPr>
          <w:rFonts w:cs="Arial"/>
        </w:rPr>
        <w:t xml:space="preserve">, </w:t>
      </w:r>
      <w:r w:rsidR="008A6DBC" w:rsidRPr="00A01248">
        <w:rPr>
          <w:rFonts w:cs="Arial"/>
        </w:rPr>
        <w:t xml:space="preserve">dok se </w:t>
      </w:r>
      <w:r w:rsidRPr="00A01248">
        <w:rPr>
          <w:rFonts w:cs="Arial"/>
        </w:rPr>
        <w:t>provedb</w:t>
      </w:r>
      <w:r w:rsidR="008A6DBC" w:rsidRPr="00A01248">
        <w:rPr>
          <w:rFonts w:cs="Arial"/>
        </w:rPr>
        <w:t>a</w:t>
      </w:r>
      <w:r w:rsidRPr="00A01248">
        <w:rPr>
          <w:rFonts w:cs="Arial"/>
        </w:rPr>
        <w:t xml:space="preserve"> savjetovanja s javnošću</w:t>
      </w:r>
      <w:r w:rsidR="008A6DBC" w:rsidRPr="00A01248">
        <w:rPr>
          <w:rFonts w:cs="Arial"/>
        </w:rPr>
        <w:t xml:space="preserve"> odnosni na dio tijela javne vlasti.</w:t>
      </w:r>
      <w:r w:rsidRPr="00A01248">
        <w:rPr>
          <w:rFonts w:cs="Arial"/>
        </w:rPr>
        <w:t xml:space="preserve"> </w:t>
      </w:r>
      <w:r w:rsidR="008A6DBC" w:rsidRPr="00A01248">
        <w:rPr>
          <w:rFonts w:cs="Arial"/>
        </w:rPr>
        <w:t>U</w:t>
      </w:r>
      <w:r w:rsidRPr="00A01248">
        <w:rPr>
          <w:rFonts w:cs="Arial"/>
        </w:rPr>
        <w:t xml:space="preserve">tvrđivanje postupa li se zakonito i svrhovito te funkcionira li sustav prava na pristup i ponovnu uporabu informacija djelotvorno i učinkovito, svako tijelo za sebe može procijeniti </w:t>
      </w:r>
      <w:r w:rsidRPr="005F5F69">
        <w:rPr>
          <w:rFonts w:cs="Arial"/>
        </w:rPr>
        <w:t xml:space="preserve">ispunjavanjem </w:t>
      </w:r>
      <w:r w:rsidRPr="005F5F69">
        <w:rPr>
          <w:rFonts w:cs="Arial"/>
          <w:i/>
          <w:iCs/>
        </w:rPr>
        <w:t>„Upitnika za samoprocjenu usklađenosti“</w:t>
      </w:r>
      <w:r w:rsidRPr="005F5F69">
        <w:rPr>
          <w:rFonts w:cs="Arial"/>
        </w:rPr>
        <w:t xml:space="preserve">. </w:t>
      </w:r>
    </w:p>
    <w:p w14:paraId="0BB135EE" w14:textId="0A6CB447" w:rsidR="00385DDD" w:rsidRPr="005F5F69" w:rsidRDefault="00385DDD" w:rsidP="00385DDD">
      <w:pPr>
        <w:rPr>
          <w:rFonts w:cs="Arial"/>
        </w:rPr>
      </w:pPr>
      <w:r w:rsidRPr="005F5F69">
        <w:rPr>
          <w:rFonts w:cs="Arial"/>
        </w:rPr>
        <w:t>Ured</w:t>
      </w:r>
      <w:r w:rsidR="00E967A0">
        <w:rPr>
          <w:rFonts w:cs="Arial"/>
        </w:rPr>
        <w:t xml:space="preserve"> povjerenice</w:t>
      </w:r>
      <w:r w:rsidRPr="005F5F69">
        <w:rPr>
          <w:rFonts w:cs="Arial"/>
        </w:rPr>
        <w:t xml:space="preserve"> je u 2025. nastavio s provedbom edukacija o praktičnoj primjeni ZPPI-ja, organiziranjem ciljanih edukacija za pojedine kategorije tijela javne vlasti. I ova preporuka treba ostati za buduće izvještajno razdoblje, s obzirom na to da je nužno jačanje kapaciteta službenika za informiranje i drugih osoba koje su uključene u postupak rješavanja zahtjeva i ispunjenja drugih zakonskih obveza. </w:t>
      </w:r>
    </w:p>
    <w:p w14:paraId="286E9220" w14:textId="77777777" w:rsidR="00385DDD" w:rsidRPr="005F5F69" w:rsidRDefault="00385DDD" w:rsidP="00385DDD">
      <w:pPr>
        <w:spacing w:after="0"/>
        <w:rPr>
          <w:rFonts w:cs="Arial"/>
        </w:rPr>
      </w:pPr>
      <w:r w:rsidRPr="005F5F69">
        <w:rPr>
          <w:rFonts w:cs="Arial"/>
        </w:rPr>
        <w:t>Nadalje, u Izvješću o provedbi Zakona u 2024. dan je okvirni plan djelovanja i aktivnosti Povjerenika i Ureda povjerenika za 2025.:</w:t>
      </w:r>
    </w:p>
    <w:p w14:paraId="34E8A4FA" w14:textId="77777777" w:rsidR="00385DDD" w:rsidRPr="005F5F69" w:rsidRDefault="00385DDD" w:rsidP="005F0EC0">
      <w:pPr>
        <w:numPr>
          <w:ilvl w:val="0"/>
          <w:numId w:val="2"/>
        </w:numPr>
        <w:snapToGrid w:val="0"/>
        <w:spacing w:before="120"/>
        <w:ind w:left="992" w:hanging="357"/>
        <w:rPr>
          <w:rFonts w:cs="Arial"/>
        </w:rPr>
      </w:pPr>
      <w:r w:rsidRPr="005F5F69">
        <w:rPr>
          <w:rFonts w:cs="Arial"/>
        </w:rPr>
        <w:t>Ciljano analitičko praćenje proaktivne objave informacija</w:t>
      </w:r>
    </w:p>
    <w:p w14:paraId="5C0DCC02" w14:textId="77777777" w:rsidR="00385DDD" w:rsidRPr="005F5F69" w:rsidRDefault="00385DDD" w:rsidP="005F0EC0">
      <w:pPr>
        <w:numPr>
          <w:ilvl w:val="0"/>
          <w:numId w:val="2"/>
        </w:numPr>
        <w:snapToGrid w:val="0"/>
        <w:spacing w:before="120"/>
        <w:ind w:left="992" w:hanging="357"/>
        <w:rPr>
          <w:rFonts w:cs="Arial"/>
        </w:rPr>
      </w:pPr>
      <w:r w:rsidRPr="005F5F69">
        <w:rPr>
          <w:rFonts w:cs="Arial"/>
        </w:rPr>
        <w:t xml:space="preserve">Provedba praćenja objave skupova podataka za ponovnu uporabu asset lista </w:t>
      </w:r>
    </w:p>
    <w:p w14:paraId="1858439E" w14:textId="77777777" w:rsidR="00385DDD" w:rsidRPr="005F5F69" w:rsidRDefault="00385DDD" w:rsidP="005F0EC0">
      <w:pPr>
        <w:numPr>
          <w:ilvl w:val="0"/>
          <w:numId w:val="2"/>
        </w:numPr>
        <w:snapToGrid w:val="0"/>
        <w:spacing w:before="120"/>
        <w:ind w:left="992" w:hanging="357"/>
        <w:rPr>
          <w:rFonts w:cs="Arial"/>
        </w:rPr>
      </w:pPr>
      <w:r w:rsidRPr="005F5F69">
        <w:rPr>
          <w:rFonts w:cs="Arial"/>
        </w:rPr>
        <w:t xml:space="preserve">Provedba praćenja savjetovanja s javnošću odabranih tijela </w:t>
      </w:r>
    </w:p>
    <w:p w14:paraId="0D26C48A" w14:textId="77777777" w:rsidR="00385DDD" w:rsidRPr="005F5F69" w:rsidRDefault="00385DDD" w:rsidP="005F0EC0">
      <w:pPr>
        <w:numPr>
          <w:ilvl w:val="0"/>
          <w:numId w:val="2"/>
        </w:numPr>
        <w:snapToGrid w:val="0"/>
        <w:spacing w:before="120"/>
        <w:ind w:left="992" w:hanging="357"/>
        <w:rPr>
          <w:rFonts w:cs="Arial"/>
        </w:rPr>
      </w:pPr>
      <w:r w:rsidRPr="005F5F69">
        <w:rPr>
          <w:rFonts w:cs="Arial"/>
        </w:rPr>
        <w:t>Provedba praćenja ispunjenja obveze osiguranja javnosti rada na sjednicama tijela</w:t>
      </w:r>
    </w:p>
    <w:p w14:paraId="234EA831" w14:textId="77777777" w:rsidR="00385DDD" w:rsidRPr="005F5F69" w:rsidRDefault="00385DDD" w:rsidP="005F0EC0">
      <w:pPr>
        <w:numPr>
          <w:ilvl w:val="0"/>
          <w:numId w:val="2"/>
        </w:numPr>
        <w:snapToGrid w:val="0"/>
        <w:spacing w:before="120"/>
        <w:ind w:left="992" w:hanging="357"/>
        <w:rPr>
          <w:rFonts w:cs="Arial"/>
        </w:rPr>
      </w:pPr>
      <w:r w:rsidRPr="005F5F69">
        <w:rPr>
          <w:rFonts w:cs="Arial"/>
        </w:rPr>
        <w:t xml:space="preserve">Revidiranje postojećih uputa i smjernica za primjenu Zakona </w:t>
      </w:r>
    </w:p>
    <w:p w14:paraId="1B973346" w14:textId="77777777" w:rsidR="00385DDD" w:rsidRPr="005F5F69" w:rsidRDefault="00385DDD" w:rsidP="005F0EC0">
      <w:pPr>
        <w:numPr>
          <w:ilvl w:val="0"/>
          <w:numId w:val="2"/>
        </w:numPr>
        <w:snapToGrid w:val="0"/>
        <w:spacing w:before="120"/>
        <w:ind w:left="992" w:hanging="357"/>
        <w:rPr>
          <w:rFonts w:cs="Arial"/>
        </w:rPr>
      </w:pPr>
      <w:r w:rsidRPr="005F5F69">
        <w:rPr>
          <w:rFonts w:cs="Arial"/>
        </w:rPr>
        <w:t>Nastavak s objavom sažetaka najvažnijih odluka i mišljenja te njihovih sažetaka</w:t>
      </w:r>
    </w:p>
    <w:p w14:paraId="1296C53F" w14:textId="77777777" w:rsidR="00385DDD" w:rsidRPr="005F5F69" w:rsidRDefault="00385DDD" w:rsidP="005F0EC0">
      <w:pPr>
        <w:numPr>
          <w:ilvl w:val="0"/>
          <w:numId w:val="2"/>
        </w:numPr>
        <w:snapToGrid w:val="0"/>
        <w:spacing w:before="120"/>
        <w:ind w:left="992" w:hanging="357"/>
        <w:rPr>
          <w:rFonts w:cs="Arial"/>
        </w:rPr>
      </w:pPr>
      <w:r w:rsidRPr="005F5F69">
        <w:rPr>
          <w:rFonts w:cs="Arial"/>
        </w:rPr>
        <w:t xml:space="preserve">Provedba edukativnih aktivnosti </w:t>
      </w:r>
    </w:p>
    <w:p w14:paraId="3D19B9EF" w14:textId="77777777" w:rsidR="00385DDD" w:rsidRPr="005F5F69" w:rsidRDefault="00385DDD" w:rsidP="005F0EC0">
      <w:pPr>
        <w:numPr>
          <w:ilvl w:val="0"/>
          <w:numId w:val="2"/>
        </w:numPr>
        <w:snapToGrid w:val="0"/>
        <w:spacing w:before="120"/>
        <w:ind w:left="992" w:hanging="357"/>
        <w:rPr>
          <w:rFonts w:cs="Arial"/>
        </w:rPr>
      </w:pPr>
      <w:r w:rsidRPr="005F5F69">
        <w:rPr>
          <w:rFonts w:cs="Arial"/>
        </w:rPr>
        <w:t>Obilježavanje Međunarodnog dana prava na pristup informacijama</w:t>
      </w:r>
    </w:p>
    <w:p w14:paraId="1EFEDA92" w14:textId="77777777" w:rsidR="00385DDD" w:rsidRPr="005F5F69" w:rsidRDefault="00385DDD" w:rsidP="005F0EC0">
      <w:pPr>
        <w:numPr>
          <w:ilvl w:val="0"/>
          <w:numId w:val="2"/>
        </w:numPr>
        <w:snapToGrid w:val="0"/>
        <w:spacing w:before="120"/>
        <w:ind w:left="992" w:hanging="357"/>
        <w:rPr>
          <w:rFonts w:cs="Arial"/>
        </w:rPr>
      </w:pPr>
      <w:r w:rsidRPr="005F5F69">
        <w:rPr>
          <w:rFonts w:cs="Arial"/>
        </w:rPr>
        <w:t>Organiziranje godišnjeg savjetovanja službenika za informiranje</w:t>
      </w:r>
    </w:p>
    <w:p w14:paraId="3213D73A" w14:textId="77777777" w:rsidR="00385DDD" w:rsidRPr="005F5F69" w:rsidRDefault="00385DDD" w:rsidP="005F0EC0">
      <w:pPr>
        <w:numPr>
          <w:ilvl w:val="0"/>
          <w:numId w:val="2"/>
        </w:numPr>
        <w:snapToGrid w:val="0"/>
        <w:spacing w:before="120"/>
        <w:ind w:left="992" w:hanging="357"/>
        <w:rPr>
          <w:rFonts w:cs="Arial"/>
        </w:rPr>
      </w:pPr>
      <w:r w:rsidRPr="005F5F69">
        <w:rPr>
          <w:rFonts w:cs="Arial"/>
        </w:rPr>
        <w:t>Nastavak suradnje u okviru Inicijative 2020</w:t>
      </w:r>
    </w:p>
    <w:p w14:paraId="3E348AC9" w14:textId="77777777" w:rsidR="00385DDD" w:rsidRPr="005F5F69" w:rsidRDefault="00385DDD" w:rsidP="005F0EC0">
      <w:pPr>
        <w:numPr>
          <w:ilvl w:val="0"/>
          <w:numId w:val="2"/>
        </w:numPr>
        <w:snapToGrid w:val="0"/>
        <w:spacing w:before="120"/>
        <w:ind w:left="992" w:hanging="357"/>
        <w:rPr>
          <w:rFonts w:cs="Arial"/>
        </w:rPr>
      </w:pPr>
      <w:r w:rsidRPr="005F5F69">
        <w:rPr>
          <w:rFonts w:cs="Arial"/>
        </w:rPr>
        <w:t>Ostale aktivnosti</w:t>
      </w:r>
    </w:p>
    <w:p w14:paraId="3B7EBFBA" w14:textId="77777777" w:rsidR="00385DDD" w:rsidRPr="005F5F69" w:rsidRDefault="00385DDD" w:rsidP="00385DDD">
      <w:pPr>
        <w:spacing w:before="120"/>
        <w:rPr>
          <w:rFonts w:cs="Arial"/>
        </w:rPr>
      </w:pPr>
      <w:r w:rsidRPr="005F5F69">
        <w:rPr>
          <w:rFonts w:cs="Arial"/>
        </w:rPr>
        <w:t xml:space="preserve">Sve navedene aktivnosti su ispunjene tijekom 2025. pa je tako Ured pratio zakonitost postupanja i korištenje šutnje uprave od strane tijela javne vlasti, ispunjenje obveze proaktivne </w:t>
      </w:r>
      <w:r w:rsidRPr="005F5F69">
        <w:rPr>
          <w:rFonts w:cs="Arial"/>
        </w:rPr>
        <w:lastRenderedPageBreak/>
        <w:t xml:space="preserve">objave informacija i provedbe savjetovanja s javnošću (praćenja na dan, dubinska praćenja na razini tri ministarstva, praćenja objave sastava radnih skupina). </w:t>
      </w:r>
    </w:p>
    <w:p w14:paraId="088E0915" w14:textId="183FE377" w:rsidR="00385DDD" w:rsidRPr="005F5F69" w:rsidRDefault="00385DDD" w:rsidP="00385DDD">
      <w:pPr>
        <w:rPr>
          <w:rFonts w:cs="Arial"/>
        </w:rPr>
      </w:pPr>
      <w:r w:rsidRPr="00A01248">
        <w:rPr>
          <w:rFonts w:cs="Arial"/>
        </w:rPr>
        <w:t>Revidirane su smjernice za tijela javne vlasti o primjeni pojedinih zakonskih odredbi (</w:t>
      </w:r>
      <w:r w:rsidR="00D51C97" w:rsidRPr="00A01248">
        <w:rPr>
          <w:rFonts w:cs="Arial"/>
        </w:rPr>
        <w:t xml:space="preserve">test razmjernosti i javnog interesa, </w:t>
      </w:r>
      <w:r w:rsidRPr="00A01248">
        <w:rPr>
          <w:rFonts w:cs="Arial"/>
        </w:rPr>
        <w:t>proaktivna objava informacija</w:t>
      </w:r>
      <w:r w:rsidR="00865018" w:rsidRPr="00A01248">
        <w:rPr>
          <w:rFonts w:cs="Arial"/>
        </w:rPr>
        <w:t xml:space="preserve"> i</w:t>
      </w:r>
      <w:r w:rsidRPr="00A01248">
        <w:rPr>
          <w:rFonts w:cs="Arial"/>
          <w:b/>
          <w:bCs/>
        </w:rPr>
        <w:t xml:space="preserve"> </w:t>
      </w:r>
      <w:r w:rsidRPr="00A01248">
        <w:rPr>
          <w:rFonts w:cs="Arial"/>
        </w:rPr>
        <w:t>savjetovanje s javnošću). Nastavljena je objava odluka i mišljenja putem Tražilice odluka i mišljenja i kroz sažetke u</w:t>
      </w:r>
      <w:r w:rsidRPr="005F5F69">
        <w:rPr>
          <w:rFonts w:cs="Arial"/>
        </w:rPr>
        <w:t xml:space="preserve"> rubrici </w:t>
      </w:r>
      <w:r w:rsidRPr="005F5F69">
        <w:rPr>
          <w:rFonts w:cs="Arial"/>
          <w:i/>
          <w:iCs/>
        </w:rPr>
        <w:t>„Iz prakse Povjerenika“</w:t>
      </w:r>
      <w:r w:rsidRPr="005F5F69">
        <w:rPr>
          <w:rFonts w:cs="Arial"/>
        </w:rPr>
        <w:t xml:space="preserve"> te je tijekom izvještajnog razdoblja s ciljem standardizacije postupanja tijela javne vlasti objavljeno 16 novih mišljenja, uputa i sažetaka odluka Povjerenika.</w:t>
      </w:r>
    </w:p>
    <w:p w14:paraId="4BFF1B2F" w14:textId="77777777" w:rsidR="00385DDD" w:rsidRPr="005F5F69" w:rsidRDefault="00385DDD" w:rsidP="00385DDD">
      <w:pPr>
        <w:rPr>
          <w:rFonts w:cs="Arial"/>
        </w:rPr>
      </w:pPr>
      <w:r w:rsidRPr="005F5F69">
        <w:rPr>
          <w:rFonts w:cs="Arial"/>
        </w:rPr>
        <w:t xml:space="preserve">Edukacija i promocija prava na pristup informacijama u 2025. se odvijala prema utvrđenom planu, pri čemu je omogućena komunikacija sa službenicima za informiranje, čelnicima/rukovodećim službenicima, korisnicima, predstavnicima udruga koje se bave zaštitom okoliša i predstavnicima medija, a nastavljeno je i s održavanjem regionalnih edukacija (Umag, Vinkovci i Makarska) te promotivnih događanja (Zagreb). </w:t>
      </w:r>
    </w:p>
    <w:p w14:paraId="14C2A887" w14:textId="36586DCB" w:rsidR="00385DDD" w:rsidRPr="005F5F69" w:rsidRDefault="00385DDD" w:rsidP="00385DDD">
      <w:pPr>
        <w:rPr>
          <w:rFonts w:cs="Arial"/>
        </w:rPr>
      </w:pPr>
      <w:r w:rsidRPr="005F5F69">
        <w:rPr>
          <w:rFonts w:cs="Arial"/>
        </w:rPr>
        <w:t xml:space="preserve">Povjerenik je 2025. sudjelovao na 6. sastanku Inicijative </w:t>
      </w:r>
      <w:r w:rsidR="00FD5B28">
        <w:rPr>
          <w:rFonts w:cs="Arial"/>
        </w:rPr>
        <w:t xml:space="preserve">2020 </w:t>
      </w:r>
      <w:r w:rsidRPr="005F5F69">
        <w:rPr>
          <w:rFonts w:cs="Arial"/>
        </w:rPr>
        <w:t xml:space="preserve">u Prizrenu, Kosovo, u organizaciji kosovske Agencije za informacije i privatnost, kojim je nastavljena suradnja i razmjena iskustava između institucija zaduženih za slobodan pristup informacijama Crne Gore, Republike Kosovo, Republike Sjeverne Makedonije, Republike Slovenije, Republike Srbije i Republike Hrvatske. </w:t>
      </w:r>
    </w:p>
    <w:p w14:paraId="5576B375" w14:textId="04BF32BB" w:rsidR="0071242A" w:rsidRPr="00F0315E" w:rsidRDefault="009D04FD" w:rsidP="009D04FD">
      <w:pPr>
        <w:spacing w:after="0" w:line="240" w:lineRule="auto"/>
        <w:jc w:val="left"/>
        <w:rPr>
          <w:rFonts w:cs="Arial"/>
        </w:rPr>
      </w:pPr>
      <w:r>
        <w:rPr>
          <w:rFonts w:cs="Arial"/>
        </w:rPr>
        <w:br w:type="page"/>
      </w:r>
    </w:p>
    <w:p w14:paraId="1D2B75E7" w14:textId="53F75C4E" w:rsidR="005F2A1E" w:rsidRPr="00F0315E" w:rsidRDefault="005F2A1E" w:rsidP="007B4CE1">
      <w:pPr>
        <w:pStyle w:val="Naslov1"/>
      </w:pPr>
      <w:bookmarkStart w:id="259" w:name="_Toc225865654"/>
      <w:r>
        <w:lastRenderedPageBreak/>
        <w:t>Pr</w:t>
      </w:r>
      <w:r w:rsidR="00B91AE3">
        <w:t>eporuke i pr</w:t>
      </w:r>
      <w:r>
        <w:t>ijedlozi za otklanjanje nedostataka i nepravilnosti</w:t>
      </w:r>
      <w:bookmarkEnd w:id="259"/>
      <w:r>
        <w:t xml:space="preserve"> </w:t>
      </w:r>
    </w:p>
    <w:p w14:paraId="236C3C3D" w14:textId="77777777" w:rsidR="00385DDD" w:rsidRPr="005F5F69" w:rsidRDefault="00385DDD" w:rsidP="00385DDD">
      <w:pPr>
        <w:rPr>
          <w:rFonts w:cs="Arial"/>
          <w:color w:val="000000"/>
        </w:rPr>
      </w:pPr>
      <w:r w:rsidRPr="005F5F69">
        <w:rPr>
          <w:rFonts w:cs="Arial"/>
          <w:color w:val="000000"/>
        </w:rPr>
        <w:t>Prijedlozi, utemeljeni na ocjeni stanja, imaju tri cilja: osigurati pravilnu primjenu ZPPI-ja, omogućiti korisnicima učinkovitiji pristup informacijama te olakšati rad tijelima javne vlasti u području rješavanja zahtjeva za pristup informacijama. Prijedlozi i preporuke tijelima javne vlasti za 2026. daju se na temelju ocjene stanja prava na pristup i ponovnu uporabu informacija u 2025.</w:t>
      </w:r>
    </w:p>
    <w:p w14:paraId="0A4FB433" w14:textId="77777777" w:rsidR="00385DDD" w:rsidRPr="005F5F69" w:rsidRDefault="00385DDD" w:rsidP="005F0EC0">
      <w:pPr>
        <w:numPr>
          <w:ilvl w:val="0"/>
          <w:numId w:val="9"/>
        </w:numPr>
        <w:spacing w:after="160" w:line="259" w:lineRule="auto"/>
        <w:jc w:val="left"/>
        <w:rPr>
          <w:rFonts w:cs="Arial"/>
          <w:u w:val="single"/>
        </w:rPr>
      </w:pPr>
      <w:r w:rsidRPr="005F5F69">
        <w:rPr>
          <w:rFonts w:cs="Arial"/>
          <w:u w:val="single"/>
        </w:rPr>
        <w:t>Pravilno vođenje službenog upisnika o zaprimljenim zahtjevima</w:t>
      </w:r>
    </w:p>
    <w:p w14:paraId="2EC0B94F" w14:textId="77777777" w:rsidR="00385DDD" w:rsidRPr="005F5F69" w:rsidRDefault="00385DDD" w:rsidP="00385DDD">
      <w:pPr>
        <w:rPr>
          <w:rFonts w:cs="Arial"/>
          <w:color w:val="000000"/>
        </w:rPr>
      </w:pPr>
      <w:r w:rsidRPr="005F5F69">
        <w:rPr>
          <w:rFonts w:cs="Arial"/>
          <w:color w:val="000000"/>
        </w:rPr>
        <w:t>Upućuju se tijela javne vlasti na pravilno vođenje službenog upisnika.</w:t>
      </w:r>
    </w:p>
    <w:p w14:paraId="3291C8B1" w14:textId="77777777" w:rsidR="00385DDD" w:rsidRPr="005F5F69" w:rsidRDefault="00385DDD" w:rsidP="00385DDD">
      <w:pPr>
        <w:rPr>
          <w:rFonts w:cs="Arial"/>
          <w:color w:val="000000"/>
        </w:rPr>
      </w:pPr>
      <w:r w:rsidRPr="005F5F69">
        <w:rPr>
          <w:rFonts w:cs="Arial"/>
          <w:color w:val="000000"/>
        </w:rPr>
        <w:t>Provedeni nadzori, rad po predstavkama i edukacije pokazuju da tijela javne vlasti ne ispunjavaju zakonsku obvezu vođenja službenog upisnika o zaprimljenim zahtjevima na zadovoljavajući način jer ili ga vode na nepravilan način, ili ga ni ne vode, a što utječe na cjelovitost podataka o primjeni ZPPI-ja.</w:t>
      </w:r>
    </w:p>
    <w:p w14:paraId="1DCD0299" w14:textId="7F9D0CFE" w:rsidR="00385DDD" w:rsidRPr="005F5F69" w:rsidRDefault="00385DDD" w:rsidP="005F0EC0">
      <w:pPr>
        <w:numPr>
          <w:ilvl w:val="0"/>
          <w:numId w:val="9"/>
        </w:numPr>
        <w:spacing w:after="160" w:line="259" w:lineRule="auto"/>
        <w:jc w:val="left"/>
        <w:rPr>
          <w:rFonts w:cs="Arial"/>
          <w:u w:val="single"/>
        </w:rPr>
      </w:pPr>
      <w:r w:rsidRPr="005F5F69">
        <w:rPr>
          <w:rFonts w:cs="Arial"/>
          <w:u w:val="single"/>
        </w:rPr>
        <w:t xml:space="preserve">Kontinuirano primjenjivanje prakse Povjerenika i Visokog upravnog suda </w:t>
      </w:r>
      <w:r w:rsidR="009A666D">
        <w:rPr>
          <w:rFonts w:cs="Arial"/>
          <w:u w:val="single"/>
        </w:rPr>
        <w:t xml:space="preserve">RH </w:t>
      </w:r>
      <w:r w:rsidRPr="005F5F69">
        <w:rPr>
          <w:rFonts w:cs="Arial"/>
          <w:u w:val="single"/>
        </w:rPr>
        <w:t>radi smanjivanja broja žalbi i tužbi i brže dostupnosti informacija koje su javnog karaktera</w:t>
      </w:r>
    </w:p>
    <w:p w14:paraId="5CE96852" w14:textId="279868B1" w:rsidR="00385DDD" w:rsidRPr="005F5F69" w:rsidRDefault="00385DDD" w:rsidP="00385DDD">
      <w:pPr>
        <w:rPr>
          <w:rFonts w:cs="Arial"/>
          <w:color w:val="000000"/>
        </w:rPr>
      </w:pPr>
      <w:r w:rsidRPr="005F5F69">
        <w:rPr>
          <w:rFonts w:cs="Arial"/>
          <w:color w:val="000000"/>
        </w:rPr>
        <w:t xml:space="preserve">Upućuju se tijela prilikom rješavanja zahtjeva za pristup i ponovnu uporabu informacija rukovoditi se praksom Povjerenika i Visokog upravnog suda </w:t>
      </w:r>
      <w:r w:rsidR="009A666D">
        <w:rPr>
          <w:rFonts w:cs="Arial"/>
          <w:color w:val="000000"/>
        </w:rPr>
        <w:t>RH</w:t>
      </w:r>
      <w:r w:rsidRPr="005F5F69">
        <w:rPr>
          <w:rFonts w:cs="Arial"/>
          <w:color w:val="000000"/>
        </w:rPr>
        <w:t>i na taj način osigurati učinkovito postupanje po zahtjevima. Trend visokog postotka potvrđenih rješenja Povjerenika od strane Visokog upravnog suda nastavljen je kao i u prethodnim izvještajnim razdobljima što ukazuje na stabilnu, ustaljenu i dosljednu praksu.</w:t>
      </w:r>
    </w:p>
    <w:p w14:paraId="0153E93C" w14:textId="77777777" w:rsidR="00385DDD" w:rsidRPr="005F5F69" w:rsidRDefault="00385DDD" w:rsidP="005F0EC0">
      <w:pPr>
        <w:numPr>
          <w:ilvl w:val="0"/>
          <w:numId w:val="8"/>
        </w:numPr>
        <w:spacing w:after="160" w:line="259" w:lineRule="auto"/>
        <w:jc w:val="left"/>
        <w:rPr>
          <w:u w:val="single"/>
        </w:rPr>
      </w:pPr>
      <w:r w:rsidRPr="005F5F69">
        <w:rPr>
          <w:u w:val="single"/>
        </w:rPr>
        <w:t>Pravilna primjena odredbi oko postupanja sa zahtjevima za pristup i ponovnu uporabu informacija</w:t>
      </w:r>
    </w:p>
    <w:p w14:paraId="0B27554D" w14:textId="77777777" w:rsidR="00385DDD" w:rsidRPr="005F5F69" w:rsidRDefault="00385DDD" w:rsidP="00385DDD">
      <w:pPr>
        <w:rPr>
          <w:rFonts w:cs="Arial"/>
          <w:color w:val="000000"/>
        </w:rPr>
      </w:pPr>
      <w:r w:rsidRPr="005F5F69">
        <w:rPr>
          <w:rFonts w:cs="Arial"/>
          <w:color w:val="000000"/>
        </w:rPr>
        <w:t>Upućuju se tijela javne vlasti da na internetskim stranicama usklade obavijesti o načinu i uvjetima ostvarivanja prava na pristup informacijama te da sa internetskih stranica uklone Katalog informacija i druge akte koje ZPPI ne propisuje (pravilnici o postupanju sa zahtjevima za pristup informacijama, odluke o iznosima za naplatu troškova za pristup informacijama i dr.). Tijela javne vlasti u određenom broju slučajeva inzistiraju na formalnostima koje nisu propisane ZPPI-jem, npr. na obvezu ispunjavanja pomoćnog obrasca zahtjeva za pristup informacijama, ignoriranje zahtjeva poslanog elektroničkom poštom, upućivanje na potpisivanje zahtjeva, a donose i akte za koje nisu zakonom ovlaštena.</w:t>
      </w:r>
    </w:p>
    <w:p w14:paraId="7F002EC8" w14:textId="77777777" w:rsidR="00385DDD" w:rsidRPr="005F5F69" w:rsidRDefault="00385DDD" w:rsidP="005F0EC0">
      <w:pPr>
        <w:numPr>
          <w:ilvl w:val="0"/>
          <w:numId w:val="8"/>
        </w:numPr>
        <w:spacing w:after="160" w:line="259" w:lineRule="auto"/>
        <w:jc w:val="left"/>
        <w:rPr>
          <w:u w:val="single"/>
        </w:rPr>
      </w:pPr>
      <w:r w:rsidRPr="005F5F69">
        <w:rPr>
          <w:u w:val="single"/>
        </w:rPr>
        <w:t>Pravilno postupanje prilikom izdavanja obavijesti iz članka 23. stavka 1. točke 2.-6. ZPPI-ja</w:t>
      </w:r>
    </w:p>
    <w:p w14:paraId="450FA2C2" w14:textId="77777777" w:rsidR="00385DDD" w:rsidRDefault="00385DDD" w:rsidP="00385DDD">
      <w:pPr>
        <w:rPr>
          <w:rFonts w:cs="Arial"/>
          <w:color w:val="000000"/>
        </w:rPr>
      </w:pPr>
      <w:r w:rsidRPr="005F5F69">
        <w:rPr>
          <w:rFonts w:cs="Arial"/>
          <w:color w:val="000000"/>
        </w:rPr>
        <w:t xml:space="preserve">Upućuju se tijela javne vlasti na navođenje upute o pravnom lijeku prilikom izdavanja obavijesti iz članka  23. stavka 1. točke 2.-6. ZPPI-ja i to na način da se prigovor izjavljuje čelniku tijela. Povjerenik u svom radu zaprima određeni broj prigovora na obavijesti koje su tijela javne vlasti donijela temeljem članka 23. stavka 1. točke 2.-6. ZPPI-ja jer tijela javne vlasti u obavijestima nisu uputila korisnike kome se podnosi prigovor na izdanu obavijest. </w:t>
      </w:r>
    </w:p>
    <w:p w14:paraId="093CD5A3" w14:textId="77777777" w:rsidR="0052400E" w:rsidRDefault="0052400E" w:rsidP="00385DDD">
      <w:pPr>
        <w:rPr>
          <w:rFonts w:cs="Arial"/>
          <w:color w:val="000000"/>
        </w:rPr>
      </w:pPr>
    </w:p>
    <w:p w14:paraId="0E937E8C" w14:textId="77777777" w:rsidR="0052400E" w:rsidRPr="005F5F69" w:rsidRDefault="0052400E" w:rsidP="00385DDD">
      <w:pPr>
        <w:rPr>
          <w:rFonts w:cs="Arial"/>
          <w:color w:val="000000"/>
        </w:rPr>
      </w:pPr>
    </w:p>
    <w:p w14:paraId="03E3C485" w14:textId="77777777" w:rsidR="00385DDD" w:rsidRPr="005F5F69" w:rsidRDefault="00385DDD" w:rsidP="005F0EC0">
      <w:pPr>
        <w:numPr>
          <w:ilvl w:val="0"/>
          <w:numId w:val="8"/>
        </w:numPr>
        <w:spacing w:after="160" w:line="259" w:lineRule="auto"/>
        <w:jc w:val="left"/>
        <w:rPr>
          <w:u w:val="single"/>
        </w:rPr>
      </w:pPr>
      <w:r w:rsidRPr="005F5F69">
        <w:rPr>
          <w:u w:val="single"/>
        </w:rPr>
        <w:lastRenderedPageBreak/>
        <w:t>Pravilno postupanje po izjavljenom prigovoru</w:t>
      </w:r>
    </w:p>
    <w:p w14:paraId="53F6E633" w14:textId="77777777" w:rsidR="00385DDD" w:rsidRPr="005F5F69" w:rsidRDefault="00385DDD" w:rsidP="00385DDD">
      <w:pPr>
        <w:rPr>
          <w:rFonts w:cs="Arial"/>
          <w:color w:val="000000"/>
        </w:rPr>
      </w:pPr>
      <w:r w:rsidRPr="005F5F69">
        <w:rPr>
          <w:rFonts w:cs="Arial"/>
          <w:color w:val="000000"/>
        </w:rPr>
        <w:t xml:space="preserve">Upućuju se tijela javne vlati na dosljednu primjenu odredbe članka 122. ZUP-a prilikom rješavanja o prigovoru kako ne bi dolazilo do poništavanja rješenja, a samim time i produžavanjem postupka. </w:t>
      </w:r>
    </w:p>
    <w:p w14:paraId="41EA2219" w14:textId="77777777" w:rsidR="00385DDD" w:rsidRPr="005F5F69" w:rsidRDefault="00385DDD" w:rsidP="005F0EC0">
      <w:pPr>
        <w:numPr>
          <w:ilvl w:val="0"/>
          <w:numId w:val="8"/>
        </w:numPr>
        <w:spacing w:after="160" w:line="259" w:lineRule="auto"/>
        <w:jc w:val="left"/>
        <w:rPr>
          <w:u w:val="single"/>
        </w:rPr>
      </w:pPr>
      <w:r w:rsidRPr="005F5F69">
        <w:rPr>
          <w:u w:val="single"/>
        </w:rPr>
        <w:t xml:space="preserve">Pravilna primjena odredbi ZUP-a o postupanju sa spisom predmeta tijela javne vlasti u slučaju izjavljivanje žalbe </w:t>
      </w:r>
    </w:p>
    <w:p w14:paraId="4E2ADE51" w14:textId="77777777" w:rsidR="00385DDD" w:rsidRPr="005F5F69" w:rsidRDefault="00385DDD" w:rsidP="00385DDD">
      <w:pPr>
        <w:rPr>
          <w:rFonts w:cs="Arial"/>
          <w:color w:val="000000"/>
        </w:rPr>
      </w:pPr>
      <w:r w:rsidRPr="005F5F69">
        <w:rPr>
          <w:rFonts w:cs="Arial"/>
          <w:color w:val="000000"/>
        </w:rPr>
        <w:t>Upućuju se tijela javne vlasti na dosljednu primjenu odredaba ZUP-a kojima je je propisan postupak i ovlasti prvostupanjskog tijela u povodu žalbe, a također i obveza dostave drugostupanjskog rješenja putem prvostupanjskog tijela. Nepostupanje po odredbama ZUP-a, u slučaju kada je žalba izjavljena putem tijela javne vlasti (prvostupanjskog tijela), često rezultira pokretanjem upravnih sporova od strane korisnika istekom zakonskog roka za donošenje drugostupanjskog rješenja, a da Povjerenik uopće nije upoznat s izjavljenom žalbom. Također, nužno je da tijela javne vlasti drugostupanjska rješenja Povjerenika bez odgađanja dostavljaju žalitelju, kako se ne bi događalo da korisnik pokrene upravni spor jer nema saznanje da je Povjerenik donio rješenje. Isto tako, nužno je da tijela javne vlasti postupaju po pravomoćnim rješenjima Povjerenika i u slučaju kada je pristup informacijama omogućen, tako da postupaju u rokovima i na način kako je određeno rješenjem Povjerenika.</w:t>
      </w:r>
    </w:p>
    <w:p w14:paraId="5D9F9CF8" w14:textId="77777777" w:rsidR="00385DDD" w:rsidRPr="005F5F69" w:rsidRDefault="00385DDD" w:rsidP="005F0EC0">
      <w:pPr>
        <w:numPr>
          <w:ilvl w:val="0"/>
          <w:numId w:val="8"/>
        </w:numPr>
        <w:spacing w:after="160" w:line="259" w:lineRule="auto"/>
        <w:jc w:val="left"/>
        <w:rPr>
          <w:u w:val="single"/>
        </w:rPr>
      </w:pPr>
      <w:r w:rsidRPr="005F5F69">
        <w:rPr>
          <w:u w:val="single"/>
        </w:rPr>
        <w:t>Osiguravanje stručnog osposobljavanja službenika za informiranje i drugih osoba uključenih u postupak ostvarivanja prava na pristup informacijama</w:t>
      </w:r>
    </w:p>
    <w:p w14:paraId="4F55C43D" w14:textId="77777777" w:rsidR="00385DDD" w:rsidRDefault="00385DDD" w:rsidP="00385DDD">
      <w:pPr>
        <w:rPr>
          <w:rFonts w:cs="Arial"/>
          <w:color w:val="000000"/>
        </w:rPr>
      </w:pPr>
      <w:r w:rsidRPr="005F5F69">
        <w:rPr>
          <w:rFonts w:cs="Arial"/>
          <w:color w:val="000000"/>
        </w:rPr>
        <w:t>Preporuča se čelnicima i rukovodećim službenicima tijela javne vlasti, naročito onih koja imaju  veliki broj poništenih rješenja, da službenike za informiranje i druge osobe uključene u postupak ostvarivanja prava na pristup informacijama upućuju na edukacije o primjeni ZPPI-ja, kao i druge edukacije o primjeni propisa povezanih sa ZPPI-jem, prvenstveno vezano uz primjenu ZUP-a kao općeg postupovnog propisa koji se primjenjuje u postupcima ostvarivanja prava na pristup informacijama.</w:t>
      </w:r>
    </w:p>
    <w:p w14:paraId="45E4B695" w14:textId="76D0F0AB" w:rsidR="00FD5B28" w:rsidRPr="00A01248" w:rsidRDefault="00FD5B28" w:rsidP="00FD5B28">
      <w:pPr>
        <w:numPr>
          <w:ilvl w:val="0"/>
          <w:numId w:val="8"/>
        </w:numPr>
        <w:contextualSpacing/>
        <w:rPr>
          <w:u w:val="single"/>
        </w:rPr>
      </w:pPr>
      <w:r w:rsidRPr="00A01248">
        <w:rPr>
          <w:u w:val="single"/>
        </w:rPr>
        <w:t xml:space="preserve">Objavljivanje planova savjetovanja s javnošću </w:t>
      </w:r>
      <w:r w:rsidR="00B13AC8" w:rsidRPr="00A01248">
        <w:rPr>
          <w:u w:val="single"/>
        </w:rPr>
        <w:t xml:space="preserve"> i redovito ažuriranje</w:t>
      </w:r>
      <w:r w:rsidR="00081660" w:rsidRPr="00A01248">
        <w:rPr>
          <w:u w:val="single"/>
        </w:rPr>
        <w:t xml:space="preserve"> planova</w:t>
      </w:r>
      <w:r w:rsidR="00B13AC8" w:rsidRPr="00A01248">
        <w:rPr>
          <w:u w:val="single"/>
        </w:rPr>
        <w:t xml:space="preserve"> </w:t>
      </w:r>
    </w:p>
    <w:p w14:paraId="7DA5D517" w14:textId="1D2BEB6D" w:rsidR="00916D78" w:rsidRPr="00A01248" w:rsidRDefault="00FD5B28" w:rsidP="00FD5B28">
      <w:pPr>
        <w:rPr>
          <w:rFonts w:cs="Arial"/>
        </w:rPr>
      </w:pPr>
      <w:r w:rsidRPr="00A01248">
        <w:rPr>
          <w:rFonts w:cs="Arial"/>
        </w:rPr>
        <w:t xml:space="preserve">Upućuju se tijela javne vlasti na obvezu objave </w:t>
      </w:r>
      <w:r w:rsidR="00916D78" w:rsidRPr="00A01248">
        <w:rPr>
          <w:rFonts w:cs="Arial"/>
        </w:rPr>
        <w:t>planova savjetovanja s javnošću</w:t>
      </w:r>
      <w:r w:rsidR="00081660" w:rsidRPr="00A01248">
        <w:rPr>
          <w:rFonts w:cs="Arial"/>
        </w:rPr>
        <w:t>, ali i redovito ažuriranje plan</w:t>
      </w:r>
      <w:r w:rsidR="00014698" w:rsidRPr="00A01248">
        <w:rPr>
          <w:rFonts w:cs="Arial"/>
        </w:rPr>
        <w:t>ova</w:t>
      </w:r>
      <w:r w:rsidR="00081660" w:rsidRPr="00A01248">
        <w:rPr>
          <w:rFonts w:cs="Arial"/>
        </w:rPr>
        <w:t xml:space="preserve"> savjetovanja s javnošću</w:t>
      </w:r>
      <w:r w:rsidRPr="00A01248">
        <w:rPr>
          <w:rFonts w:cs="Arial"/>
        </w:rPr>
        <w:t>.</w:t>
      </w:r>
      <w:r w:rsidR="00081660" w:rsidRPr="00A01248">
        <w:rPr>
          <w:rFonts w:cs="Arial"/>
        </w:rPr>
        <w:t xml:space="preserve"> </w:t>
      </w:r>
      <w:r w:rsidR="00B13AC8" w:rsidRPr="00A01248">
        <w:rPr>
          <w:rFonts w:cs="Arial"/>
        </w:rPr>
        <w:t>Tijela javne vlasti dužna su do kraja kalendarske godine za sljedeću godinu donijeti i objaviti na svojoj internetskoj stranici plan savjetovanja s javnošću koji treba sadržavati naziv nacrta akta za koji se provodi savjetovanje, očekivano vrijeme njegova donošenja ili usvajanja, okvirno vrijeme provođenja internetskog savjetovanja te druge predviđene oblike provedbe savjetovanja</w:t>
      </w:r>
      <w:r w:rsidR="00916D78" w:rsidRPr="00A01248">
        <w:rPr>
          <w:rFonts w:cs="Arial"/>
        </w:rPr>
        <w:t>.</w:t>
      </w:r>
      <w:r w:rsidR="002B1B35" w:rsidRPr="00A01248">
        <w:t xml:space="preserve"> </w:t>
      </w:r>
      <w:r w:rsidR="002B1B35" w:rsidRPr="00A01248">
        <w:rPr>
          <w:rFonts w:cs="Arial"/>
        </w:rPr>
        <w:t>O izmjenama plana savjetovanja tijelo javne vlasti dužno je istim putem izvijestiti javnost.</w:t>
      </w:r>
    </w:p>
    <w:p w14:paraId="28563273" w14:textId="77777777" w:rsidR="00385DDD" w:rsidRPr="005F5F69" w:rsidRDefault="00385DDD" w:rsidP="005F0EC0">
      <w:pPr>
        <w:numPr>
          <w:ilvl w:val="0"/>
          <w:numId w:val="8"/>
        </w:numPr>
        <w:contextualSpacing/>
        <w:rPr>
          <w:u w:val="single"/>
        </w:rPr>
      </w:pPr>
      <w:r w:rsidRPr="005F5F69">
        <w:rPr>
          <w:u w:val="single"/>
        </w:rPr>
        <w:t xml:space="preserve">Objavljivanje sastava radnih skupina koje su izradile nacrte akata koji se stavljaju na savjetovanje ili obavijesti da radna skupina nije bila osnovana </w:t>
      </w:r>
    </w:p>
    <w:p w14:paraId="0DDA3AE6" w14:textId="77777777" w:rsidR="00385DDD" w:rsidRPr="005F5F69" w:rsidRDefault="00385DDD" w:rsidP="00385DDD">
      <w:pPr>
        <w:rPr>
          <w:rFonts w:cs="Arial"/>
          <w:color w:val="000000"/>
        </w:rPr>
      </w:pPr>
      <w:r w:rsidRPr="005F5F69">
        <w:rPr>
          <w:rFonts w:cs="Arial"/>
          <w:color w:val="000000"/>
        </w:rPr>
        <w:t xml:space="preserve">Upućuju se tijela javne vlasti na obvezu objave sastava radnih skupina koje su izradile nacrte akata koji se stavljaju na savjetovanje, ako je odlukom čelnika tijela radna skupina bila osnovana. Trećina tijela javne vlasti je objavljivalo sastave radnih skupina koje su izradile nacrte akata koji se stavljaju na savjetovanje, iz čega proizlazi da dvije trećine tijela nije objavljivalo sastav radnih skupina. Iz navedenih podatka nije razvidno jesu li radne skupine bile </w:t>
      </w:r>
      <w:r w:rsidRPr="005F5F69">
        <w:rPr>
          <w:rFonts w:cs="Arial"/>
          <w:color w:val="000000"/>
        </w:rPr>
        <w:lastRenderedPageBreak/>
        <w:t>osnovane ili nisu te je potrebno objavljivati ili sastav radne skupine ili obavijest da radna skupina nije bila osnovana.</w:t>
      </w:r>
    </w:p>
    <w:p w14:paraId="08124A39" w14:textId="77777777" w:rsidR="00385DDD" w:rsidRPr="005F5F69" w:rsidRDefault="00385DDD" w:rsidP="005F0EC0">
      <w:pPr>
        <w:numPr>
          <w:ilvl w:val="0"/>
          <w:numId w:val="8"/>
        </w:numPr>
        <w:spacing w:after="160" w:line="259" w:lineRule="auto"/>
        <w:jc w:val="left"/>
        <w:rPr>
          <w:u w:val="single"/>
        </w:rPr>
      </w:pPr>
      <w:r w:rsidRPr="005F5F69">
        <w:rPr>
          <w:u w:val="single"/>
        </w:rPr>
        <w:t>Objavljivanje izvješća o provedenom savjetovanju</w:t>
      </w:r>
    </w:p>
    <w:p w14:paraId="40B616D1" w14:textId="77777777" w:rsidR="00385DDD" w:rsidRPr="005F5F69" w:rsidRDefault="00385DDD" w:rsidP="00385DDD">
      <w:pPr>
        <w:rPr>
          <w:rFonts w:cs="Arial"/>
          <w:color w:val="000000"/>
        </w:rPr>
      </w:pPr>
      <w:r w:rsidRPr="005F5F69">
        <w:rPr>
          <w:rFonts w:cs="Arial"/>
          <w:color w:val="000000"/>
        </w:rPr>
        <w:t xml:space="preserve">Upućuju se tijela na obvezu objavljivanja izvješća o provedenom savjetovanju. U 2025. je došlo do povećanja u ispunjavanju obveze objave izvješća o provedenim savjetovanjima, ali još uvijek nedovoljno. S obzirom da objava izvješća predstavlja jedan od ključnih koraka u provedbi savjetovanja s javnošću, nužno je po završetku savjetovanja objaviti izvješće. </w:t>
      </w:r>
    </w:p>
    <w:p w14:paraId="24962CEA" w14:textId="77777777" w:rsidR="00385DDD" w:rsidRPr="005F5F69" w:rsidRDefault="00385DDD" w:rsidP="005F0EC0">
      <w:pPr>
        <w:numPr>
          <w:ilvl w:val="0"/>
          <w:numId w:val="8"/>
        </w:numPr>
        <w:spacing w:after="160" w:line="259" w:lineRule="auto"/>
        <w:jc w:val="left"/>
        <w:rPr>
          <w:u w:val="single"/>
        </w:rPr>
      </w:pPr>
      <w:r w:rsidRPr="005F5F69">
        <w:rPr>
          <w:u w:val="single"/>
        </w:rPr>
        <w:t xml:space="preserve">Objavljivanje i redovno ažuriranje popisa skupova podataka iz djelokruga tijela (tzv. </w:t>
      </w:r>
      <w:r w:rsidRPr="005F5F69">
        <w:rPr>
          <w:i/>
          <w:iCs/>
          <w:u w:val="single"/>
        </w:rPr>
        <w:t>asset</w:t>
      </w:r>
      <w:r w:rsidRPr="005F5F69">
        <w:rPr>
          <w:u w:val="single"/>
        </w:rPr>
        <w:t xml:space="preserve"> lista), s metapodacima</w:t>
      </w:r>
    </w:p>
    <w:p w14:paraId="3045D072" w14:textId="77777777" w:rsidR="00385DDD" w:rsidRPr="005F5F69" w:rsidRDefault="00385DDD" w:rsidP="00385DDD">
      <w:pPr>
        <w:rPr>
          <w:rFonts w:cs="Arial"/>
          <w:color w:val="000000"/>
        </w:rPr>
      </w:pPr>
      <w:r w:rsidRPr="005F5F69">
        <w:rPr>
          <w:rFonts w:cs="Arial"/>
          <w:color w:val="000000"/>
        </w:rPr>
        <w:t xml:space="preserve">Upućuju se tijela javne vlasti da su dužna na svojim mrežnim stranicama objavljivati i redovno ažurirati u strojno čitljivom obliku, s ciljem informiranja korisnika, </w:t>
      </w:r>
      <w:r w:rsidRPr="00C81784">
        <w:rPr>
          <w:rFonts w:cs="Arial"/>
          <w:color w:val="000000"/>
        </w:rPr>
        <w:t>popise</w:t>
      </w:r>
      <w:r w:rsidRPr="005F5F69">
        <w:rPr>
          <w:rFonts w:cs="Arial"/>
          <w:color w:val="000000"/>
        </w:rPr>
        <w:t xml:space="preserve"> svih registara, baza podataka, upisnika, evidencija, očevidnika, imenika, popisa te drugih skupova podataka prikupljenih u obavljanju poslova iz njihova djelokruga (tzv. asset lista), s metapodacima, koji uključuju naziv skupa podataka, kratak opis skupa podataka (ključne riječi), zakonsku osnovu za vođenje skupa podataka (naziv propisa), odnosno drugu osnovu (ako postoji), učestalost ažuriranja (svakodnevno, mjesečno, kvartalno, godišnje), način pristupa (slobodan, ograničen, nedostupan), poveznicu za preuzimanje (ako je skup objavljen), uvjete ponovne uporabe (Otvorena dozvola RH ili druga dozvola), format objave skupa podataka, ključne riječi skupa podataka i kontakt osobe (ustrojstvene jedinice) zadužene za vođenje skupa podataka). U asset listu unose se i podaci o onim skupovima podataka kojima je pristup ograničen ili u potpunosti nedostupan zbog zakonskih ograničenja iz članka 15. stavka 2. ZPPI. </w:t>
      </w:r>
    </w:p>
    <w:p w14:paraId="015A6B2D" w14:textId="77777777" w:rsidR="00385DDD" w:rsidRPr="005F5F69" w:rsidRDefault="00385DDD" w:rsidP="005F0EC0">
      <w:pPr>
        <w:numPr>
          <w:ilvl w:val="0"/>
          <w:numId w:val="8"/>
        </w:numPr>
        <w:spacing w:after="160" w:line="259" w:lineRule="auto"/>
        <w:jc w:val="left"/>
        <w:rPr>
          <w:u w:val="single"/>
        </w:rPr>
      </w:pPr>
      <w:r w:rsidRPr="005F5F69">
        <w:rPr>
          <w:u w:val="single"/>
        </w:rPr>
        <w:t>Objavljivanje registara i baza podataka te skupova podataka za ponovnu uporabu iz nadležnosti tijela na Portalu otvorenih podataka</w:t>
      </w:r>
    </w:p>
    <w:p w14:paraId="04CE54F3" w14:textId="77777777" w:rsidR="00385DDD" w:rsidRPr="005F5F69" w:rsidRDefault="00385DDD" w:rsidP="00385DDD">
      <w:pPr>
        <w:rPr>
          <w:rFonts w:cs="Arial"/>
          <w:color w:val="000000"/>
        </w:rPr>
      </w:pPr>
      <w:r w:rsidRPr="005F5F69">
        <w:rPr>
          <w:rFonts w:cs="Arial"/>
          <w:color w:val="000000"/>
        </w:rPr>
        <w:t xml:space="preserve">Upućuju se tijela javne vlasti na potrebu ulaganja dodatnog napora u ispunjenju zakonske obveze iz članka 28. stavka 1. ZPPI-ja, kako bi identificirala, a potom i objavila na Portalu otvorenih podataka u strojno čitljivom i otvorenom obliku sve registre i baze podataka te skupove podataka za ponovnu uporabu koji su izrađeni u okviru obavljanja poslova iz njihovog djelokruga, za čije objavljivanje ne postoje zakonska ograničenja iz članka 15. stavka 2. Zakona te za koje ne postoji obveza proaktivne objave utvrđena temeljem neke druge točke članka 10. stavka 1. Zakona. </w:t>
      </w:r>
    </w:p>
    <w:p w14:paraId="7A9D9936" w14:textId="77777777" w:rsidR="00385DDD" w:rsidRPr="005F5F69" w:rsidRDefault="00385DDD" w:rsidP="005F0EC0">
      <w:pPr>
        <w:numPr>
          <w:ilvl w:val="0"/>
          <w:numId w:val="8"/>
        </w:numPr>
        <w:spacing w:after="160" w:line="259" w:lineRule="auto"/>
        <w:jc w:val="left"/>
        <w:rPr>
          <w:u w:val="single"/>
        </w:rPr>
      </w:pPr>
      <w:r w:rsidRPr="005F5F69">
        <w:rPr>
          <w:u w:val="single"/>
        </w:rPr>
        <w:t>Objavljivanje visokovrijednih skupova podataka, u strojno čitljivom obliku, putem odgovarajućih API servisa i u obliku masovnog preuzimanja</w:t>
      </w:r>
    </w:p>
    <w:p w14:paraId="0B0B9509" w14:textId="77777777" w:rsidR="00385DDD" w:rsidRDefault="00385DDD" w:rsidP="00385DDD">
      <w:r w:rsidRPr="005F5F69">
        <w:t>Upućuju se tijela javne vlasti koja posjeduju visokovrijedne podatke (geoprostorni podaci, promatranje Zemlje i okoliš, meteorološki podaci, statistički podaci, trgovačka društva i vlasništvo nad trgovačkim društvima, mobilnost) na izvršavanje zakonske obveze iz članka 28. stavka 4. ZPPI-ja. Navedene podatke potrebno je identificirati, uvrstiti u tzv. asset liste i  objaviti na svojim mrežnim stranicama na zakonski određen način, kao i objaviti njihove poveznice na Portalu otvorenih podataka.</w:t>
      </w:r>
    </w:p>
    <w:p w14:paraId="4DA1DD0D" w14:textId="77777777" w:rsidR="0052400E" w:rsidRDefault="0052400E" w:rsidP="00385DDD"/>
    <w:p w14:paraId="7B7CAACA" w14:textId="77777777" w:rsidR="0052400E" w:rsidRPr="005F5F69" w:rsidRDefault="0052400E" w:rsidP="00385DDD"/>
    <w:p w14:paraId="56611F0F" w14:textId="77777777" w:rsidR="00385DDD" w:rsidRPr="005F5F69" w:rsidRDefault="00385DDD" w:rsidP="005F0EC0">
      <w:pPr>
        <w:numPr>
          <w:ilvl w:val="0"/>
          <w:numId w:val="8"/>
        </w:numPr>
        <w:spacing w:after="160" w:line="259" w:lineRule="auto"/>
        <w:jc w:val="left"/>
        <w:rPr>
          <w:u w:val="single"/>
        </w:rPr>
      </w:pPr>
      <w:r w:rsidRPr="005F5F69">
        <w:rPr>
          <w:u w:val="single"/>
        </w:rPr>
        <w:lastRenderedPageBreak/>
        <w:t>Izmjena normativnog okvira za ostvarivanje pristupa informacijama</w:t>
      </w:r>
    </w:p>
    <w:p w14:paraId="66F16368" w14:textId="27A1EB14" w:rsidR="00385DDD" w:rsidRPr="005F5F69" w:rsidRDefault="00385DDD" w:rsidP="00385DDD">
      <w:r w:rsidRPr="005F5F69">
        <w:t xml:space="preserve">Višegodišnja praksa u primjeni ZPPI-ja ukazala je na određene slabosti postojećeg normativnog okvira koje zahtijevaju jasnije i preciznije reguliranje pojedinih pitanja radi veće efikasnosti u ostvarivanju prava na pristup informacijama, a što su pokazali i rezultati projekta </w:t>
      </w:r>
      <w:r w:rsidR="001A61BC">
        <w:t>„</w:t>
      </w:r>
      <w:r w:rsidRPr="005F5F69">
        <w:t>Unaprjeđenje provedbe Zakona o pravu na pristup informacijama“ koji se u okviru NPOO-a provodio tijekom 2022. i 2023. godine.</w:t>
      </w:r>
    </w:p>
    <w:p w14:paraId="5F9C511E" w14:textId="6B122EAB" w:rsidR="005F2A1E" w:rsidRPr="00F0315E" w:rsidRDefault="005F2A1E" w:rsidP="007B4CE1">
      <w:pPr>
        <w:pStyle w:val="Naslov1"/>
      </w:pPr>
      <w:bookmarkStart w:id="260" w:name="_Toc225865655"/>
      <w:r>
        <w:t>Okvirni plan djelovanja Ureda u 202</w:t>
      </w:r>
      <w:r w:rsidR="00BA1ABA">
        <w:t>6</w:t>
      </w:r>
      <w:r>
        <w:t>.</w:t>
      </w:r>
      <w:bookmarkStart w:id="261" w:name="_Hlk66632349"/>
      <w:bookmarkStart w:id="262" w:name="_Toc68002365"/>
      <w:bookmarkEnd w:id="260"/>
    </w:p>
    <w:p w14:paraId="6BDE7E89" w14:textId="77777777" w:rsidR="00223080" w:rsidRPr="005F5F69" w:rsidRDefault="00223080" w:rsidP="00223080">
      <w:pPr>
        <w:rPr>
          <w:rFonts w:cs="Arial"/>
        </w:rPr>
      </w:pPr>
      <w:r w:rsidRPr="005F5F69">
        <w:rPr>
          <w:rFonts w:cs="Arial"/>
        </w:rPr>
        <w:t>Aktivnosti Ureda povjerenice u 2026. u velikom su dijelu determinirane utvrđenim stanjem u području pristupa informacijama koje je prikazano u ovom Izvješću.</w:t>
      </w:r>
    </w:p>
    <w:p w14:paraId="51A932B2" w14:textId="77777777" w:rsidR="00223080" w:rsidRPr="005F5F69" w:rsidRDefault="00223080" w:rsidP="005F0EC0">
      <w:pPr>
        <w:numPr>
          <w:ilvl w:val="0"/>
          <w:numId w:val="2"/>
        </w:numPr>
        <w:ind w:left="1125"/>
        <w:rPr>
          <w:rFonts w:cs="Arial"/>
          <w:i/>
          <w:iCs/>
        </w:rPr>
      </w:pPr>
      <w:r w:rsidRPr="005F5F69">
        <w:rPr>
          <w:rFonts w:cs="Arial"/>
          <w:i/>
          <w:iCs/>
        </w:rPr>
        <w:t>Ciljano analitičko praćenje proaktivne objave informacija</w:t>
      </w:r>
    </w:p>
    <w:p w14:paraId="630ACA47" w14:textId="77777777" w:rsidR="00223080" w:rsidRPr="005F5F69" w:rsidRDefault="00223080" w:rsidP="00223080">
      <w:pPr>
        <w:rPr>
          <w:rFonts w:cs="Arial"/>
        </w:rPr>
      </w:pPr>
      <w:r w:rsidRPr="005F5F69">
        <w:rPr>
          <w:rFonts w:cs="Arial"/>
        </w:rPr>
        <w:t>U 2026. nastavit će se s provedbom segmentiranih, odnosno ciljanih praćenja za odabrane skupine tijela i za odabrane kategorije informacija.</w:t>
      </w:r>
    </w:p>
    <w:p w14:paraId="2FFEEA0C" w14:textId="77777777" w:rsidR="00223080" w:rsidRPr="005F5F69" w:rsidRDefault="00223080" w:rsidP="005F0EC0">
      <w:pPr>
        <w:numPr>
          <w:ilvl w:val="0"/>
          <w:numId w:val="2"/>
        </w:numPr>
        <w:rPr>
          <w:rFonts w:cs="Arial"/>
          <w:i/>
          <w:iCs/>
        </w:rPr>
      </w:pPr>
      <w:r w:rsidRPr="005F5F69">
        <w:rPr>
          <w:rFonts w:cs="Arial"/>
          <w:i/>
          <w:iCs/>
        </w:rPr>
        <w:t xml:space="preserve">Provedba praćenja objave skupova podataka za ponovnu uporabu asset lista </w:t>
      </w:r>
    </w:p>
    <w:p w14:paraId="6165A98C" w14:textId="77777777" w:rsidR="00223080" w:rsidRPr="005F5F69" w:rsidRDefault="00223080" w:rsidP="00223080">
      <w:pPr>
        <w:rPr>
          <w:rFonts w:cs="Arial"/>
        </w:rPr>
      </w:pPr>
      <w:r w:rsidRPr="005F5F69">
        <w:rPr>
          <w:rFonts w:cs="Arial"/>
        </w:rPr>
        <w:t>U 2026. godini praćenja će biti usmjerena na tijela državne uprave, državna tijela, JLP(R)S te na ustanove i trgovačka društva koja raspolažu bazama i registrima s podacima pogodnim za ponovnu uporabu.</w:t>
      </w:r>
    </w:p>
    <w:p w14:paraId="14263BE0" w14:textId="77777777" w:rsidR="00223080" w:rsidRPr="005F5F69" w:rsidRDefault="00223080" w:rsidP="005F0EC0">
      <w:pPr>
        <w:numPr>
          <w:ilvl w:val="0"/>
          <w:numId w:val="5"/>
        </w:numPr>
        <w:ind w:left="1068"/>
        <w:rPr>
          <w:rFonts w:cs="Arial"/>
          <w:i/>
          <w:iCs/>
        </w:rPr>
      </w:pPr>
      <w:r w:rsidRPr="005F5F69">
        <w:rPr>
          <w:rFonts w:cs="Arial"/>
          <w:i/>
          <w:iCs/>
        </w:rPr>
        <w:t xml:space="preserve">Provedba praćenja savjetovanja s javnošću </w:t>
      </w:r>
    </w:p>
    <w:p w14:paraId="19D3B5F4" w14:textId="77777777" w:rsidR="00223080" w:rsidRPr="005F5F69" w:rsidRDefault="00223080" w:rsidP="00223080">
      <w:pPr>
        <w:rPr>
          <w:rFonts w:cs="Arial"/>
        </w:rPr>
      </w:pPr>
      <w:r w:rsidRPr="005F5F69">
        <w:rPr>
          <w:rFonts w:cs="Arial"/>
        </w:rPr>
        <w:t xml:space="preserve">Nastavit će se provedba praćenja savjetovanja s javnošću putem portala e-Savjetovanja na određeni dan, kao i sveobuhvatno praćenje savjetovanja na razini odabranih tijela u smislu praćenja objave plana savjetovanja, roka trajanja savjetovanja, objava informacija o sastavu radnih skupina i objave izvješća o provedenom savjetovanju. </w:t>
      </w:r>
    </w:p>
    <w:p w14:paraId="69F8003E" w14:textId="77777777" w:rsidR="00223080" w:rsidRPr="005F5F69" w:rsidRDefault="00223080" w:rsidP="005F0EC0">
      <w:pPr>
        <w:numPr>
          <w:ilvl w:val="0"/>
          <w:numId w:val="5"/>
        </w:numPr>
        <w:ind w:left="1068"/>
        <w:rPr>
          <w:rFonts w:cs="Arial"/>
          <w:i/>
          <w:iCs/>
        </w:rPr>
      </w:pPr>
      <w:r w:rsidRPr="005F5F69">
        <w:rPr>
          <w:rFonts w:cs="Arial"/>
          <w:i/>
          <w:iCs/>
        </w:rPr>
        <w:t>Provedba praćenja ispunjenja obveze osiguranja javnosti rada na sjednicama tijela</w:t>
      </w:r>
    </w:p>
    <w:p w14:paraId="6A2E49F9" w14:textId="77777777" w:rsidR="00223080" w:rsidRPr="005F5F69" w:rsidRDefault="00223080" w:rsidP="00223080">
      <w:pPr>
        <w:rPr>
          <w:rFonts w:cs="Arial"/>
        </w:rPr>
      </w:pPr>
      <w:r w:rsidRPr="005F5F69">
        <w:rPr>
          <w:rFonts w:cs="Arial"/>
        </w:rPr>
        <w:t xml:space="preserve">Nastavit će se s praksom da se o zakonskoj obvezi osiguravanja javnosti rada detaljno educira na radionicama koje se održavaju u Državnoj školi za javnu upravu. Tom prilikom provodit će se praćenje internetskih stranica tijela čiji službenici pohađaju radionicu, utvrđivat će se način ispunjenja zakonske obveze i davati preporuke za usklađenje sa Zakonom. </w:t>
      </w:r>
    </w:p>
    <w:p w14:paraId="0CD8D48A" w14:textId="77777777" w:rsidR="00223080" w:rsidRPr="005F5F69" w:rsidRDefault="00223080" w:rsidP="005F0EC0">
      <w:pPr>
        <w:numPr>
          <w:ilvl w:val="0"/>
          <w:numId w:val="2"/>
        </w:numPr>
        <w:ind w:left="1122" w:hanging="357"/>
        <w:rPr>
          <w:rFonts w:cs="Arial"/>
          <w:i/>
          <w:iCs/>
        </w:rPr>
      </w:pPr>
      <w:r w:rsidRPr="005F5F69">
        <w:rPr>
          <w:rFonts w:cs="Arial"/>
          <w:i/>
          <w:iCs/>
        </w:rPr>
        <w:t xml:space="preserve">Revidiranje postojećih uputa i smjernica za primjenu Zakona </w:t>
      </w:r>
    </w:p>
    <w:p w14:paraId="755E6801" w14:textId="6ECB8329" w:rsidR="00223080" w:rsidRPr="00A01248" w:rsidRDefault="00223080" w:rsidP="00223080">
      <w:pPr>
        <w:rPr>
          <w:rFonts w:cs="Arial"/>
        </w:rPr>
      </w:pPr>
      <w:r w:rsidRPr="00FB22A8">
        <w:rPr>
          <w:rFonts w:cs="Arial"/>
        </w:rPr>
        <w:t xml:space="preserve">Povjerenik je u izradio brojne upute i smjernica tijelima javne vlasti radi pravilne primjene zakonskih odredbi, od kojih je tijekom 2025. dio </w:t>
      </w:r>
      <w:r w:rsidR="00C81784" w:rsidRPr="00FB22A8">
        <w:rPr>
          <w:rFonts w:cs="Arial"/>
        </w:rPr>
        <w:t>s</w:t>
      </w:r>
      <w:r w:rsidRPr="00FB22A8">
        <w:rPr>
          <w:rFonts w:cs="Arial"/>
        </w:rPr>
        <w:t>mjernica revidiran. Tijekom 2026</w:t>
      </w:r>
      <w:r w:rsidRPr="00A01248">
        <w:rPr>
          <w:rFonts w:cs="Arial"/>
        </w:rPr>
        <w:t xml:space="preserve">. Povjerenik će nastaviti s revidiranjem postojećih smjernica i uputa. </w:t>
      </w:r>
    </w:p>
    <w:p w14:paraId="41C8DF35" w14:textId="77777777" w:rsidR="00223080" w:rsidRPr="00A01248" w:rsidRDefault="00223080" w:rsidP="005F0EC0">
      <w:pPr>
        <w:numPr>
          <w:ilvl w:val="0"/>
          <w:numId w:val="2"/>
        </w:numPr>
        <w:ind w:left="1122" w:hanging="357"/>
        <w:rPr>
          <w:rFonts w:cs="Arial"/>
          <w:i/>
          <w:iCs/>
        </w:rPr>
      </w:pPr>
      <w:r w:rsidRPr="00A01248">
        <w:rPr>
          <w:rFonts w:cs="Arial"/>
          <w:i/>
          <w:iCs/>
        </w:rPr>
        <w:t>Izrada Upute za korisnike prava na pristup informacijama o načinu i rokovima za podnošenje žalbe i prigovora</w:t>
      </w:r>
    </w:p>
    <w:p w14:paraId="5227BCDC" w14:textId="0A5D98A0" w:rsidR="00223080" w:rsidRPr="00A01248" w:rsidRDefault="00223080" w:rsidP="00223080">
      <w:pPr>
        <w:rPr>
          <w:rFonts w:cs="Arial"/>
        </w:rPr>
      </w:pPr>
      <w:r w:rsidRPr="00A01248">
        <w:rPr>
          <w:rFonts w:cs="Arial"/>
        </w:rPr>
        <w:t xml:space="preserve">Obrađeni podaci o žalbama i zaprimljenim podnescima koje je Povjerenik ustupao nadležnim tijelima ukazuju da korisnici nisu u dovoljnoj mjeri upoznati sa odredbama ZUP-a koji propisuje sadržaj žalbe. Također broj preuranjenih žalbi ukazuje da jedan dio korisnika nije upoznat s </w:t>
      </w:r>
      <w:r w:rsidRPr="00A01248">
        <w:rPr>
          <w:rFonts w:cs="Arial"/>
        </w:rPr>
        <w:lastRenderedPageBreak/>
        <w:t>računanjem rokova. Zaprimljeni broj prigovora na obavijesti ili zaprimljeni zahtjevi za dopunu ili ispravak informacije ukazuju na potrebu dodatnog pojašnjenja stranka</w:t>
      </w:r>
      <w:r w:rsidR="00417E2A" w:rsidRPr="00A01248">
        <w:rPr>
          <w:rFonts w:cs="Arial"/>
        </w:rPr>
        <w:t>ma</w:t>
      </w:r>
      <w:r w:rsidRPr="00A01248">
        <w:rPr>
          <w:rFonts w:cs="Arial"/>
        </w:rPr>
        <w:t xml:space="preserve"> o nadležnosti Povjerenika kao žalbenog tijela i nadležnosti za rješavanje zahtjeva za dopunu ili ispravaka informacije i prigovora na obavijesti iz članka 23. stavka 1. točke 2-6. ZPPI-ja.    </w:t>
      </w:r>
    </w:p>
    <w:p w14:paraId="59851E22" w14:textId="77777777" w:rsidR="00223080" w:rsidRPr="005F5F69" w:rsidRDefault="00223080" w:rsidP="005F0EC0">
      <w:pPr>
        <w:numPr>
          <w:ilvl w:val="0"/>
          <w:numId w:val="2"/>
        </w:numPr>
        <w:ind w:left="1122" w:hanging="357"/>
        <w:rPr>
          <w:rFonts w:cs="Arial"/>
        </w:rPr>
      </w:pPr>
      <w:r w:rsidRPr="005F5F69">
        <w:rPr>
          <w:rFonts w:cs="Arial"/>
          <w:i/>
          <w:iCs/>
        </w:rPr>
        <w:t>Nastavak s objavom sažetaka najvažnijih odluka i mišljenja te njihovih sažetaka</w:t>
      </w:r>
    </w:p>
    <w:p w14:paraId="62E1F2DD" w14:textId="77777777" w:rsidR="00223080" w:rsidRPr="005F5F69" w:rsidRDefault="00223080" w:rsidP="00223080">
      <w:pPr>
        <w:rPr>
          <w:rFonts w:cs="Arial"/>
        </w:rPr>
      </w:pPr>
      <w:r w:rsidRPr="005F5F69">
        <w:rPr>
          <w:rFonts w:cs="Arial"/>
        </w:rPr>
        <w:t>Objava odluka i mišljenja Povjerenika pomaže tijelima javne vlasti prilikom donošenja odluka, a korisnicima kako bi bili upoznati o dostupnosti ili nedostupnosti određenih informacija. Nastavit će se s praksom objavljivanja odluka i mišljenja na aplikaciji Tražilice odluka i mišljenja – TOM i pojedinih sažetaka na mrežnoj stranici Povjerenika u rubrici „Iz prakse Povjerenika“, temeljnih standarda utvrđenih odlukama Povjerenika.</w:t>
      </w:r>
    </w:p>
    <w:p w14:paraId="112EF370" w14:textId="77777777" w:rsidR="00223080" w:rsidRPr="005F5F69" w:rsidRDefault="00223080" w:rsidP="005F0EC0">
      <w:pPr>
        <w:numPr>
          <w:ilvl w:val="0"/>
          <w:numId w:val="2"/>
        </w:numPr>
        <w:rPr>
          <w:rFonts w:cs="Arial"/>
          <w:i/>
          <w:iCs/>
        </w:rPr>
      </w:pPr>
      <w:r w:rsidRPr="005F5F69">
        <w:rPr>
          <w:rFonts w:cs="Arial"/>
          <w:i/>
          <w:iCs/>
        </w:rPr>
        <w:t xml:space="preserve">Provedba edukativnih i ostalih aktivnosti </w:t>
      </w:r>
    </w:p>
    <w:p w14:paraId="2FDD53CA" w14:textId="77777777" w:rsidR="007F02C6" w:rsidRPr="00A01248" w:rsidRDefault="00223080" w:rsidP="00223080">
      <w:pPr>
        <w:rPr>
          <w:rFonts w:cs="Arial"/>
        </w:rPr>
      </w:pPr>
      <w:r w:rsidRPr="005F5F69">
        <w:rPr>
          <w:rFonts w:cs="Arial"/>
        </w:rPr>
        <w:t xml:space="preserve">Nastavit će se s provedbom edukativnih aktivnosti, sukladno utvrđenom i objavljenom planu, koji obuhvaća provedbu edukacija u suradnji s Državnom školom za javnu upravu u Zagrebu i </w:t>
      </w:r>
      <w:r w:rsidRPr="00A01248">
        <w:rPr>
          <w:rFonts w:cs="Arial"/>
        </w:rPr>
        <w:t>na regionalnoj razini, provedbu kratkih webinara o pojedinim segmentima primjene Zakona, provedbu krojenih edukacija za tijela i korisnike prava i ostale aktivnosti. S obzirom na to da obrađeni podaci ukazuju na velik broj žalbi izjavljenih zbog odbijanja zahtjeva jer se tražen</w:t>
      </w:r>
      <w:r w:rsidR="007F02C6" w:rsidRPr="00A01248">
        <w:rPr>
          <w:rFonts w:cs="Arial"/>
        </w:rPr>
        <w:t>a</w:t>
      </w:r>
      <w:r w:rsidRPr="00A01248">
        <w:rPr>
          <w:rFonts w:cs="Arial"/>
        </w:rPr>
        <w:t xml:space="preserve"> informacija ne smatra informacijom u smislu ZPPI-ja kao i zbog odbacivanje zahtjeva jer tijelo ne posjeduje informacije, nastavit će se </w:t>
      </w:r>
      <w:r w:rsidR="007F02C6" w:rsidRPr="00A01248">
        <w:rPr>
          <w:rFonts w:cs="Arial"/>
        </w:rPr>
        <w:t xml:space="preserve">s </w:t>
      </w:r>
      <w:r w:rsidRPr="00A01248">
        <w:rPr>
          <w:rFonts w:cs="Arial"/>
        </w:rPr>
        <w:t xml:space="preserve">tematskim webinarom na opisanu temu, a također se planiraju novi webinari na temu provedbe testa razmjernosti i javnog interesa i prigovora na obavijesti. </w:t>
      </w:r>
    </w:p>
    <w:p w14:paraId="513DB96C" w14:textId="1EB8BAA7" w:rsidR="00223080" w:rsidRPr="005F5F69" w:rsidRDefault="00223080" w:rsidP="00223080">
      <w:pPr>
        <w:rPr>
          <w:rFonts w:cs="Arial"/>
        </w:rPr>
      </w:pPr>
      <w:r w:rsidRPr="00A01248">
        <w:rPr>
          <w:rFonts w:cs="Arial"/>
        </w:rPr>
        <w:t xml:space="preserve">Planira se održavanje osmog po redu godišnjeg savjetovanja službenika za informiranje, na </w:t>
      </w:r>
      <w:r w:rsidRPr="005F5F69">
        <w:rPr>
          <w:rFonts w:cs="Arial"/>
        </w:rPr>
        <w:t>kojem će se obrađivati aktualne teme s područja prava na pristup i ponovne uporabe informacija te će službenici imati priliku razmijeniti iskustva i unaprijediti znanja o primjeni Zakona.</w:t>
      </w:r>
      <w:r w:rsidRPr="005F5F69">
        <w:t xml:space="preserve"> </w:t>
      </w:r>
      <w:r w:rsidRPr="005F5F69">
        <w:rPr>
          <w:rFonts w:cs="Arial"/>
        </w:rPr>
        <w:t>U 2026. godini prigodno će se obilježiti i Međunarodni dan prava na pristup informacijama – 28. rujna.</w:t>
      </w:r>
    </w:p>
    <w:p w14:paraId="47FF44BE" w14:textId="77777777" w:rsidR="00223080" w:rsidRPr="005F5F69" w:rsidRDefault="00223080" w:rsidP="005F0EC0">
      <w:pPr>
        <w:numPr>
          <w:ilvl w:val="0"/>
          <w:numId w:val="6"/>
        </w:numPr>
        <w:rPr>
          <w:rFonts w:cs="Arial"/>
          <w:i/>
          <w:iCs/>
        </w:rPr>
      </w:pPr>
      <w:r w:rsidRPr="005F5F69">
        <w:rPr>
          <w:rFonts w:cs="Arial"/>
          <w:i/>
          <w:iCs/>
        </w:rPr>
        <w:t xml:space="preserve">Nastavak </w:t>
      </w:r>
      <w:r w:rsidRPr="005F5F69">
        <w:rPr>
          <w:rFonts w:cs="Arial"/>
        </w:rPr>
        <w:t xml:space="preserve">suradnje u okviru Inicijative 2020 </w:t>
      </w:r>
    </w:p>
    <w:p w14:paraId="26FD0511" w14:textId="77777777" w:rsidR="00223080" w:rsidRPr="005F5F69" w:rsidRDefault="00223080" w:rsidP="00223080">
      <w:pPr>
        <w:rPr>
          <w:rFonts w:cs="Arial"/>
        </w:rPr>
      </w:pPr>
      <w:r w:rsidRPr="005F5F69">
        <w:rPr>
          <w:rFonts w:cs="Arial"/>
        </w:rPr>
        <w:t>Sedmi sastanak Inicijative 2020 će se 2026. godine održati u Republici Sloveniji. Povjerenik za informiranje sudjelovat će na navedenom sastanku i nastaviti suradnju i razmjenu iskustava u okviru Inicijative. Planira se studijska posjeta državi članici EU s ciljem upoznavanja prakse i dosegnutih standarda u području prava na pristup informacijama.</w:t>
      </w:r>
    </w:p>
    <w:p w14:paraId="53B8210F" w14:textId="77777777" w:rsidR="00223080" w:rsidRPr="005F5F69" w:rsidRDefault="00223080" w:rsidP="005F0EC0">
      <w:pPr>
        <w:numPr>
          <w:ilvl w:val="0"/>
          <w:numId w:val="6"/>
        </w:numPr>
        <w:rPr>
          <w:rFonts w:cs="Arial"/>
          <w:i/>
          <w:iCs/>
        </w:rPr>
      </w:pPr>
      <w:r w:rsidRPr="005F5F69">
        <w:rPr>
          <w:rFonts w:cs="Arial"/>
          <w:i/>
          <w:iCs/>
        </w:rPr>
        <w:t>Ostale aktivnosti</w:t>
      </w:r>
    </w:p>
    <w:p w14:paraId="59D92C04" w14:textId="58E42BEC" w:rsidR="00223080" w:rsidRPr="005F5F69" w:rsidRDefault="00223080" w:rsidP="00223080">
      <w:pPr>
        <w:rPr>
          <w:rFonts w:cs="Arial"/>
        </w:rPr>
      </w:pPr>
      <w:r w:rsidRPr="005F5F69">
        <w:rPr>
          <w:rFonts w:cs="Arial"/>
        </w:rPr>
        <w:t>U radu valja ostaviti prostora i za ostale aktivnosti koje proizlaze iz zakonskih obveza i problema uočenih u primjeni Zakona</w:t>
      </w:r>
      <w:r w:rsidRPr="005F5F69">
        <w:rPr>
          <w:rFonts w:cs="Arial"/>
          <w:i/>
          <w:iCs/>
        </w:rPr>
        <w:t xml:space="preserve">. </w:t>
      </w:r>
      <w:r w:rsidRPr="005F5F69">
        <w:rPr>
          <w:rFonts w:cs="Arial"/>
        </w:rPr>
        <w:t xml:space="preserve">Pored toga, praksa uvijek donosi i potrebu reagiranja na pitanja koja se unaprijed teško mogu odrediti. </w:t>
      </w:r>
    </w:p>
    <w:p w14:paraId="6C8B9602" w14:textId="619F114F" w:rsidR="00611314" w:rsidRPr="00D2002F" w:rsidRDefault="00611314" w:rsidP="000A5DD6">
      <w:pPr>
        <w:rPr>
          <w:rFonts w:cs="Arial"/>
          <w:color w:val="000000" w:themeColor="text1"/>
          <w:sz w:val="23"/>
          <w:szCs w:val="23"/>
        </w:rPr>
      </w:pPr>
    </w:p>
    <w:p w14:paraId="4206CB3B" w14:textId="6374B9D7" w:rsidR="0072015F" w:rsidRPr="008733B6" w:rsidRDefault="0072015F" w:rsidP="00B25C5B">
      <w:pPr>
        <w:spacing w:after="0" w:line="240" w:lineRule="auto"/>
        <w:jc w:val="left"/>
        <w:rPr>
          <w:rFonts w:cs="Arial"/>
          <w:sz w:val="23"/>
          <w:szCs w:val="23"/>
        </w:rPr>
      </w:pPr>
      <w:r w:rsidRPr="008733B6">
        <w:rPr>
          <w:rFonts w:cs="Arial"/>
          <w:sz w:val="23"/>
          <w:szCs w:val="23"/>
        </w:rPr>
        <w:br w:type="page"/>
      </w:r>
    </w:p>
    <w:p w14:paraId="100A5E66" w14:textId="77777777" w:rsidR="00611314" w:rsidRPr="003D2D3A" w:rsidRDefault="00611314" w:rsidP="00611314">
      <w:pPr>
        <w:rPr>
          <w:rFonts w:cs="Arial"/>
          <w:sz w:val="23"/>
          <w:szCs w:val="23"/>
        </w:rPr>
      </w:pPr>
    </w:p>
    <w:bookmarkEnd w:id="261"/>
    <w:bookmarkEnd w:id="262"/>
    <w:p w14:paraId="20D6E736" w14:textId="77777777" w:rsidR="00611314" w:rsidRPr="003D2D3A" w:rsidRDefault="00611314" w:rsidP="005B2FB3">
      <w:pPr>
        <w:rPr>
          <w:rFonts w:cs="Arial"/>
          <w:b/>
          <w:sz w:val="23"/>
          <w:szCs w:val="23"/>
        </w:rPr>
      </w:pPr>
    </w:p>
    <w:p w14:paraId="52F7FD87" w14:textId="77777777" w:rsidR="00611314" w:rsidRPr="003D2D3A" w:rsidRDefault="00611314" w:rsidP="005B2FB3">
      <w:pPr>
        <w:rPr>
          <w:rFonts w:cs="Arial"/>
          <w:b/>
          <w:sz w:val="23"/>
          <w:szCs w:val="23"/>
        </w:rPr>
      </w:pPr>
    </w:p>
    <w:p w14:paraId="5C7B9AD7" w14:textId="77777777" w:rsidR="00611314" w:rsidRPr="003D2D3A" w:rsidRDefault="00611314" w:rsidP="005B2FB3">
      <w:pPr>
        <w:rPr>
          <w:rFonts w:cs="Arial"/>
          <w:b/>
          <w:sz w:val="23"/>
          <w:szCs w:val="23"/>
        </w:rPr>
      </w:pPr>
    </w:p>
    <w:p w14:paraId="72E4BDC4" w14:textId="77777777" w:rsidR="00611314" w:rsidRPr="003D2D3A" w:rsidRDefault="00611314" w:rsidP="005B2FB3">
      <w:pPr>
        <w:rPr>
          <w:rFonts w:cs="Arial"/>
          <w:b/>
          <w:sz w:val="23"/>
          <w:szCs w:val="23"/>
        </w:rPr>
      </w:pPr>
    </w:p>
    <w:p w14:paraId="5C51C8CD" w14:textId="77777777" w:rsidR="00611314" w:rsidRPr="003D2D3A" w:rsidRDefault="00611314" w:rsidP="005B2FB3">
      <w:pPr>
        <w:rPr>
          <w:rFonts w:cs="Arial"/>
          <w:b/>
          <w:sz w:val="23"/>
          <w:szCs w:val="23"/>
        </w:rPr>
      </w:pPr>
    </w:p>
    <w:p w14:paraId="09D25A12" w14:textId="77777777" w:rsidR="00611314" w:rsidRPr="003D2D3A" w:rsidRDefault="00611314" w:rsidP="005B2FB3">
      <w:pPr>
        <w:rPr>
          <w:rFonts w:cs="Arial"/>
          <w:b/>
          <w:sz w:val="23"/>
          <w:szCs w:val="23"/>
        </w:rPr>
      </w:pPr>
    </w:p>
    <w:p w14:paraId="3471D618" w14:textId="4EEC89F1" w:rsidR="00611314" w:rsidRPr="003D2D3A" w:rsidRDefault="00611314" w:rsidP="003245B9">
      <w:pPr>
        <w:tabs>
          <w:tab w:val="left" w:pos="1158"/>
        </w:tabs>
        <w:rPr>
          <w:rFonts w:cs="Arial"/>
          <w:b/>
          <w:sz w:val="23"/>
          <w:szCs w:val="23"/>
        </w:rPr>
      </w:pPr>
    </w:p>
    <w:p w14:paraId="422A7DD9" w14:textId="77777777" w:rsidR="00611314" w:rsidRPr="003D2D3A" w:rsidRDefault="00611314" w:rsidP="005B2FB3">
      <w:pPr>
        <w:rPr>
          <w:rFonts w:cs="Arial"/>
          <w:b/>
          <w:sz w:val="23"/>
          <w:szCs w:val="23"/>
        </w:rPr>
      </w:pPr>
    </w:p>
    <w:p w14:paraId="4A1B7017" w14:textId="77777777" w:rsidR="00611314" w:rsidRPr="003D2D3A" w:rsidRDefault="00611314" w:rsidP="005B2FB3">
      <w:pPr>
        <w:rPr>
          <w:rFonts w:cs="Arial"/>
          <w:b/>
          <w:sz w:val="23"/>
          <w:szCs w:val="23"/>
        </w:rPr>
      </w:pPr>
    </w:p>
    <w:p w14:paraId="5AFBED6C" w14:textId="77777777" w:rsidR="00611314" w:rsidRPr="003D2D3A" w:rsidRDefault="00611314" w:rsidP="005B2FB3">
      <w:pPr>
        <w:rPr>
          <w:rFonts w:cs="Arial"/>
          <w:b/>
          <w:sz w:val="23"/>
          <w:szCs w:val="23"/>
        </w:rPr>
      </w:pPr>
    </w:p>
    <w:p w14:paraId="08279D01" w14:textId="77777777" w:rsidR="00611314" w:rsidRPr="003D2D3A" w:rsidRDefault="00611314" w:rsidP="005B2FB3">
      <w:pPr>
        <w:rPr>
          <w:rFonts w:cs="Arial"/>
          <w:b/>
          <w:sz w:val="23"/>
          <w:szCs w:val="23"/>
        </w:rPr>
      </w:pPr>
    </w:p>
    <w:p w14:paraId="1E99EDDE" w14:textId="77777777" w:rsidR="00A30C53" w:rsidRPr="00F0315E" w:rsidRDefault="00A30C53" w:rsidP="005B2FB3">
      <w:pPr>
        <w:rPr>
          <w:rFonts w:cs="Arial"/>
          <w:b/>
          <w:sz w:val="23"/>
          <w:szCs w:val="23"/>
        </w:rPr>
      </w:pPr>
    </w:p>
    <w:p w14:paraId="4CFE1810" w14:textId="77777777" w:rsidR="00A30C53" w:rsidRPr="00F0315E" w:rsidRDefault="00A30C53" w:rsidP="005B2FB3">
      <w:pPr>
        <w:rPr>
          <w:rFonts w:cs="Arial"/>
          <w:b/>
          <w:sz w:val="23"/>
          <w:szCs w:val="23"/>
        </w:rPr>
      </w:pPr>
    </w:p>
    <w:p w14:paraId="2559BDD1" w14:textId="77777777" w:rsidR="00A30C53" w:rsidRPr="00F0315E" w:rsidRDefault="00A30C53" w:rsidP="005B2FB3">
      <w:pPr>
        <w:rPr>
          <w:rFonts w:cs="Arial"/>
          <w:b/>
          <w:sz w:val="23"/>
          <w:szCs w:val="23"/>
        </w:rPr>
      </w:pPr>
    </w:p>
    <w:p w14:paraId="1DCD2971" w14:textId="77777777" w:rsidR="00A30C53" w:rsidRPr="00F0315E" w:rsidRDefault="00A30C53" w:rsidP="005B2FB3">
      <w:pPr>
        <w:rPr>
          <w:rFonts w:cs="Arial"/>
          <w:b/>
          <w:sz w:val="23"/>
          <w:szCs w:val="23"/>
        </w:rPr>
      </w:pPr>
    </w:p>
    <w:p w14:paraId="4FB2930F" w14:textId="77777777" w:rsidR="00A30C53" w:rsidRPr="00F0315E" w:rsidRDefault="00A30C53" w:rsidP="005B2FB3">
      <w:pPr>
        <w:rPr>
          <w:rFonts w:cs="Arial"/>
          <w:b/>
          <w:sz w:val="23"/>
          <w:szCs w:val="23"/>
        </w:rPr>
      </w:pPr>
    </w:p>
    <w:p w14:paraId="2E922F3E" w14:textId="77777777" w:rsidR="00611314" w:rsidRPr="00F0315E" w:rsidRDefault="00611314" w:rsidP="005B2FB3">
      <w:pPr>
        <w:rPr>
          <w:rFonts w:cs="Arial"/>
          <w:b/>
          <w:sz w:val="23"/>
          <w:szCs w:val="23"/>
        </w:rPr>
      </w:pPr>
    </w:p>
    <w:p w14:paraId="49230607" w14:textId="77777777" w:rsidR="00611314" w:rsidRPr="00F0315E" w:rsidRDefault="00611314" w:rsidP="005B2FB3">
      <w:pPr>
        <w:rPr>
          <w:rFonts w:cs="Arial"/>
          <w:b/>
          <w:sz w:val="23"/>
          <w:szCs w:val="23"/>
        </w:rPr>
      </w:pPr>
    </w:p>
    <w:p w14:paraId="42ED83E6" w14:textId="392B31D2" w:rsidR="005A446B" w:rsidRPr="00F0315E" w:rsidRDefault="00925F71" w:rsidP="00B40849">
      <w:pPr>
        <w:jc w:val="left"/>
        <w:rPr>
          <w:rFonts w:cs="Arial"/>
          <w:b/>
          <w:sz w:val="23"/>
          <w:szCs w:val="23"/>
        </w:rPr>
      </w:pPr>
      <w:r w:rsidRPr="00F0315E">
        <w:rPr>
          <w:rFonts w:cs="Arial"/>
          <w:b/>
          <w:sz w:val="23"/>
          <w:szCs w:val="23"/>
        </w:rPr>
        <w:t>Po</w:t>
      </w:r>
      <w:r w:rsidR="005A446B" w:rsidRPr="00F0315E">
        <w:rPr>
          <w:rFonts w:cs="Arial"/>
          <w:b/>
          <w:sz w:val="23"/>
          <w:szCs w:val="23"/>
        </w:rPr>
        <w:t xml:space="preserve">vjerenik za informiranje </w:t>
      </w:r>
    </w:p>
    <w:p w14:paraId="2CE9E0C1" w14:textId="6BE0987B" w:rsidR="005A446B" w:rsidRPr="00F0315E" w:rsidRDefault="005A446B" w:rsidP="00B40849">
      <w:pPr>
        <w:jc w:val="left"/>
        <w:rPr>
          <w:rFonts w:cs="Arial"/>
          <w:b/>
          <w:sz w:val="23"/>
          <w:szCs w:val="23"/>
        </w:rPr>
      </w:pPr>
      <w:r w:rsidRPr="00F0315E">
        <w:rPr>
          <w:rFonts w:cs="Arial"/>
          <w:b/>
          <w:sz w:val="23"/>
          <w:szCs w:val="23"/>
        </w:rPr>
        <w:t>Izvješće o provedbi Zakona o pravu na pristup informacijama za 20</w:t>
      </w:r>
      <w:r w:rsidR="00B169B4" w:rsidRPr="00F0315E">
        <w:rPr>
          <w:rFonts w:cs="Arial"/>
          <w:b/>
          <w:sz w:val="23"/>
          <w:szCs w:val="23"/>
        </w:rPr>
        <w:t>2</w:t>
      </w:r>
      <w:r w:rsidR="00223080">
        <w:rPr>
          <w:rFonts w:cs="Arial"/>
          <w:b/>
          <w:sz w:val="23"/>
          <w:szCs w:val="23"/>
        </w:rPr>
        <w:t>5</w:t>
      </w:r>
      <w:r w:rsidRPr="00F0315E">
        <w:rPr>
          <w:rFonts w:cs="Arial"/>
          <w:b/>
          <w:sz w:val="23"/>
          <w:szCs w:val="23"/>
        </w:rPr>
        <w:t xml:space="preserve">. </w:t>
      </w:r>
      <w:r w:rsidR="0030389D" w:rsidRPr="00F0315E">
        <w:rPr>
          <w:rFonts w:cs="Arial"/>
          <w:b/>
          <w:sz w:val="23"/>
          <w:szCs w:val="23"/>
        </w:rPr>
        <w:t>godinu</w:t>
      </w:r>
    </w:p>
    <w:p w14:paraId="2360098E" w14:textId="0669DEAC" w:rsidR="005A446B" w:rsidRPr="00F0315E" w:rsidRDefault="005A446B" w:rsidP="00B40849">
      <w:pPr>
        <w:jc w:val="left"/>
        <w:rPr>
          <w:rFonts w:cs="Arial"/>
          <w:b/>
          <w:sz w:val="23"/>
          <w:szCs w:val="23"/>
        </w:rPr>
      </w:pPr>
      <w:r w:rsidRPr="00F0315E">
        <w:rPr>
          <w:rFonts w:cs="Arial"/>
          <w:b/>
          <w:sz w:val="23"/>
          <w:szCs w:val="23"/>
        </w:rPr>
        <w:t>Zagreb, ožujak 20</w:t>
      </w:r>
      <w:r w:rsidR="00AB7747" w:rsidRPr="00F0315E">
        <w:rPr>
          <w:rFonts w:cs="Arial"/>
          <w:b/>
          <w:sz w:val="23"/>
          <w:szCs w:val="23"/>
        </w:rPr>
        <w:t>2</w:t>
      </w:r>
      <w:r w:rsidR="00223080">
        <w:rPr>
          <w:rFonts w:cs="Arial"/>
          <w:b/>
          <w:sz w:val="23"/>
          <w:szCs w:val="23"/>
        </w:rPr>
        <w:t>6</w:t>
      </w:r>
      <w:r w:rsidRPr="00F0315E">
        <w:rPr>
          <w:rFonts w:cs="Arial"/>
          <w:b/>
          <w:sz w:val="23"/>
          <w:szCs w:val="23"/>
        </w:rPr>
        <w:t>.</w:t>
      </w:r>
    </w:p>
    <w:p w14:paraId="365B6454" w14:textId="77777777" w:rsidR="005A446B" w:rsidRPr="00F0315E" w:rsidRDefault="005A446B" w:rsidP="00B40849">
      <w:pPr>
        <w:jc w:val="left"/>
        <w:rPr>
          <w:rFonts w:cs="Arial"/>
          <w:sz w:val="23"/>
          <w:szCs w:val="23"/>
        </w:rPr>
      </w:pPr>
    </w:p>
    <w:p w14:paraId="6B24B8E3" w14:textId="3A6C88F6" w:rsidR="005A446B" w:rsidRPr="00F0315E" w:rsidRDefault="005A446B" w:rsidP="00B40849">
      <w:pPr>
        <w:jc w:val="left"/>
        <w:rPr>
          <w:rFonts w:cs="Arial"/>
          <w:sz w:val="23"/>
          <w:szCs w:val="23"/>
        </w:rPr>
      </w:pPr>
      <w:r w:rsidRPr="00F0315E">
        <w:rPr>
          <w:rFonts w:cs="Arial"/>
          <w:sz w:val="23"/>
          <w:szCs w:val="23"/>
        </w:rPr>
        <w:t>Pravna osnova</w:t>
      </w:r>
      <w:r w:rsidR="00980929" w:rsidRPr="00F0315E">
        <w:rPr>
          <w:rFonts w:cs="Arial"/>
          <w:sz w:val="23"/>
          <w:szCs w:val="23"/>
        </w:rPr>
        <w:t>:</w:t>
      </w:r>
    </w:p>
    <w:p w14:paraId="21C490DC" w14:textId="77777777" w:rsidR="00DA60C3" w:rsidRPr="00F0315E" w:rsidRDefault="00DA60C3" w:rsidP="005F0EC0">
      <w:pPr>
        <w:pStyle w:val="Odlomakpopisa"/>
        <w:numPr>
          <w:ilvl w:val="0"/>
          <w:numId w:val="4"/>
        </w:numPr>
        <w:jc w:val="left"/>
        <w:rPr>
          <w:rFonts w:ascii="Roboto" w:hAnsi="Roboto" w:cs="Arial"/>
          <w:sz w:val="23"/>
          <w:szCs w:val="23"/>
        </w:rPr>
      </w:pPr>
      <w:r w:rsidRPr="00F0315E">
        <w:rPr>
          <w:rFonts w:ascii="Roboto" w:hAnsi="Roboto" w:cs="Arial"/>
          <w:sz w:val="23"/>
          <w:szCs w:val="23"/>
        </w:rPr>
        <w:t>Članak 60. stavak 4. Zakona o pravu na pristup informacijama („Narodne novine“, broj 25/13, 85/15 i 69/22)</w:t>
      </w:r>
    </w:p>
    <w:p w14:paraId="0CF61E51" w14:textId="77777777" w:rsidR="00DA60C3" w:rsidRPr="00F0315E" w:rsidRDefault="00DA60C3" w:rsidP="005F0EC0">
      <w:pPr>
        <w:pStyle w:val="Odlomakpopisa"/>
        <w:numPr>
          <w:ilvl w:val="0"/>
          <w:numId w:val="4"/>
        </w:numPr>
        <w:jc w:val="left"/>
        <w:rPr>
          <w:rFonts w:ascii="Roboto" w:hAnsi="Roboto" w:cs="Arial"/>
          <w:sz w:val="23"/>
          <w:szCs w:val="23"/>
        </w:rPr>
      </w:pPr>
      <w:r w:rsidRPr="00F0315E">
        <w:rPr>
          <w:rFonts w:ascii="Roboto" w:hAnsi="Roboto" w:cs="Arial"/>
          <w:sz w:val="23"/>
          <w:szCs w:val="23"/>
        </w:rPr>
        <w:t xml:space="preserve">Članak 214. i 215.  Poslovnika Hrvatskog sabora („Narodne novine“, broj 81/13, 113/16, 69/17, 29/18, 53/20, 119/20, 123/20 i 86/23) </w:t>
      </w:r>
    </w:p>
    <w:p w14:paraId="6F076FE9" w14:textId="77777777" w:rsidR="00980929" w:rsidRPr="00F0315E" w:rsidRDefault="00980929" w:rsidP="005B2FB3">
      <w:pPr>
        <w:rPr>
          <w:rFonts w:cs="Arial"/>
          <w:sz w:val="23"/>
          <w:szCs w:val="23"/>
        </w:rPr>
      </w:pPr>
    </w:p>
    <w:p w14:paraId="49B41A4D" w14:textId="4AF398BE" w:rsidR="005A446B" w:rsidRPr="00F0315E" w:rsidRDefault="005A446B" w:rsidP="005B2FB3">
      <w:pPr>
        <w:rPr>
          <w:rFonts w:cs="Arial"/>
          <w:sz w:val="23"/>
          <w:szCs w:val="23"/>
        </w:rPr>
      </w:pPr>
      <w:r w:rsidRPr="7D481D26">
        <w:rPr>
          <w:rFonts w:cs="Arial"/>
          <w:sz w:val="23"/>
          <w:szCs w:val="23"/>
        </w:rPr>
        <w:t xml:space="preserve">Broj stranica: </w:t>
      </w:r>
      <w:r w:rsidR="00FB22A8">
        <w:rPr>
          <w:rFonts w:cs="Arial"/>
          <w:sz w:val="23"/>
          <w:szCs w:val="23"/>
        </w:rPr>
        <w:t>11</w:t>
      </w:r>
      <w:r w:rsidR="002141D3">
        <w:rPr>
          <w:rFonts w:cs="Arial"/>
          <w:sz w:val="23"/>
          <w:szCs w:val="23"/>
        </w:rPr>
        <w:t>6</w:t>
      </w:r>
    </w:p>
    <w:sectPr w:rsidR="005A446B" w:rsidRPr="00F0315E" w:rsidSect="00D049EA">
      <w:headerReference w:type="default" r:id="rId43"/>
      <w:footerReference w:type="default" r:id="rId4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D31A3" w14:textId="77777777" w:rsidR="000F0101" w:rsidRDefault="000F0101" w:rsidP="000E0533">
      <w:r>
        <w:separator/>
      </w:r>
    </w:p>
    <w:p w14:paraId="2AE60E5C" w14:textId="77777777" w:rsidR="000F0101" w:rsidRDefault="000F0101"/>
    <w:p w14:paraId="56C1B896" w14:textId="77777777" w:rsidR="000F0101" w:rsidRDefault="000F0101"/>
    <w:p w14:paraId="60D3322D" w14:textId="77777777" w:rsidR="000F0101" w:rsidRDefault="000F0101"/>
    <w:p w14:paraId="2138C077" w14:textId="77777777" w:rsidR="000F0101" w:rsidRDefault="000F0101"/>
  </w:endnote>
  <w:endnote w:type="continuationSeparator" w:id="0">
    <w:p w14:paraId="3C3EF114" w14:textId="77777777" w:rsidR="000F0101" w:rsidRDefault="000F0101" w:rsidP="000E0533">
      <w:r>
        <w:continuationSeparator/>
      </w:r>
    </w:p>
    <w:p w14:paraId="55B351DF" w14:textId="77777777" w:rsidR="000F0101" w:rsidRDefault="000F0101"/>
    <w:p w14:paraId="5B58CE66" w14:textId="77777777" w:rsidR="000F0101" w:rsidRDefault="000F0101"/>
    <w:p w14:paraId="78F2F897" w14:textId="77777777" w:rsidR="000F0101" w:rsidRDefault="000F0101"/>
    <w:p w14:paraId="1C37BB62" w14:textId="77777777" w:rsidR="000F0101" w:rsidRDefault="000F0101"/>
  </w:endnote>
  <w:endnote w:type="continuationNotice" w:id="1">
    <w:p w14:paraId="58F27F00" w14:textId="77777777" w:rsidR="000F0101" w:rsidRDefault="000F01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embedRegular r:id="rId1" w:subsetted="1" w:fontKey="{EEF64260-8BAD-47EA-BB2A-76A53F5FAA49}"/>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embedRegular r:id="rId2" w:fontKey="{D6137894-229E-46D3-8E0A-39BE6D5280C9}"/>
    <w:embedBold r:id="rId3" w:fontKey="{A724F5E8-5B52-476F-9D20-407B39CC4652}"/>
    <w:embedItalic r:id="rId4" w:fontKey="{CB61CE41-6034-4FBC-9676-569D8105F9EF}"/>
    <w:embedBoldItalic r:id="rId5" w:fontKey="{EE4831F3-C7F9-4C3A-A9F9-F56266DA9425}"/>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embedRegular r:id="rId6" w:subsetted="1" w:fontKey="{C0DD0398-D557-4F0D-A025-53746C523452}"/>
  </w:font>
  <w:font w:name="Tahoma">
    <w:panose1 w:val="020B0604030504040204"/>
    <w:charset w:val="EE"/>
    <w:family w:val="swiss"/>
    <w:pitch w:val="variable"/>
    <w:sig w:usb0="E1002EFF" w:usb1="C000605B" w:usb2="00000029" w:usb3="00000000" w:csb0="000101FF" w:csb1="00000000"/>
  </w:font>
  <w:font w:name="Bahnschrift SemiBold Condensed">
    <w:panose1 w:val="020B0502040204020203"/>
    <w:charset w:val="EE"/>
    <w:family w:val="swiss"/>
    <w:pitch w:val="variable"/>
    <w:sig w:usb0="A00002C7" w:usb1="00000002" w:usb2="00000000" w:usb3="00000000" w:csb0="0000019F" w:csb1="00000000"/>
  </w:font>
  <w:font w:name="Consolas">
    <w:panose1 w:val="020B0609020204030204"/>
    <w:charset w:val="EE"/>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20"/>
      <w:gridCol w:w="3020"/>
      <w:gridCol w:w="3020"/>
    </w:tblGrid>
    <w:tr w:rsidR="00422879" w14:paraId="21BCE05B" w14:textId="77777777" w:rsidTr="7D481D26">
      <w:trPr>
        <w:trHeight w:val="300"/>
      </w:trPr>
      <w:tc>
        <w:tcPr>
          <w:tcW w:w="3020" w:type="dxa"/>
        </w:tcPr>
        <w:p w14:paraId="436DC7BA" w14:textId="3B017DBA" w:rsidR="00422879" w:rsidRDefault="00422879" w:rsidP="7D481D26">
          <w:pPr>
            <w:pStyle w:val="Zaglavlje"/>
            <w:ind w:left="-115"/>
            <w:jc w:val="left"/>
          </w:pPr>
        </w:p>
      </w:tc>
      <w:tc>
        <w:tcPr>
          <w:tcW w:w="3020" w:type="dxa"/>
        </w:tcPr>
        <w:p w14:paraId="5D83478E" w14:textId="2F987265" w:rsidR="00422879" w:rsidRDefault="00422879" w:rsidP="7D481D26">
          <w:pPr>
            <w:pStyle w:val="Zaglavlje"/>
            <w:jc w:val="center"/>
          </w:pPr>
        </w:p>
      </w:tc>
      <w:tc>
        <w:tcPr>
          <w:tcW w:w="3020" w:type="dxa"/>
        </w:tcPr>
        <w:p w14:paraId="6180BBC2" w14:textId="101BD643" w:rsidR="00422879" w:rsidRDefault="00422879" w:rsidP="7D481D26">
          <w:pPr>
            <w:pStyle w:val="Zaglavlje"/>
            <w:ind w:right="-115"/>
            <w:jc w:val="right"/>
          </w:pPr>
        </w:p>
      </w:tc>
    </w:tr>
  </w:tbl>
  <w:p w14:paraId="3114D3C8" w14:textId="6DB3C48D" w:rsidR="00422879" w:rsidRDefault="00422879" w:rsidP="7D481D26">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9422" w14:textId="77777777" w:rsidR="00422879" w:rsidRPr="00A2633D" w:rsidRDefault="00422879" w:rsidP="00226CFE">
    <w:pPr>
      <w:pBdr>
        <w:top w:val="single" w:sz="4" w:space="1" w:color="D9D9D9"/>
      </w:pBdr>
      <w:jc w:val="center"/>
      <w:rPr>
        <w:b/>
      </w:rPr>
    </w:pPr>
  </w:p>
  <w:p w14:paraId="5985C83F" w14:textId="77777777" w:rsidR="00422879" w:rsidRDefault="004228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16D1" w14:textId="199011AD" w:rsidR="00422879" w:rsidRDefault="00422879" w:rsidP="00440AFC">
    <w:pPr>
      <w:pBdr>
        <w:top w:val="single" w:sz="4" w:space="1" w:color="D9D9D9"/>
      </w:pBdr>
      <w:spacing w:before="120"/>
      <w:jc w:val="center"/>
      <w:rPr>
        <w:rFonts w:cs="Arial"/>
        <w:noProof/>
        <w:sz w:val="20"/>
        <w:szCs w:val="20"/>
      </w:rPr>
    </w:pPr>
    <w:r w:rsidRPr="0060114C">
      <w:rPr>
        <w:rFonts w:cs="Arial"/>
        <w:sz w:val="20"/>
        <w:szCs w:val="20"/>
      </w:rPr>
      <w:fldChar w:fldCharType="begin"/>
    </w:r>
    <w:r w:rsidRPr="0060114C">
      <w:rPr>
        <w:rFonts w:cs="Arial"/>
        <w:sz w:val="20"/>
        <w:szCs w:val="20"/>
      </w:rPr>
      <w:instrText xml:space="preserve"> PAGE   \* MERGEFORMAT </w:instrText>
    </w:r>
    <w:r w:rsidRPr="0060114C">
      <w:rPr>
        <w:rFonts w:cs="Arial"/>
        <w:sz w:val="20"/>
        <w:szCs w:val="20"/>
      </w:rPr>
      <w:fldChar w:fldCharType="separate"/>
    </w:r>
    <w:r w:rsidRPr="0060114C">
      <w:rPr>
        <w:rFonts w:cs="Arial"/>
        <w:noProof/>
        <w:sz w:val="20"/>
        <w:szCs w:val="20"/>
      </w:rPr>
      <w:t>106</w:t>
    </w:r>
    <w:r w:rsidRPr="0060114C">
      <w:rPr>
        <w:rFonts w:cs="Arial"/>
        <w:noProof/>
        <w:sz w:val="20"/>
        <w:szCs w:val="20"/>
      </w:rPr>
      <w:fldChar w:fldCharType="end"/>
    </w:r>
  </w:p>
  <w:p w14:paraId="3AA05384" w14:textId="77777777" w:rsidR="00422879" w:rsidRDefault="004228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A419" w14:textId="77777777" w:rsidR="000F0101" w:rsidRDefault="000F0101" w:rsidP="000E0533">
      <w:r>
        <w:separator/>
      </w:r>
    </w:p>
    <w:p w14:paraId="219918FE" w14:textId="77777777" w:rsidR="000F0101" w:rsidRDefault="000F0101"/>
    <w:p w14:paraId="09609946" w14:textId="77777777" w:rsidR="000F0101" w:rsidRDefault="000F0101"/>
    <w:p w14:paraId="59E4D377" w14:textId="77777777" w:rsidR="000F0101" w:rsidRDefault="000F0101"/>
    <w:p w14:paraId="3A916F8C" w14:textId="77777777" w:rsidR="000F0101" w:rsidRDefault="000F0101"/>
  </w:footnote>
  <w:footnote w:type="continuationSeparator" w:id="0">
    <w:p w14:paraId="256F0DD6" w14:textId="77777777" w:rsidR="000F0101" w:rsidRDefault="000F0101" w:rsidP="000E0533">
      <w:r>
        <w:continuationSeparator/>
      </w:r>
    </w:p>
    <w:p w14:paraId="30727EF8" w14:textId="77777777" w:rsidR="000F0101" w:rsidRDefault="000F0101"/>
    <w:p w14:paraId="337DBAB9" w14:textId="77777777" w:rsidR="000F0101" w:rsidRDefault="000F0101"/>
    <w:p w14:paraId="797121BF" w14:textId="77777777" w:rsidR="000F0101" w:rsidRDefault="000F0101"/>
    <w:p w14:paraId="042894BA" w14:textId="77777777" w:rsidR="000F0101" w:rsidRDefault="000F0101"/>
  </w:footnote>
  <w:footnote w:type="continuationNotice" w:id="1">
    <w:p w14:paraId="22204BA8" w14:textId="77777777" w:rsidR="000F0101" w:rsidRDefault="000F01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20"/>
      <w:gridCol w:w="3020"/>
      <w:gridCol w:w="3020"/>
    </w:tblGrid>
    <w:tr w:rsidR="00422879" w14:paraId="25EDEFA4" w14:textId="77777777" w:rsidTr="7D481D26">
      <w:trPr>
        <w:trHeight w:val="300"/>
      </w:trPr>
      <w:tc>
        <w:tcPr>
          <w:tcW w:w="3020" w:type="dxa"/>
        </w:tcPr>
        <w:p w14:paraId="6E3E732B" w14:textId="74219F57" w:rsidR="00422879" w:rsidRDefault="00422879" w:rsidP="7D481D26">
          <w:pPr>
            <w:pStyle w:val="Zaglavlje"/>
            <w:ind w:left="-115"/>
            <w:jc w:val="left"/>
          </w:pPr>
        </w:p>
      </w:tc>
      <w:tc>
        <w:tcPr>
          <w:tcW w:w="3020" w:type="dxa"/>
        </w:tcPr>
        <w:p w14:paraId="2FEED10D" w14:textId="6A7E6E40" w:rsidR="00422879" w:rsidRDefault="00422879" w:rsidP="7D481D26">
          <w:pPr>
            <w:pStyle w:val="Zaglavlje"/>
            <w:jc w:val="center"/>
          </w:pPr>
        </w:p>
      </w:tc>
      <w:tc>
        <w:tcPr>
          <w:tcW w:w="3020" w:type="dxa"/>
        </w:tcPr>
        <w:p w14:paraId="1A9847A7" w14:textId="107C1B53" w:rsidR="00422879" w:rsidRDefault="00422879" w:rsidP="7D481D26">
          <w:pPr>
            <w:pStyle w:val="Zaglavlje"/>
            <w:ind w:right="-115"/>
            <w:jc w:val="right"/>
          </w:pPr>
        </w:p>
      </w:tc>
    </w:tr>
  </w:tbl>
  <w:p w14:paraId="40AF919E" w14:textId="63F6BFB3" w:rsidR="00422879" w:rsidRDefault="00422879" w:rsidP="7D481D26">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11918" w14:textId="77777777" w:rsidR="00422879" w:rsidRDefault="004228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942"/>
      <w:gridCol w:w="1130"/>
    </w:tblGrid>
    <w:tr w:rsidR="00422879" w:rsidRPr="0060114C" w14:paraId="36DC435F" w14:textId="77777777" w:rsidTr="001061B0">
      <w:trPr>
        <w:trHeight w:val="64"/>
      </w:trPr>
      <w:tc>
        <w:tcPr>
          <w:tcW w:w="7765" w:type="dxa"/>
          <w:vAlign w:val="center"/>
        </w:tcPr>
        <w:p w14:paraId="0B2B7600" w14:textId="77777777" w:rsidR="00422879" w:rsidRPr="0060114C" w:rsidRDefault="00422879" w:rsidP="001061B0">
          <w:pPr>
            <w:spacing w:after="0"/>
            <w:jc w:val="right"/>
            <w:rPr>
              <w:rFonts w:cs="Arial"/>
              <w:sz w:val="18"/>
              <w:szCs w:val="18"/>
            </w:rPr>
          </w:pPr>
          <w:r w:rsidRPr="0060114C">
            <w:rPr>
              <w:rFonts w:cs="Arial"/>
              <w:sz w:val="18"/>
              <w:szCs w:val="18"/>
            </w:rPr>
            <w:t>Izvješće o provedbi Zakona o pravu na pristup informacijama</w:t>
          </w:r>
        </w:p>
      </w:tc>
      <w:tc>
        <w:tcPr>
          <w:tcW w:w="1105" w:type="dxa"/>
          <w:vAlign w:val="center"/>
        </w:tcPr>
        <w:p w14:paraId="1D5A9394" w14:textId="59A08BF0" w:rsidR="00422879" w:rsidRPr="00D65668" w:rsidRDefault="00422879" w:rsidP="001061B0">
          <w:pPr>
            <w:spacing w:after="0"/>
            <w:rPr>
              <w:rFonts w:cs="Arial"/>
              <w:b/>
              <w:bCs/>
              <w:sz w:val="18"/>
              <w:szCs w:val="18"/>
            </w:rPr>
          </w:pPr>
          <w:r w:rsidRPr="0060114C">
            <w:rPr>
              <w:rFonts w:cs="Arial"/>
              <w:b/>
              <w:bCs/>
              <w:sz w:val="18"/>
              <w:szCs w:val="18"/>
            </w:rPr>
            <w:t>202</w:t>
          </w:r>
          <w:r>
            <w:rPr>
              <w:rFonts w:cs="Arial"/>
              <w:b/>
              <w:bCs/>
              <w:sz w:val="18"/>
              <w:szCs w:val="18"/>
            </w:rPr>
            <w:t>5</w:t>
          </w:r>
          <w:r w:rsidRPr="0060114C">
            <w:rPr>
              <w:rFonts w:cs="Arial"/>
              <w:b/>
              <w:bCs/>
              <w:sz w:val="18"/>
              <w:szCs w:val="18"/>
            </w:rPr>
            <w:t>.</w:t>
          </w:r>
        </w:p>
      </w:tc>
    </w:tr>
  </w:tbl>
  <w:p w14:paraId="4E1A7308" w14:textId="77777777" w:rsidR="00422879" w:rsidRDefault="004228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6E51"/>
    <w:multiLevelType w:val="hybridMultilevel"/>
    <w:tmpl w:val="D528EF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6311001"/>
    <w:multiLevelType w:val="hybridMultilevel"/>
    <w:tmpl w:val="4790B02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C0A68FC"/>
    <w:multiLevelType w:val="hybridMultilevel"/>
    <w:tmpl w:val="8EFCF2D6"/>
    <w:lvl w:ilvl="0" w:tplc="041A0001">
      <w:start w:val="1"/>
      <w:numFmt w:val="bullet"/>
      <w:lvlText w:val=""/>
      <w:lvlJc w:val="left"/>
      <w:pPr>
        <w:ind w:left="1146" w:hanging="360"/>
      </w:pPr>
      <w:rPr>
        <w:rFonts w:ascii="Symbol" w:hAnsi="Symbol" w:hint="default"/>
      </w:rPr>
    </w:lvl>
    <w:lvl w:ilvl="1" w:tplc="87BE24EC">
      <w:start w:val="8"/>
      <w:numFmt w:val="bullet"/>
      <w:lvlText w:val="•"/>
      <w:lvlJc w:val="left"/>
      <w:pPr>
        <w:ind w:left="1866" w:hanging="360"/>
      </w:pPr>
      <w:rPr>
        <w:rFonts w:ascii="Gill Sans MT" w:eastAsia="Times New Roman" w:hAnsi="Gill Sans MT" w:cs="Calibri" w:hint="default"/>
        <w:color w:val="000000"/>
      </w:rPr>
    </w:lvl>
    <w:lvl w:ilvl="2" w:tplc="0C5474DE">
      <w:start w:val="1"/>
      <w:numFmt w:val="decimal"/>
      <w:lvlText w:val="%3."/>
      <w:lvlJc w:val="left"/>
      <w:pPr>
        <w:ind w:left="2766" w:hanging="360"/>
      </w:pPr>
      <w:rPr>
        <w:rFonts w:hint="default"/>
      </w:r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3" w15:restartNumberingAfterBreak="0">
    <w:nsid w:val="1FF2515E"/>
    <w:multiLevelType w:val="hybridMultilevel"/>
    <w:tmpl w:val="B4D607E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3A820FE"/>
    <w:multiLevelType w:val="hybridMultilevel"/>
    <w:tmpl w:val="BA8074A0"/>
    <w:lvl w:ilvl="0" w:tplc="041A0017">
      <w:start w:val="1"/>
      <w:numFmt w:val="lowerLetter"/>
      <w:lvlText w:val="%1)"/>
      <w:lvlJc w:val="left"/>
      <w:pPr>
        <w:ind w:left="720" w:hanging="360"/>
      </w:pPr>
      <w:rPr>
        <w:rFonts w:hint="default"/>
      </w:rPr>
    </w:lvl>
    <w:lvl w:ilvl="1" w:tplc="8D3A5D8E">
      <w:start w:val="1"/>
      <w:numFmt w:val="upperLetter"/>
      <w:lvlText w:val="%2)"/>
      <w:lvlJc w:val="left"/>
      <w:pPr>
        <w:ind w:left="1788" w:hanging="708"/>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DAA1E27"/>
    <w:multiLevelType w:val="hybridMultilevel"/>
    <w:tmpl w:val="09D481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F894B46"/>
    <w:multiLevelType w:val="hybridMultilevel"/>
    <w:tmpl w:val="98F8CF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1263B6A"/>
    <w:multiLevelType w:val="hybridMultilevel"/>
    <w:tmpl w:val="1BECA2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6093351"/>
    <w:multiLevelType w:val="hybridMultilevel"/>
    <w:tmpl w:val="59EE596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 w15:restartNumberingAfterBreak="0">
    <w:nsid w:val="4035612E"/>
    <w:multiLevelType w:val="hybridMultilevel"/>
    <w:tmpl w:val="F7CCF0C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4C2C0ABB"/>
    <w:multiLevelType w:val="hybridMultilevel"/>
    <w:tmpl w:val="B5B090E0"/>
    <w:lvl w:ilvl="0" w:tplc="28D61452">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3D16AC3"/>
    <w:multiLevelType w:val="hybridMultilevel"/>
    <w:tmpl w:val="306C25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792C5FE8"/>
    <w:multiLevelType w:val="multilevel"/>
    <w:tmpl w:val="A134C0CA"/>
    <w:lvl w:ilvl="0">
      <w:start w:val="1"/>
      <w:numFmt w:val="decimal"/>
      <w:pStyle w:val="Naslov1"/>
      <w:lvlText w:val="%1."/>
      <w:lvlJc w:val="left"/>
      <w:pPr>
        <w:ind w:left="1022" w:hanging="454"/>
      </w:pPr>
      <w:rPr>
        <w:rFonts w:ascii="Arial" w:hAnsi="Arial" w:cs="Arial"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1">
      <w:start w:val="1"/>
      <w:numFmt w:val="decimal"/>
      <w:pStyle w:val="Naslov2"/>
      <w:lvlText w:val="%1.%2."/>
      <w:lvlJc w:val="left"/>
      <w:pPr>
        <w:ind w:left="623" w:hanging="623"/>
      </w:pPr>
      <w:rPr>
        <w:rFonts w:ascii="Arial" w:hAnsi="Arial" w:cs="Arial" w:hint="default"/>
        <w:b/>
        <w:i w:val="0"/>
        <w:color w:val="000000" w:themeColor="text1"/>
        <w:sz w:val="23"/>
      </w:rPr>
    </w:lvl>
    <w:lvl w:ilvl="2">
      <w:start w:val="1"/>
      <w:numFmt w:val="decimal"/>
      <w:pStyle w:val="Naslov3"/>
      <w:lvlText w:val="%1.%2.%3."/>
      <w:lvlJc w:val="left"/>
      <w:pPr>
        <w:ind w:left="3771" w:hanging="794"/>
      </w:pPr>
      <w:rPr>
        <w:rFonts w:hint="default"/>
      </w:rPr>
    </w:lvl>
    <w:lvl w:ilvl="3">
      <w:start w:val="1"/>
      <w:numFmt w:val="decimal"/>
      <w:pStyle w:val="Naslov4"/>
      <w:lvlText w:val="%1.%2.%3.%4"/>
      <w:lvlJc w:val="left"/>
      <w:pPr>
        <w:ind w:left="1006" w:hanging="864"/>
      </w:pPr>
      <w:rPr>
        <w:rFonts w:hint="default"/>
      </w:rPr>
    </w:lvl>
    <w:lvl w:ilvl="4">
      <w:start w:val="1"/>
      <w:numFmt w:val="decimal"/>
      <w:pStyle w:val="Naslov5"/>
      <w:lvlText w:val="%1.%2.%3.%4.%5"/>
      <w:lvlJc w:val="left"/>
      <w:pPr>
        <w:ind w:left="1150" w:hanging="1008"/>
      </w:pPr>
      <w:rPr>
        <w:rFonts w:hint="default"/>
      </w:rPr>
    </w:lvl>
    <w:lvl w:ilvl="5">
      <w:start w:val="1"/>
      <w:numFmt w:val="decimal"/>
      <w:lvlText w:val="%1.%2.%3.%4.%5.%6"/>
      <w:lvlJc w:val="left"/>
      <w:pPr>
        <w:ind w:left="1294" w:hanging="1152"/>
      </w:pPr>
      <w:rPr>
        <w:rFonts w:hint="default"/>
      </w:rPr>
    </w:lvl>
    <w:lvl w:ilvl="6">
      <w:start w:val="1"/>
      <w:numFmt w:val="decimal"/>
      <w:pStyle w:val="Naslov7"/>
      <w:lvlText w:val="%1.%2.%3.%4.%5.%6.%7"/>
      <w:lvlJc w:val="left"/>
      <w:pPr>
        <w:ind w:left="1438" w:hanging="1296"/>
      </w:pPr>
      <w:rPr>
        <w:rFonts w:hint="default"/>
      </w:rPr>
    </w:lvl>
    <w:lvl w:ilvl="7">
      <w:start w:val="1"/>
      <w:numFmt w:val="decimal"/>
      <w:pStyle w:val="Naslov8"/>
      <w:lvlText w:val="%1.%2.%3.%4.%5.%6.%7.%8"/>
      <w:lvlJc w:val="left"/>
      <w:pPr>
        <w:ind w:left="1582" w:hanging="1440"/>
      </w:pPr>
      <w:rPr>
        <w:rFonts w:hint="default"/>
      </w:rPr>
    </w:lvl>
    <w:lvl w:ilvl="8">
      <w:start w:val="1"/>
      <w:numFmt w:val="decimal"/>
      <w:pStyle w:val="Naslov9"/>
      <w:lvlText w:val="%1.%2.%3.%4.%5.%6.%7.%8.%9"/>
      <w:lvlJc w:val="left"/>
      <w:pPr>
        <w:ind w:left="1726" w:hanging="1584"/>
      </w:pPr>
      <w:rPr>
        <w:rFonts w:hint="default"/>
      </w:rPr>
    </w:lvl>
  </w:abstractNum>
  <w:abstractNum w:abstractNumId="13" w15:restartNumberingAfterBreak="0">
    <w:nsid w:val="7DDE7910"/>
    <w:multiLevelType w:val="hybridMultilevel"/>
    <w:tmpl w:val="177683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E9B4F9F"/>
    <w:multiLevelType w:val="hybridMultilevel"/>
    <w:tmpl w:val="A83C8AEC"/>
    <w:lvl w:ilvl="0" w:tplc="B5D66CD6">
      <w:start w:val="1"/>
      <w:numFmt w:val="decimal"/>
      <w:lvlText w:val="%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num w:numId="1" w16cid:durableId="962928558">
    <w:abstractNumId w:val="12"/>
  </w:num>
  <w:num w:numId="2" w16cid:durableId="1379010968">
    <w:abstractNumId w:val="2"/>
  </w:num>
  <w:num w:numId="3" w16cid:durableId="708147318">
    <w:abstractNumId w:val="4"/>
  </w:num>
  <w:num w:numId="4" w16cid:durableId="1333411545">
    <w:abstractNumId w:val="11"/>
  </w:num>
  <w:num w:numId="5" w16cid:durableId="1283224389">
    <w:abstractNumId w:val="1"/>
  </w:num>
  <w:num w:numId="6" w16cid:durableId="1303920581">
    <w:abstractNumId w:val="8"/>
  </w:num>
  <w:num w:numId="7" w16cid:durableId="668797589">
    <w:abstractNumId w:val="14"/>
  </w:num>
  <w:num w:numId="8" w16cid:durableId="313921196">
    <w:abstractNumId w:val="6"/>
  </w:num>
  <w:num w:numId="9" w16cid:durableId="1964650180">
    <w:abstractNumId w:val="5"/>
  </w:num>
  <w:num w:numId="10" w16cid:durableId="1171749450">
    <w:abstractNumId w:val="9"/>
  </w:num>
  <w:num w:numId="11" w16cid:durableId="1019963791">
    <w:abstractNumId w:val="13"/>
  </w:num>
  <w:num w:numId="12" w16cid:durableId="1029186012">
    <w:abstractNumId w:val="3"/>
  </w:num>
  <w:num w:numId="13" w16cid:durableId="1782996974">
    <w:abstractNumId w:val="0"/>
  </w:num>
  <w:num w:numId="14" w16cid:durableId="2144883223">
    <w:abstractNumId w:val="7"/>
  </w:num>
  <w:num w:numId="15" w16cid:durableId="16646273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TrueTypeFonts/>
  <w:saveSubsetFont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defaultTableStyle w:val="LightShading-Accent11"/>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181"/>
    <w:rsid w:val="0000064E"/>
    <w:rsid w:val="000008F2"/>
    <w:rsid w:val="00001270"/>
    <w:rsid w:val="00001578"/>
    <w:rsid w:val="0000186D"/>
    <w:rsid w:val="0000188C"/>
    <w:rsid w:val="00002BDD"/>
    <w:rsid w:val="00002D2B"/>
    <w:rsid w:val="00002E76"/>
    <w:rsid w:val="00003060"/>
    <w:rsid w:val="00003B26"/>
    <w:rsid w:val="00003E82"/>
    <w:rsid w:val="00004547"/>
    <w:rsid w:val="00004701"/>
    <w:rsid w:val="00004C92"/>
    <w:rsid w:val="00007163"/>
    <w:rsid w:val="0000792A"/>
    <w:rsid w:val="00010571"/>
    <w:rsid w:val="00010642"/>
    <w:rsid w:val="00010BE6"/>
    <w:rsid w:val="00010D5F"/>
    <w:rsid w:val="00011171"/>
    <w:rsid w:val="0001127B"/>
    <w:rsid w:val="00011407"/>
    <w:rsid w:val="000114BF"/>
    <w:rsid w:val="000116F7"/>
    <w:rsid w:val="00011793"/>
    <w:rsid w:val="00011D81"/>
    <w:rsid w:val="00012769"/>
    <w:rsid w:val="0001293C"/>
    <w:rsid w:val="00012967"/>
    <w:rsid w:val="00012D0B"/>
    <w:rsid w:val="0001381F"/>
    <w:rsid w:val="00013C02"/>
    <w:rsid w:val="00014486"/>
    <w:rsid w:val="00014698"/>
    <w:rsid w:val="000146A5"/>
    <w:rsid w:val="00014D3B"/>
    <w:rsid w:val="00015102"/>
    <w:rsid w:val="00015266"/>
    <w:rsid w:val="00015603"/>
    <w:rsid w:val="000158AA"/>
    <w:rsid w:val="00015B03"/>
    <w:rsid w:val="00016650"/>
    <w:rsid w:val="00017290"/>
    <w:rsid w:val="00017480"/>
    <w:rsid w:val="00017A73"/>
    <w:rsid w:val="00017A7C"/>
    <w:rsid w:val="0002026D"/>
    <w:rsid w:val="000204D3"/>
    <w:rsid w:val="00020A3D"/>
    <w:rsid w:val="00020DB2"/>
    <w:rsid w:val="00021486"/>
    <w:rsid w:val="00021548"/>
    <w:rsid w:val="000219B0"/>
    <w:rsid w:val="0002208C"/>
    <w:rsid w:val="000220C9"/>
    <w:rsid w:val="00022D89"/>
    <w:rsid w:val="000240EA"/>
    <w:rsid w:val="0002498B"/>
    <w:rsid w:val="00024B88"/>
    <w:rsid w:val="00024E9C"/>
    <w:rsid w:val="00024FF5"/>
    <w:rsid w:val="00025086"/>
    <w:rsid w:val="0002516D"/>
    <w:rsid w:val="000253BF"/>
    <w:rsid w:val="000258F7"/>
    <w:rsid w:val="00025E90"/>
    <w:rsid w:val="00025F7B"/>
    <w:rsid w:val="000261AB"/>
    <w:rsid w:val="000272E9"/>
    <w:rsid w:val="0002773A"/>
    <w:rsid w:val="00030C0F"/>
    <w:rsid w:val="00031086"/>
    <w:rsid w:val="00031430"/>
    <w:rsid w:val="00032816"/>
    <w:rsid w:val="00032867"/>
    <w:rsid w:val="00032D6C"/>
    <w:rsid w:val="000331BB"/>
    <w:rsid w:val="00033355"/>
    <w:rsid w:val="00033498"/>
    <w:rsid w:val="000339D9"/>
    <w:rsid w:val="00033CAE"/>
    <w:rsid w:val="0003438D"/>
    <w:rsid w:val="00034862"/>
    <w:rsid w:val="000348F4"/>
    <w:rsid w:val="00034951"/>
    <w:rsid w:val="00034BA5"/>
    <w:rsid w:val="00035307"/>
    <w:rsid w:val="00035964"/>
    <w:rsid w:val="00036B5D"/>
    <w:rsid w:val="000372ED"/>
    <w:rsid w:val="00037B0F"/>
    <w:rsid w:val="00037D55"/>
    <w:rsid w:val="00037D89"/>
    <w:rsid w:val="00037F09"/>
    <w:rsid w:val="00040756"/>
    <w:rsid w:val="000408F1"/>
    <w:rsid w:val="00040AA0"/>
    <w:rsid w:val="00040C24"/>
    <w:rsid w:val="00040FA1"/>
    <w:rsid w:val="000410A6"/>
    <w:rsid w:val="00041390"/>
    <w:rsid w:val="000414A2"/>
    <w:rsid w:val="0004185E"/>
    <w:rsid w:val="00042447"/>
    <w:rsid w:val="00042453"/>
    <w:rsid w:val="00043EB1"/>
    <w:rsid w:val="00044396"/>
    <w:rsid w:val="00044760"/>
    <w:rsid w:val="00044ECC"/>
    <w:rsid w:val="00044F4E"/>
    <w:rsid w:val="000454A4"/>
    <w:rsid w:val="00045537"/>
    <w:rsid w:val="0004562A"/>
    <w:rsid w:val="00045CFF"/>
    <w:rsid w:val="00045FD4"/>
    <w:rsid w:val="000463DD"/>
    <w:rsid w:val="000466D9"/>
    <w:rsid w:val="00046A4B"/>
    <w:rsid w:val="00046D0A"/>
    <w:rsid w:val="00046FA3"/>
    <w:rsid w:val="0005017A"/>
    <w:rsid w:val="0005023B"/>
    <w:rsid w:val="00050676"/>
    <w:rsid w:val="00050714"/>
    <w:rsid w:val="00050D69"/>
    <w:rsid w:val="00050E27"/>
    <w:rsid w:val="00050F03"/>
    <w:rsid w:val="0005120C"/>
    <w:rsid w:val="00051446"/>
    <w:rsid w:val="00051880"/>
    <w:rsid w:val="000518EF"/>
    <w:rsid w:val="00051955"/>
    <w:rsid w:val="000526CB"/>
    <w:rsid w:val="00052736"/>
    <w:rsid w:val="00052EB6"/>
    <w:rsid w:val="000531F1"/>
    <w:rsid w:val="00053210"/>
    <w:rsid w:val="0005326D"/>
    <w:rsid w:val="00053CEC"/>
    <w:rsid w:val="000541C4"/>
    <w:rsid w:val="00054360"/>
    <w:rsid w:val="000544F6"/>
    <w:rsid w:val="000545A4"/>
    <w:rsid w:val="00054AB5"/>
    <w:rsid w:val="000551EA"/>
    <w:rsid w:val="000557C4"/>
    <w:rsid w:val="0005588C"/>
    <w:rsid w:val="000560A3"/>
    <w:rsid w:val="00056144"/>
    <w:rsid w:val="000564B6"/>
    <w:rsid w:val="0005653C"/>
    <w:rsid w:val="0005666C"/>
    <w:rsid w:val="0005704E"/>
    <w:rsid w:val="000570C6"/>
    <w:rsid w:val="000570FC"/>
    <w:rsid w:val="00057917"/>
    <w:rsid w:val="00057BA7"/>
    <w:rsid w:val="00057C13"/>
    <w:rsid w:val="0006025B"/>
    <w:rsid w:val="0006031B"/>
    <w:rsid w:val="00060D07"/>
    <w:rsid w:val="0006106D"/>
    <w:rsid w:val="000617A0"/>
    <w:rsid w:val="00061C37"/>
    <w:rsid w:val="0006291E"/>
    <w:rsid w:val="00062EB1"/>
    <w:rsid w:val="00062EE7"/>
    <w:rsid w:val="000632DB"/>
    <w:rsid w:val="00063441"/>
    <w:rsid w:val="000651C0"/>
    <w:rsid w:val="00065296"/>
    <w:rsid w:val="000653A5"/>
    <w:rsid w:val="00065EC8"/>
    <w:rsid w:val="00065FF3"/>
    <w:rsid w:val="000661F8"/>
    <w:rsid w:val="00066B47"/>
    <w:rsid w:val="00066D7D"/>
    <w:rsid w:val="00067291"/>
    <w:rsid w:val="000677CD"/>
    <w:rsid w:val="000703EC"/>
    <w:rsid w:val="0007093E"/>
    <w:rsid w:val="00070CE3"/>
    <w:rsid w:val="00071478"/>
    <w:rsid w:val="00071948"/>
    <w:rsid w:val="00071F34"/>
    <w:rsid w:val="00072037"/>
    <w:rsid w:val="00072283"/>
    <w:rsid w:val="000723EC"/>
    <w:rsid w:val="000724E4"/>
    <w:rsid w:val="000729CD"/>
    <w:rsid w:val="00072C20"/>
    <w:rsid w:val="00072F58"/>
    <w:rsid w:val="000733F3"/>
    <w:rsid w:val="000741E8"/>
    <w:rsid w:val="0007448C"/>
    <w:rsid w:val="000749F0"/>
    <w:rsid w:val="00074F46"/>
    <w:rsid w:val="00075079"/>
    <w:rsid w:val="00075B7C"/>
    <w:rsid w:val="00076787"/>
    <w:rsid w:val="00076D74"/>
    <w:rsid w:val="00076E01"/>
    <w:rsid w:val="0007703E"/>
    <w:rsid w:val="00077270"/>
    <w:rsid w:val="000774FE"/>
    <w:rsid w:val="000801E9"/>
    <w:rsid w:val="000801F6"/>
    <w:rsid w:val="000811FF"/>
    <w:rsid w:val="00081660"/>
    <w:rsid w:val="00081701"/>
    <w:rsid w:val="0008177B"/>
    <w:rsid w:val="00081928"/>
    <w:rsid w:val="00081FDF"/>
    <w:rsid w:val="00082B5B"/>
    <w:rsid w:val="0008327E"/>
    <w:rsid w:val="000835C4"/>
    <w:rsid w:val="00084919"/>
    <w:rsid w:val="00084EDE"/>
    <w:rsid w:val="000855CC"/>
    <w:rsid w:val="00085956"/>
    <w:rsid w:val="00085BD0"/>
    <w:rsid w:val="00085C44"/>
    <w:rsid w:val="00086CB0"/>
    <w:rsid w:val="00086D9F"/>
    <w:rsid w:val="00086DAC"/>
    <w:rsid w:val="0009097A"/>
    <w:rsid w:val="00090E71"/>
    <w:rsid w:val="00090FDF"/>
    <w:rsid w:val="00091F2C"/>
    <w:rsid w:val="00092781"/>
    <w:rsid w:val="00092838"/>
    <w:rsid w:val="00092BAA"/>
    <w:rsid w:val="00092F67"/>
    <w:rsid w:val="00093299"/>
    <w:rsid w:val="00093873"/>
    <w:rsid w:val="0009446A"/>
    <w:rsid w:val="00095099"/>
    <w:rsid w:val="000954EF"/>
    <w:rsid w:val="00095AA0"/>
    <w:rsid w:val="00096312"/>
    <w:rsid w:val="0009649D"/>
    <w:rsid w:val="00096E6E"/>
    <w:rsid w:val="00096F8A"/>
    <w:rsid w:val="0009747E"/>
    <w:rsid w:val="000978DD"/>
    <w:rsid w:val="000A02DD"/>
    <w:rsid w:val="000A03B3"/>
    <w:rsid w:val="000A05EF"/>
    <w:rsid w:val="000A0993"/>
    <w:rsid w:val="000A0B3A"/>
    <w:rsid w:val="000A1461"/>
    <w:rsid w:val="000A24CB"/>
    <w:rsid w:val="000A3010"/>
    <w:rsid w:val="000A30A3"/>
    <w:rsid w:val="000A358A"/>
    <w:rsid w:val="000A3B15"/>
    <w:rsid w:val="000A455D"/>
    <w:rsid w:val="000A4BA5"/>
    <w:rsid w:val="000A4CBF"/>
    <w:rsid w:val="000A4D5E"/>
    <w:rsid w:val="000A5297"/>
    <w:rsid w:val="000A558E"/>
    <w:rsid w:val="000A5858"/>
    <w:rsid w:val="000A5DD6"/>
    <w:rsid w:val="000A6173"/>
    <w:rsid w:val="000A642D"/>
    <w:rsid w:val="000A66B6"/>
    <w:rsid w:val="000A6826"/>
    <w:rsid w:val="000A6887"/>
    <w:rsid w:val="000A6D7B"/>
    <w:rsid w:val="000A6F51"/>
    <w:rsid w:val="000A796A"/>
    <w:rsid w:val="000A7FCF"/>
    <w:rsid w:val="000B0218"/>
    <w:rsid w:val="000B06AE"/>
    <w:rsid w:val="000B0E76"/>
    <w:rsid w:val="000B13DD"/>
    <w:rsid w:val="000B19F4"/>
    <w:rsid w:val="000B1A74"/>
    <w:rsid w:val="000B1E35"/>
    <w:rsid w:val="000B263D"/>
    <w:rsid w:val="000B29A7"/>
    <w:rsid w:val="000B2C6C"/>
    <w:rsid w:val="000B2C8A"/>
    <w:rsid w:val="000B2DDB"/>
    <w:rsid w:val="000B3106"/>
    <w:rsid w:val="000B37A8"/>
    <w:rsid w:val="000B4531"/>
    <w:rsid w:val="000B5E67"/>
    <w:rsid w:val="000B66CD"/>
    <w:rsid w:val="000B6E2F"/>
    <w:rsid w:val="000B70EA"/>
    <w:rsid w:val="000B785D"/>
    <w:rsid w:val="000B79DC"/>
    <w:rsid w:val="000C0A23"/>
    <w:rsid w:val="000C0BDA"/>
    <w:rsid w:val="000C172A"/>
    <w:rsid w:val="000C1BE2"/>
    <w:rsid w:val="000C2A92"/>
    <w:rsid w:val="000C2F9C"/>
    <w:rsid w:val="000C3137"/>
    <w:rsid w:val="000C3494"/>
    <w:rsid w:val="000C3734"/>
    <w:rsid w:val="000C39A7"/>
    <w:rsid w:val="000C4618"/>
    <w:rsid w:val="000C46FA"/>
    <w:rsid w:val="000C4D84"/>
    <w:rsid w:val="000C506D"/>
    <w:rsid w:val="000C5296"/>
    <w:rsid w:val="000C52B7"/>
    <w:rsid w:val="000C5944"/>
    <w:rsid w:val="000C5B55"/>
    <w:rsid w:val="000C5B80"/>
    <w:rsid w:val="000C5DA0"/>
    <w:rsid w:val="000C5EF1"/>
    <w:rsid w:val="000C5F92"/>
    <w:rsid w:val="000C6F48"/>
    <w:rsid w:val="000C6F85"/>
    <w:rsid w:val="000C75E0"/>
    <w:rsid w:val="000D02CB"/>
    <w:rsid w:val="000D0990"/>
    <w:rsid w:val="000D0CBE"/>
    <w:rsid w:val="000D119A"/>
    <w:rsid w:val="000D1A1A"/>
    <w:rsid w:val="000D1EF4"/>
    <w:rsid w:val="000D1F4D"/>
    <w:rsid w:val="000D2516"/>
    <w:rsid w:val="000D2981"/>
    <w:rsid w:val="000D3465"/>
    <w:rsid w:val="000D3956"/>
    <w:rsid w:val="000D3FEE"/>
    <w:rsid w:val="000D471C"/>
    <w:rsid w:val="000D57CC"/>
    <w:rsid w:val="000D5934"/>
    <w:rsid w:val="000D5B6F"/>
    <w:rsid w:val="000D6C5E"/>
    <w:rsid w:val="000D6CBE"/>
    <w:rsid w:val="000D6DAC"/>
    <w:rsid w:val="000D7606"/>
    <w:rsid w:val="000D7610"/>
    <w:rsid w:val="000D7820"/>
    <w:rsid w:val="000D7A0C"/>
    <w:rsid w:val="000D7B39"/>
    <w:rsid w:val="000D7C3E"/>
    <w:rsid w:val="000E0209"/>
    <w:rsid w:val="000E03A1"/>
    <w:rsid w:val="000E0533"/>
    <w:rsid w:val="000E07A7"/>
    <w:rsid w:val="000E0C21"/>
    <w:rsid w:val="000E1119"/>
    <w:rsid w:val="000E126C"/>
    <w:rsid w:val="000E13DF"/>
    <w:rsid w:val="000E14C2"/>
    <w:rsid w:val="000E14F3"/>
    <w:rsid w:val="000E15A5"/>
    <w:rsid w:val="000E18D3"/>
    <w:rsid w:val="000E19F9"/>
    <w:rsid w:val="000E2612"/>
    <w:rsid w:val="000E37A3"/>
    <w:rsid w:val="000E3985"/>
    <w:rsid w:val="000E3C4F"/>
    <w:rsid w:val="000E3E73"/>
    <w:rsid w:val="000E51E3"/>
    <w:rsid w:val="000E521C"/>
    <w:rsid w:val="000E55B5"/>
    <w:rsid w:val="000E59ED"/>
    <w:rsid w:val="000E5B77"/>
    <w:rsid w:val="000E5D53"/>
    <w:rsid w:val="000E6D99"/>
    <w:rsid w:val="000E7028"/>
    <w:rsid w:val="000E773A"/>
    <w:rsid w:val="000E7EC6"/>
    <w:rsid w:val="000F0101"/>
    <w:rsid w:val="000F0946"/>
    <w:rsid w:val="000F0A39"/>
    <w:rsid w:val="000F1367"/>
    <w:rsid w:val="000F1543"/>
    <w:rsid w:val="000F1634"/>
    <w:rsid w:val="000F1D53"/>
    <w:rsid w:val="000F20F7"/>
    <w:rsid w:val="000F21FC"/>
    <w:rsid w:val="000F2235"/>
    <w:rsid w:val="000F24A3"/>
    <w:rsid w:val="000F26AE"/>
    <w:rsid w:val="000F2958"/>
    <w:rsid w:val="000F2E9C"/>
    <w:rsid w:val="000F2FAF"/>
    <w:rsid w:val="000F41E0"/>
    <w:rsid w:val="000F44D6"/>
    <w:rsid w:val="000F472C"/>
    <w:rsid w:val="000F47A3"/>
    <w:rsid w:val="000F5514"/>
    <w:rsid w:val="000F5D2F"/>
    <w:rsid w:val="000F5F29"/>
    <w:rsid w:val="000F5F52"/>
    <w:rsid w:val="000F63D0"/>
    <w:rsid w:val="000F6D53"/>
    <w:rsid w:val="000F6D63"/>
    <w:rsid w:val="000F6DC5"/>
    <w:rsid w:val="000F6F81"/>
    <w:rsid w:val="000F7520"/>
    <w:rsid w:val="000F7B5C"/>
    <w:rsid w:val="00100162"/>
    <w:rsid w:val="001003C0"/>
    <w:rsid w:val="00100A3B"/>
    <w:rsid w:val="00100FBC"/>
    <w:rsid w:val="001017A3"/>
    <w:rsid w:val="00101A95"/>
    <w:rsid w:val="00102C50"/>
    <w:rsid w:val="00102C61"/>
    <w:rsid w:val="00102D61"/>
    <w:rsid w:val="00102E16"/>
    <w:rsid w:val="00103327"/>
    <w:rsid w:val="001034CE"/>
    <w:rsid w:val="00104367"/>
    <w:rsid w:val="0010436E"/>
    <w:rsid w:val="00104DD0"/>
    <w:rsid w:val="0010545C"/>
    <w:rsid w:val="001054EB"/>
    <w:rsid w:val="001061B0"/>
    <w:rsid w:val="001061B5"/>
    <w:rsid w:val="00106596"/>
    <w:rsid w:val="00106752"/>
    <w:rsid w:val="00106818"/>
    <w:rsid w:val="00106E10"/>
    <w:rsid w:val="0010730E"/>
    <w:rsid w:val="00107311"/>
    <w:rsid w:val="00107314"/>
    <w:rsid w:val="0010783B"/>
    <w:rsid w:val="00107D4A"/>
    <w:rsid w:val="00110EA3"/>
    <w:rsid w:val="00111130"/>
    <w:rsid w:val="0011149C"/>
    <w:rsid w:val="001114BA"/>
    <w:rsid w:val="00111A34"/>
    <w:rsid w:val="00111E60"/>
    <w:rsid w:val="00112195"/>
    <w:rsid w:val="00112B5C"/>
    <w:rsid w:val="001132FC"/>
    <w:rsid w:val="0011368D"/>
    <w:rsid w:val="00114281"/>
    <w:rsid w:val="00115565"/>
    <w:rsid w:val="0011598A"/>
    <w:rsid w:val="00115D90"/>
    <w:rsid w:val="001179D0"/>
    <w:rsid w:val="00120118"/>
    <w:rsid w:val="0012072E"/>
    <w:rsid w:val="001209E8"/>
    <w:rsid w:val="00120C0D"/>
    <w:rsid w:val="00120E61"/>
    <w:rsid w:val="0012114E"/>
    <w:rsid w:val="001211B3"/>
    <w:rsid w:val="00121317"/>
    <w:rsid w:val="00121884"/>
    <w:rsid w:val="00121D5C"/>
    <w:rsid w:val="00121FD0"/>
    <w:rsid w:val="0012220A"/>
    <w:rsid w:val="00122795"/>
    <w:rsid w:val="00122ED7"/>
    <w:rsid w:val="0012338A"/>
    <w:rsid w:val="0012378D"/>
    <w:rsid w:val="001237DD"/>
    <w:rsid w:val="00123804"/>
    <w:rsid w:val="0012464E"/>
    <w:rsid w:val="00124949"/>
    <w:rsid w:val="00124B28"/>
    <w:rsid w:val="00124DA2"/>
    <w:rsid w:val="0012509E"/>
    <w:rsid w:val="001253F1"/>
    <w:rsid w:val="001254EC"/>
    <w:rsid w:val="001255CF"/>
    <w:rsid w:val="00126118"/>
    <w:rsid w:val="001262E7"/>
    <w:rsid w:val="0012661A"/>
    <w:rsid w:val="00127251"/>
    <w:rsid w:val="00127887"/>
    <w:rsid w:val="00127C1B"/>
    <w:rsid w:val="00127FEE"/>
    <w:rsid w:val="00130107"/>
    <w:rsid w:val="001303A1"/>
    <w:rsid w:val="00130673"/>
    <w:rsid w:val="00130F9F"/>
    <w:rsid w:val="00131452"/>
    <w:rsid w:val="00131C47"/>
    <w:rsid w:val="00132416"/>
    <w:rsid w:val="001329F5"/>
    <w:rsid w:val="00132B10"/>
    <w:rsid w:val="00132C0E"/>
    <w:rsid w:val="001339F5"/>
    <w:rsid w:val="0013457B"/>
    <w:rsid w:val="0013458E"/>
    <w:rsid w:val="001346CA"/>
    <w:rsid w:val="00134E2D"/>
    <w:rsid w:val="0013515F"/>
    <w:rsid w:val="0013542B"/>
    <w:rsid w:val="0013559A"/>
    <w:rsid w:val="001355EE"/>
    <w:rsid w:val="00135C3F"/>
    <w:rsid w:val="00135D94"/>
    <w:rsid w:val="00135F4F"/>
    <w:rsid w:val="00136F2E"/>
    <w:rsid w:val="00137620"/>
    <w:rsid w:val="00137AA5"/>
    <w:rsid w:val="00137B1C"/>
    <w:rsid w:val="001403CB"/>
    <w:rsid w:val="001405F2"/>
    <w:rsid w:val="00140B8E"/>
    <w:rsid w:val="00141187"/>
    <w:rsid w:val="00141A3C"/>
    <w:rsid w:val="0014228C"/>
    <w:rsid w:val="001427AE"/>
    <w:rsid w:val="00142988"/>
    <w:rsid w:val="00142CF4"/>
    <w:rsid w:val="001430BE"/>
    <w:rsid w:val="00143180"/>
    <w:rsid w:val="00143B61"/>
    <w:rsid w:val="001446A4"/>
    <w:rsid w:val="0014512C"/>
    <w:rsid w:val="00145232"/>
    <w:rsid w:val="0014559D"/>
    <w:rsid w:val="00145D44"/>
    <w:rsid w:val="00145E1D"/>
    <w:rsid w:val="001470FB"/>
    <w:rsid w:val="001473B7"/>
    <w:rsid w:val="001475CB"/>
    <w:rsid w:val="00147A7D"/>
    <w:rsid w:val="00147D0B"/>
    <w:rsid w:val="00147F9B"/>
    <w:rsid w:val="001502AE"/>
    <w:rsid w:val="001502AF"/>
    <w:rsid w:val="001502CA"/>
    <w:rsid w:val="00150509"/>
    <w:rsid w:val="00150D70"/>
    <w:rsid w:val="00151033"/>
    <w:rsid w:val="001514B6"/>
    <w:rsid w:val="001518D4"/>
    <w:rsid w:val="001519C2"/>
    <w:rsid w:val="00151B9F"/>
    <w:rsid w:val="001528CC"/>
    <w:rsid w:val="0015313E"/>
    <w:rsid w:val="0015368D"/>
    <w:rsid w:val="001537FA"/>
    <w:rsid w:val="00153EF5"/>
    <w:rsid w:val="00154AB2"/>
    <w:rsid w:val="00154B15"/>
    <w:rsid w:val="0015550A"/>
    <w:rsid w:val="00155A4F"/>
    <w:rsid w:val="00155D32"/>
    <w:rsid w:val="0015608B"/>
    <w:rsid w:val="001565D3"/>
    <w:rsid w:val="0015693C"/>
    <w:rsid w:val="0015704F"/>
    <w:rsid w:val="0015712F"/>
    <w:rsid w:val="00157350"/>
    <w:rsid w:val="001600FA"/>
    <w:rsid w:val="00160278"/>
    <w:rsid w:val="001606D3"/>
    <w:rsid w:val="001608A9"/>
    <w:rsid w:val="00160FD0"/>
    <w:rsid w:val="00160FF7"/>
    <w:rsid w:val="0016115C"/>
    <w:rsid w:val="00161718"/>
    <w:rsid w:val="0016194B"/>
    <w:rsid w:val="001619AD"/>
    <w:rsid w:val="00161ADE"/>
    <w:rsid w:val="00161DA0"/>
    <w:rsid w:val="001629D2"/>
    <w:rsid w:val="00162BC3"/>
    <w:rsid w:val="00162C89"/>
    <w:rsid w:val="001631B3"/>
    <w:rsid w:val="0016328C"/>
    <w:rsid w:val="001636CE"/>
    <w:rsid w:val="001639D7"/>
    <w:rsid w:val="00164559"/>
    <w:rsid w:val="00164A46"/>
    <w:rsid w:val="00164A57"/>
    <w:rsid w:val="00164EC5"/>
    <w:rsid w:val="0016522F"/>
    <w:rsid w:val="00165286"/>
    <w:rsid w:val="00166D30"/>
    <w:rsid w:val="00166E51"/>
    <w:rsid w:val="001676BC"/>
    <w:rsid w:val="00167758"/>
    <w:rsid w:val="00167E81"/>
    <w:rsid w:val="0017035A"/>
    <w:rsid w:val="00170740"/>
    <w:rsid w:val="00170F72"/>
    <w:rsid w:val="00171E5D"/>
    <w:rsid w:val="0017240B"/>
    <w:rsid w:val="0017267B"/>
    <w:rsid w:val="001737A2"/>
    <w:rsid w:val="00173F48"/>
    <w:rsid w:val="00174091"/>
    <w:rsid w:val="001747A0"/>
    <w:rsid w:val="00174D3F"/>
    <w:rsid w:val="0017544B"/>
    <w:rsid w:val="0017563A"/>
    <w:rsid w:val="001757EC"/>
    <w:rsid w:val="00175D7E"/>
    <w:rsid w:val="0017627F"/>
    <w:rsid w:val="001762EB"/>
    <w:rsid w:val="0017634E"/>
    <w:rsid w:val="0017747E"/>
    <w:rsid w:val="00177A64"/>
    <w:rsid w:val="00180161"/>
    <w:rsid w:val="0018114F"/>
    <w:rsid w:val="0018128D"/>
    <w:rsid w:val="0018131D"/>
    <w:rsid w:val="001813F3"/>
    <w:rsid w:val="00181409"/>
    <w:rsid w:val="00181B0F"/>
    <w:rsid w:val="00181CB3"/>
    <w:rsid w:val="00181EBD"/>
    <w:rsid w:val="00182D6C"/>
    <w:rsid w:val="001833BA"/>
    <w:rsid w:val="00183E2C"/>
    <w:rsid w:val="00183EC7"/>
    <w:rsid w:val="00183F16"/>
    <w:rsid w:val="00183F9D"/>
    <w:rsid w:val="00184C27"/>
    <w:rsid w:val="00184F20"/>
    <w:rsid w:val="001857A0"/>
    <w:rsid w:val="001857D8"/>
    <w:rsid w:val="00185CDB"/>
    <w:rsid w:val="00185E81"/>
    <w:rsid w:val="00185E91"/>
    <w:rsid w:val="001861A6"/>
    <w:rsid w:val="00186668"/>
    <w:rsid w:val="001867DD"/>
    <w:rsid w:val="00186B12"/>
    <w:rsid w:val="00186B48"/>
    <w:rsid w:val="001872A9"/>
    <w:rsid w:val="00187348"/>
    <w:rsid w:val="0018788E"/>
    <w:rsid w:val="001878B4"/>
    <w:rsid w:val="00187ABA"/>
    <w:rsid w:val="00187C2A"/>
    <w:rsid w:val="00187EC4"/>
    <w:rsid w:val="0019051A"/>
    <w:rsid w:val="00190B72"/>
    <w:rsid w:val="00191161"/>
    <w:rsid w:val="001920EE"/>
    <w:rsid w:val="0019282B"/>
    <w:rsid w:val="001928DE"/>
    <w:rsid w:val="00192D71"/>
    <w:rsid w:val="00192DF1"/>
    <w:rsid w:val="00192EC8"/>
    <w:rsid w:val="0019312B"/>
    <w:rsid w:val="00193130"/>
    <w:rsid w:val="001931D3"/>
    <w:rsid w:val="001941A2"/>
    <w:rsid w:val="00194494"/>
    <w:rsid w:val="0019460E"/>
    <w:rsid w:val="00194C1F"/>
    <w:rsid w:val="0019502B"/>
    <w:rsid w:val="00195052"/>
    <w:rsid w:val="001950D7"/>
    <w:rsid w:val="001954AC"/>
    <w:rsid w:val="001961E1"/>
    <w:rsid w:val="001963AA"/>
    <w:rsid w:val="001968E7"/>
    <w:rsid w:val="00196A4C"/>
    <w:rsid w:val="00196E4E"/>
    <w:rsid w:val="001973E8"/>
    <w:rsid w:val="00197A41"/>
    <w:rsid w:val="00197B73"/>
    <w:rsid w:val="00197DA1"/>
    <w:rsid w:val="001A0603"/>
    <w:rsid w:val="001A08BF"/>
    <w:rsid w:val="001A19A9"/>
    <w:rsid w:val="001A1DC0"/>
    <w:rsid w:val="001A2B81"/>
    <w:rsid w:val="001A2FE5"/>
    <w:rsid w:val="001A3074"/>
    <w:rsid w:val="001A355D"/>
    <w:rsid w:val="001A3951"/>
    <w:rsid w:val="001A417A"/>
    <w:rsid w:val="001A42C6"/>
    <w:rsid w:val="001A4406"/>
    <w:rsid w:val="001A479E"/>
    <w:rsid w:val="001A5258"/>
    <w:rsid w:val="001A5E92"/>
    <w:rsid w:val="001A61BC"/>
    <w:rsid w:val="001A6D1D"/>
    <w:rsid w:val="001A6DCF"/>
    <w:rsid w:val="001A6F81"/>
    <w:rsid w:val="001A6FB3"/>
    <w:rsid w:val="001A7904"/>
    <w:rsid w:val="001A7A9C"/>
    <w:rsid w:val="001B038B"/>
    <w:rsid w:val="001B129F"/>
    <w:rsid w:val="001B1CC6"/>
    <w:rsid w:val="001B1D34"/>
    <w:rsid w:val="001B279F"/>
    <w:rsid w:val="001B2DEF"/>
    <w:rsid w:val="001B2EF8"/>
    <w:rsid w:val="001B31D1"/>
    <w:rsid w:val="001B4107"/>
    <w:rsid w:val="001B419D"/>
    <w:rsid w:val="001B429E"/>
    <w:rsid w:val="001B4382"/>
    <w:rsid w:val="001B5992"/>
    <w:rsid w:val="001B6083"/>
    <w:rsid w:val="001B67E6"/>
    <w:rsid w:val="001B6C25"/>
    <w:rsid w:val="001B6C74"/>
    <w:rsid w:val="001B7714"/>
    <w:rsid w:val="001B7F8F"/>
    <w:rsid w:val="001C06CF"/>
    <w:rsid w:val="001C0A72"/>
    <w:rsid w:val="001C11BB"/>
    <w:rsid w:val="001C164B"/>
    <w:rsid w:val="001C1A4B"/>
    <w:rsid w:val="001C25BF"/>
    <w:rsid w:val="001C284F"/>
    <w:rsid w:val="001C2997"/>
    <w:rsid w:val="001C2E2F"/>
    <w:rsid w:val="001C30F3"/>
    <w:rsid w:val="001C4409"/>
    <w:rsid w:val="001C46E8"/>
    <w:rsid w:val="001C4875"/>
    <w:rsid w:val="001C4F24"/>
    <w:rsid w:val="001C5222"/>
    <w:rsid w:val="001C5385"/>
    <w:rsid w:val="001C54CA"/>
    <w:rsid w:val="001C6078"/>
    <w:rsid w:val="001C6256"/>
    <w:rsid w:val="001C6B76"/>
    <w:rsid w:val="001C6F2A"/>
    <w:rsid w:val="001C7054"/>
    <w:rsid w:val="001D0408"/>
    <w:rsid w:val="001D05BE"/>
    <w:rsid w:val="001D06B9"/>
    <w:rsid w:val="001D072E"/>
    <w:rsid w:val="001D090B"/>
    <w:rsid w:val="001D0CB1"/>
    <w:rsid w:val="001D1C1F"/>
    <w:rsid w:val="001D1DD3"/>
    <w:rsid w:val="001D2384"/>
    <w:rsid w:val="001D3789"/>
    <w:rsid w:val="001D3797"/>
    <w:rsid w:val="001D40DA"/>
    <w:rsid w:val="001D4315"/>
    <w:rsid w:val="001D4AA2"/>
    <w:rsid w:val="001D5AEC"/>
    <w:rsid w:val="001D6475"/>
    <w:rsid w:val="001D70C1"/>
    <w:rsid w:val="001D750B"/>
    <w:rsid w:val="001D77FC"/>
    <w:rsid w:val="001D7873"/>
    <w:rsid w:val="001D7BBF"/>
    <w:rsid w:val="001E0441"/>
    <w:rsid w:val="001E05D6"/>
    <w:rsid w:val="001E07EB"/>
    <w:rsid w:val="001E0EC8"/>
    <w:rsid w:val="001E1317"/>
    <w:rsid w:val="001E13D1"/>
    <w:rsid w:val="001E1C06"/>
    <w:rsid w:val="001E1C87"/>
    <w:rsid w:val="001E1E2B"/>
    <w:rsid w:val="001E1F58"/>
    <w:rsid w:val="001E366D"/>
    <w:rsid w:val="001E3E1E"/>
    <w:rsid w:val="001E4051"/>
    <w:rsid w:val="001E41E5"/>
    <w:rsid w:val="001E4DA0"/>
    <w:rsid w:val="001E4E98"/>
    <w:rsid w:val="001E4E9A"/>
    <w:rsid w:val="001E50EB"/>
    <w:rsid w:val="001E5265"/>
    <w:rsid w:val="001E578D"/>
    <w:rsid w:val="001E5D25"/>
    <w:rsid w:val="001E6037"/>
    <w:rsid w:val="001E60E4"/>
    <w:rsid w:val="001E6A99"/>
    <w:rsid w:val="001E6B6D"/>
    <w:rsid w:val="001E6F02"/>
    <w:rsid w:val="001E71F9"/>
    <w:rsid w:val="001E7426"/>
    <w:rsid w:val="001E7842"/>
    <w:rsid w:val="001F01E9"/>
    <w:rsid w:val="001F0861"/>
    <w:rsid w:val="001F09E0"/>
    <w:rsid w:val="001F0F8F"/>
    <w:rsid w:val="001F12CD"/>
    <w:rsid w:val="001F1588"/>
    <w:rsid w:val="001F17D3"/>
    <w:rsid w:val="001F2475"/>
    <w:rsid w:val="001F2630"/>
    <w:rsid w:val="001F26D9"/>
    <w:rsid w:val="001F2A46"/>
    <w:rsid w:val="001F3414"/>
    <w:rsid w:val="001F3C1D"/>
    <w:rsid w:val="001F404D"/>
    <w:rsid w:val="001F40AE"/>
    <w:rsid w:val="001F4470"/>
    <w:rsid w:val="001F5010"/>
    <w:rsid w:val="001F5C30"/>
    <w:rsid w:val="001F61A5"/>
    <w:rsid w:val="001F6484"/>
    <w:rsid w:val="001F6519"/>
    <w:rsid w:val="001F6627"/>
    <w:rsid w:val="001F67E8"/>
    <w:rsid w:val="001F7662"/>
    <w:rsid w:val="00200794"/>
    <w:rsid w:val="00200A16"/>
    <w:rsid w:val="00200A57"/>
    <w:rsid w:val="00200B40"/>
    <w:rsid w:val="00201A4A"/>
    <w:rsid w:val="00201E26"/>
    <w:rsid w:val="00202011"/>
    <w:rsid w:val="00202BE6"/>
    <w:rsid w:val="0020398C"/>
    <w:rsid w:val="00203CF2"/>
    <w:rsid w:val="00203FBA"/>
    <w:rsid w:val="0020405C"/>
    <w:rsid w:val="00204326"/>
    <w:rsid w:val="002049CF"/>
    <w:rsid w:val="00204EE9"/>
    <w:rsid w:val="002054D0"/>
    <w:rsid w:val="00205B8E"/>
    <w:rsid w:val="002061FF"/>
    <w:rsid w:val="002064FF"/>
    <w:rsid w:val="002065E5"/>
    <w:rsid w:val="00206603"/>
    <w:rsid w:val="00206B13"/>
    <w:rsid w:val="00206CE6"/>
    <w:rsid w:val="00206E36"/>
    <w:rsid w:val="002072BF"/>
    <w:rsid w:val="00207597"/>
    <w:rsid w:val="00207D89"/>
    <w:rsid w:val="002108DC"/>
    <w:rsid w:val="00210AA0"/>
    <w:rsid w:val="00210C3C"/>
    <w:rsid w:val="00211309"/>
    <w:rsid w:val="002116CB"/>
    <w:rsid w:val="0021190A"/>
    <w:rsid w:val="00211A0E"/>
    <w:rsid w:val="00211C92"/>
    <w:rsid w:val="0021275D"/>
    <w:rsid w:val="00213335"/>
    <w:rsid w:val="00213CCB"/>
    <w:rsid w:val="002141D3"/>
    <w:rsid w:val="0021475D"/>
    <w:rsid w:val="002149F5"/>
    <w:rsid w:val="00214C9F"/>
    <w:rsid w:val="00214D2F"/>
    <w:rsid w:val="002151DD"/>
    <w:rsid w:val="0021522D"/>
    <w:rsid w:val="00215325"/>
    <w:rsid w:val="0021537D"/>
    <w:rsid w:val="002156E5"/>
    <w:rsid w:val="00215983"/>
    <w:rsid w:val="002159C7"/>
    <w:rsid w:val="00216087"/>
    <w:rsid w:val="00216541"/>
    <w:rsid w:val="00216622"/>
    <w:rsid w:val="0021670C"/>
    <w:rsid w:val="00216B28"/>
    <w:rsid w:val="00216C5F"/>
    <w:rsid w:val="002171BA"/>
    <w:rsid w:val="002171EA"/>
    <w:rsid w:val="0021720C"/>
    <w:rsid w:val="002176C9"/>
    <w:rsid w:val="002178F4"/>
    <w:rsid w:val="00217AC5"/>
    <w:rsid w:val="00217E30"/>
    <w:rsid w:val="00217FEC"/>
    <w:rsid w:val="002202D7"/>
    <w:rsid w:val="00220493"/>
    <w:rsid w:val="0022069F"/>
    <w:rsid w:val="002209C4"/>
    <w:rsid w:val="00220A91"/>
    <w:rsid w:val="00220F0E"/>
    <w:rsid w:val="00221B16"/>
    <w:rsid w:val="00221D36"/>
    <w:rsid w:val="002224E1"/>
    <w:rsid w:val="00223080"/>
    <w:rsid w:val="00223478"/>
    <w:rsid w:val="00223958"/>
    <w:rsid w:val="0022444B"/>
    <w:rsid w:val="0022447C"/>
    <w:rsid w:val="00224B47"/>
    <w:rsid w:val="002254E8"/>
    <w:rsid w:val="00225667"/>
    <w:rsid w:val="002258C3"/>
    <w:rsid w:val="00225E3F"/>
    <w:rsid w:val="00225E5D"/>
    <w:rsid w:val="00226CFE"/>
    <w:rsid w:val="00226E9D"/>
    <w:rsid w:val="00226EB9"/>
    <w:rsid w:val="00227B4F"/>
    <w:rsid w:val="00227DA9"/>
    <w:rsid w:val="00230291"/>
    <w:rsid w:val="0023040A"/>
    <w:rsid w:val="0023088D"/>
    <w:rsid w:val="00230D88"/>
    <w:rsid w:val="00232772"/>
    <w:rsid w:val="00232C42"/>
    <w:rsid w:val="00232D8C"/>
    <w:rsid w:val="00232F85"/>
    <w:rsid w:val="00233016"/>
    <w:rsid w:val="002332C0"/>
    <w:rsid w:val="00233A1C"/>
    <w:rsid w:val="00234048"/>
    <w:rsid w:val="00234794"/>
    <w:rsid w:val="00234CD7"/>
    <w:rsid w:val="00234DC1"/>
    <w:rsid w:val="00234DF2"/>
    <w:rsid w:val="00234E00"/>
    <w:rsid w:val="00235F6A"/>
    <w:rsid w:val="00236077"/>
    <w:rsid w:val="002361F0"/>
    <w:rsid w:val="0023644D"/>
    <w:rsid w:val="00236474"/>
    <w:rsid w:val="00236E32"/>
    <w:rsid w:val="00237140"/>
    <w:rsid w:val="00237361"/>
    <w:rsid w:val="00237669"/>
    <w:rsid w:val="00237D74"/>
    <w:rsid w:val="00237E89"/>
    <w:rsid w:val="00240401"/>
    <w:rsid w:val="00240484"/>
    <w:rsid w:val="00240533"/>
    <w:rsid w:val="002408A4"/>
    <w:rsid w:val="0024097A"/>
    <w:rsid w:val="00240A7D"/>
    <w:rsid w:val="00240C47"/>
    <w:rsid w:val="002418B3"/>
    <w:rsid w:val="00241E9C"/>
    <w:rsid w:val="002421A1"/>
    <w:rsid w:val="00242539"/>
    <w:rsid w:val="0024317B"/>
    <w:rsid w:val="00243820"/>
    <w:rsid w:val="0024405F"/>
    <w:rsid w:val="00244408"/>
    <w:rsid w:val="00245217"/>
    <w:rsid w:val="00245F8D"/>
    <w:rsid w:val="002462CA"/>
    <w:rsid w:val="002467E0"/>
    <w:rsid w:val="00246A0D"/>
    <w:rsid w:val="00246AF0"/>
    <w:rsid w:val="00247238"/>
    <w:rsid w:val="0024726C"/>
    <w:rsid w:val="002472C6"/>
    <w:rsid w:val="00247B05"/>
    <w:rsid w:val="00250039"/>
    <w:rsid w:val="0025153C"/>
    <w:rsid w:val="0025154C"/>
    <w:rsid w:val="002515F5"/>
    <w:rsid w:val="002517E7"/>
    <w:rsid w:val="00251878"/>
    <w:rsid w:val="00251FAA"/>
    <w:rsid w:val="0025235E"/>
    <w:rsid w:val="002528AF"/>
    <w:rsid w:val="00253006"/>
    <w:rsid w:val="00253EAB"/>
    <w:rsid w:val="002540EA"/>
    <w:rsid w:val="00254AA0"/>
    <w:rsid w:val="00254F31"/>
    <w:rsid w:val="00254F95"/>
    <w:rsid w:val="00255125"/>
    <w:rsid w:val="0025585E"/>
    <w:rsid w:val="002558BA"/>
    <w:rsid w:val="00255941"/>
    <w:rsid w:val="002559BF"/>
    <w:rsid w:val="00255F39"/>
    <w:rsid w:val="00256457"/>
    <w:rsid w:val="00256613"/>
    <w:rsid w:val="002573DF"/>
    <w:rsid w:val="00260304"/>
    <w:rsid w:val="002604B7"/>
    <w:rsid w:val="00260C22"/>
    <w:rsid w:val="00260DCC"/>
    <w:rsid w:val="00261345"/>
    <w:rsid w:val="002613E1"/>
    <w:rsid w:val="00261748"/>
    <w:rsid w:val="00261850"/>
    <w:rsid w:val="00261863"/>
    <w:rsid w:val="00261B88"/>
    <w:rsid w:val="00261C5A"/>
    <w:rsid w:val="002626C9"/>
    <w:rsid w:val="00262992"/>
    <w:rsid w:val="00262A32"/>
    <w:rsid w:val="0026306E"/>
    <w:rsid w:val="002637F4"/>
    <w:rsid w:val="00263AC6"/>
    <w:rsid w:val="0026444E"/>
    <w:rsid w:val="00264591"/>
    <w:rsid w:val="00264D5C"/>
    <w:rsid w:val="00265733"/>
    <w:rsid w:val="0026594A"/>
    <w:rsid w:val="00265C40"/>
    <w:rsid w:val="0026639F"/>
    <w:rsid w:val="002665DE"/>
    <w:rsid w:val="0026673C"/>
    <w:rsid w:val="00266DA1"/>
    <w:rsid w:val="00267046"/>
    <w:rsid w:val="00267AC7"/>
    <w:rsid w:val="00270113"/>
    <w:rsid w:val="0027038E"/>
    <w:rsid w:val="00270563"/>
    <w:rsid w:val="00270604"/>
    <w:rsid w:val="00270E46"/>
    <w:rsid w:val="0027295B"/>
    <w:rsid w:val="00272C23"/>
    <w:rsid w:val="00272E13"/>
    <w:rsid w:val="0027328B"/>
    <w:rsid w:val="002733B6"/>
    <w:rsid w:val="00273409"/>
    <w:rsid w:val="002737FA"/>
    <w:rsid w:val="00274364"/>
    <w:rsid w:val="002749D6"/>
    <w:rsid w:val="00274B8D"/>
    <w:rsid w:val="00274DD5"/>
    <w:rsid w:val="00274E05"/>
    <w:rsid w:val="00274E20"/>
    <w:rsid w:val="00274FB9"/>
    <w:rsid w:val="0027504F"/>
    <w:rsid w:val="00275604"/>
    <w:rsid w:val="00275956"/>
    <w:rsid w:val="00275D49"/>
    <w:rsid w:val="00275D6B"/>
    <w:rsid w:val="00276536"/>
    <w:rsid w:val="0027658A"/>
    <w:rsid w:val="00276643"/>
    <w:rsid w:val="0027683A"/>
    <w:rsid w:val="00276B2A"/>
    <w:rsid w:val="00276C0B"/>
    <w:rsid w:val="002774D0"/>
    <w:rsid w:val="00280982"/>
    <w:rsid w:val="002815B9"/>
    <w:rsid w:val="002819FF"/>
    <w:rsid w:val="00281BD2"/>
    <w:rsid w:val="0028240D"/>
    <w:rsid w:val="00282AA6"/>
    <w:rsid w:val="00283236"/>
    <w:rsid w:val="00283554"/>
    <w:rsid w:val="002835DF"/>
    <w:rsid w:val="00283839"/>
    <w:rsid w:val="00284B56"/>
    <w:rsid w:val="002851EB"/>
    <w:rsid w:val="00285367"/>
    <w:rsid w:val="002856BA"/>
    <w:rsid w:val="002857FC"/>
    <w:rsid w:val="002858CE"/>
    <w:rsid w:val="00285B49"/>
    <w:rsid w:val="002869AC"/>
    <w:rsid w:val="00286A95"/>
    <w:rsid w:val="00286D14"/>
    <w:rsid w:val="00287703"/>
    <w:rsid w:val="0028795F"/>
    <w:rsid w:val="00290191"/>
    <w:rsid w:val="0029043E"/>
    <w:rsid w:val="002907D1"/>
    <w:rsid w:val="00290877"/>
    <w:rsid w:val="002913CD"/>
    <w:rsid w:val="00292EA8"/>
    <w:rsid w:val="00292ED6"/>
    <w:rsid w:val="00293B20"/>
    <w:rsid w:val="002947A3"/>
    <w:rsid w:val="00294911"/>
    <w:rsid w:val="002949CB"/>
    <w:rsid w:val="00294B06"/>
    <w:rsid w:val="00294ED6"/>
    <w:rsid w:val="00296064"/>
    <w:rsid w:val="00296493"/>
    <w:rsid w:val="00296B70"/>
    <w:rsid w:val="00297164"/>
    <w:rsid w:val="0029719F"/>
    <w:rsid w:val="002978CE"/>
    <w:rsid w:val="00297AD6"/>
    <w:rsid w:val="00297DE5"/>
    <w:rsid w:val="00297F4B"/>
    <w:rsid w:val="002A014A"/>
    <w:rsid w:val="002A018A"/>
    <w:rsid w:val="002A055B"/>
    <w:rsid w:val="002A0A1A"/>
    <w:rsid w:val="002A12F9"/>
    <w:rsid w:val="002A193E"/>
    <w:rsid w:val="002A1D38"/>
    <w:rsid w:val="002A209B"/>
    <w:rsid w:val="002A230F"/>
    <w:rsid w:val="002A2C5B"/>
    <w:rsid w:val="002A2F9A"/>
    <w:rsid w:val="002A3166"/>
    <w:rsid w:val="002A31AB"/>
    <w:rsid w:val="002A3270"/>
    <w:rsid w:val="002A3498"/>
    <w:rsid w:val="002A38AA"/>
    <w:rsid w:val="002A3954"/>
    <w:rsid w:val="002A4955"/>
    <w:rsid w:val="002A5829"/>
    <w:rsid w:val="002A5A69"/>
    <w:rsid w:val="002A6282"/>
    <w:rsid w:val="002A65C7"/>
    <w:rsid w:val="002A6702"/>
    <w:rsid w:val="002A6BDF"/>
    <w:rsid w:val="002A714A"/>
    <w:rsid w:val="002A7594"/>
    <w:rsid w:val="002B06C1"/>
    <w:rsid w:val="002B06F0"/>
    <w:rsid w:val="002B07AC"/>
    <w:rsid w:val="002B0855"/>
    <w:rsid w:val="002B0A60"/>
    <w:rsid w:val="002B1327"/>
    <w:rsid w:val="002B151C"/>
    <w:rsid w:val="002B1857"/>
    <w:rsid w:val="002B1951"/>
    <w:rsid w:val="002B199F"/>
    <w:rsid w:val="002B1B35"/>
    <w:rsid w:val="002B285D"/>
    <w:rsid w:val="002B2C67"/>
    <w:rsid w:val="002B382B"/>
    <w:rsid w:val="002B3E73"/>
    <w:rsid w:val="002B44B5"/>
    <w:rsid w:val="002B4B19"/>
    <w:rsid w:val="002B534C"/>
    <w:rsid w:val="002B582B"/>
    <w:rsid w:val="002B5A16"/>
    <w:rsid w:val="002B6213"/>
    <w:rsid w:val="002B6467"/>
    <w:rsid w:val="002B64E6"/>
    <w:rsid w:val="002B6548"/>
    <w:rsid w:val="002B6945"/>
    <w:rsid w:val="002B696E"/>
    <w:rsid w:val="002B757E"/>
    <w:rsid w:val="002B76A2"/>
    <w:rsid w:val="002B77ED"/>
    <w:rsid w:val="002B78B6"/>
    <w:rsid w:val="002B798C"/>
    <w:rsid w:val="002B7D33"/>
    <w:rsid w:val="002C0810"/>
    <w:rsid w:val="002C0829"/>
    <w:rsid w:val="002C0A55"/>
    <w:rsid w:val="002C111A"/>
    <w:rsid w:val="002C1487"/>
    <w:rsid w:val="002C24AC"/>
    <w:rsid w:val="002C2BCC"/>
    <w:rsid w:val="002C32F3"/>
    <w:rsid w:val="002C3812"/>
    <w:rsid w:val="002C3A73"/>
    <w:rsid w:val="002C4261"/>
    <w:rsid w:val="002C4354"/>
    <w:rsid w:val="002C45BD"/>
    <w:rsid w:val="002C484B"/>
    <w:rsid w:val="002C4FEB"/>
    <w:rsid w:val="002C4FFF"/>
    <w:rsid w:val="002C5F99"/>
    <w:rsid w:val="002C66F3"/>
    <w:rsid w:val="002C6E55"/>
    <w:rsid w:val="002C72C0"/>
    <w:rsid w:val="002C7C11"/>
    <w:rsid w:val="002C7CF4"/>
    <w:rsid w:val="002C7D5C"/>
    <w:rsid w:val="002C7DE4"/>
    <w:rsid w:val="002C7ECC"/>
    <w:rsid w:val="002D0464"/>
    <w:rsid w:val="002D0877"/>
    <w:rsid w:val="002D0AE9"/>
    <w:rsid w:val="002D15F7"/>
    <w:rsid w:val="002D1CB2"/>
    <w:rsid w:val="002D1D14"/>
    <w:rsid w:val="002D1E9A"/>
    <w:rsid w:val="002D2108"/>
    <w:rsid w:val="002D22F9"/>
    <w:rsid w:val="002D24BB"/>
    <w:rsid w:val="002D356A"/>
    <w:rsid w:val="002D3E29"/>
    <w:rsid w:val="002D4895"/>
    <w:rsid w:val="002D514E"/>
    <w:rsid w:val="002D535F"/>
    <w:rsid w:val="002D5902"/>
    <w:rsid w:val="002D5ACF"/>
    <w:rsid w:val="002D6B0F"/>
    <w:rsid w:val="002D6DFD"/>
    <w:rsid w:val="002D78E7"/>
    <w:rsid w:val="002E0268"/>
    <w:rsid w:val="002E051C"/>
    <w:rsid w:val="002E073C"/>
    <w:rsid w:val="002E08EC"/>
    <w:rsid w:val="002E2DC3"/>
    <w:rsid w:val="002E30B5"/>
    <w:rsid w:val="002E334A"/>
    <w:rsid w:val="002E35B5"/>
    <w:rsid w:val="002E39E1"/>
    <w:rsid w:val="002E3BD0"/>
    <w:rsid w:val="002E3C6D"/>
    <w:rsid w:val="002E4B07"/>
    <w:rsid w:val="002E4FE1"/>
    <w:rsid w:val="002E5315"/>
    <w:rsid w:val="002E54ED"/>
    <w:rsid w:val="002E6668"/>
    <w:rsid w:val="002E6BA2"/>
    <w:rsid w:val="002E702F"/>
    <w:rsid w:val="002E71E7"/>
    <w:rsid w:val="002E7763"/>
    <w:rsid w:val="002E77E5"/>
    <w:rsid w:val="002E791B"/>
    <w:rsid w:val="002E79DA"/>
    <w:rsid w:val="002F0D80"/>
    <w:rsid w:val="002F0F8F"/>
    <w:rsid w:val="002F1383"/>
    <w:rsid w:val="002F175D"/>
    <w:rsid w:val="002F1820"/>
    <w:rsid w:val="002F1CA6"/>
    <w:rsid w:val="002F1D4B"/>
    <w:rsid w:val="002F1E9D"/>
    <w:rsid w:val="002F1F94"/>
    <w:rsid w:val="002F300C"/>
    <w:rsid w:val="002F3D7A"/>
    <w:rsid w:val="002F3F58"/>
    <w:rsid w:val="002F44C9"/>
    <w:rsid w:val="002F46E6"/>
    <w:rsid w:val="002F4CEC"/>
    <w:rsid w:val="002F5ACD"/>
    <w:rsid w:val="002F5B2B"/>
    <w:rsid w:val="002F5C64"/>
    <w:rsid w:val="002F5C81"/>
    <w:rsid w:val="002F5CEA"/>
    <w:rsid w:val="002F5D53"/>
    <w:rsid w:val="002F6816"/>
    <w:rsid w:val="002F6BD9"/>
    <w:rsid w:val="002F7988"/>
    <w:rsid w:val="002F7E68"/>
    <w:rsid w:val="003000B9"/>
    <w:rsid w:val="0030026C"/>
    <w:rsid w:val="00300BDC"/>
    <w:rsid w:val="00300E63"/>
    <w:rsid w:val="00302018"/>
    <w:rsid w:val="003024D0"/>
    <w:rsid w:val="00302599"/>
    <w:rsid w:val="00302953"/>
    <w:rsid w:val="00302EB4"/>
    <w:rsid w:val="00303584"/>
    <w:rsid w:val="0030389D"/>
    <w:rsid w:val="003038F2"/>
    <w:rsid w:val="00303ABA"/>
    <w:rsid w:val="00304507"/>
    <w:rsid w:val="00304571"/>
    <w:rsid w:val="00304BFB"/>
    <w:rsid w:val="00304E7F"/>
    <w:rsid w:val="00304E9E"/>
    <w:rsid w:val="003055A1"/>
    <w:rsid w:val="00306035"/>
    <w:rsid w:val="00306B0A"/>
    <w:rsid w:val="003072F8"/>
    <w:rsid w:val="003073C4"/>
    <w:rsid w:val="003074E0"/>
    <w:rsid w:val="00307D04"/>
    <w:rsid w:val="003103A4"/>
    <w:rsid w:val="003103CA"/>
    <w:rsid w:val="0031069E"/>
    <w:rsid w:val="00310FD5"/>
    <w:rsid w:val="0031178E"/>
    <w:rsid w:val="00312234"/>
    <w:rsid w:val="00312AE5"/>
    <w:rsid w:val="00312DC1"/>
    <w:rsid w:val="00313116"/>
    <w:rsid w:val="003133CC"/>
    <w:rsid w:val="00313505"/>
    <w:rsid w:val="00313524"/>
    <w:rsid w:val="00313620"/>
    <w:rsid w:val="00313942"/>
    <w:rsid w:val="003139E7"/>
    <w:rsid w:val="00313CA3"/>
    <w:rsid w:val="00313D18"/>
    <w:rsid w:val="0031412C"/>
    <w:rsid w:val="003144C5"/>
    <w:rsid w:val="00314EFE"/>
    <w:rsid w:val="003150CE"/>
    <w:rsid w:val="003151FE"/>
    <w:rsid w:val="003152EF"/>
    <w:rsid w:val="0031532E"/>
    <w:rsid w:val="003155BB"/>
    <w:rsid w:val="00315657"/>
    <w:rsid w:val="00315E40"/>
    <w:rsid w:val="00315FE0"/>
    <w:rsid w:val="003162CF"/>
    <w:rsid w:val="0031669B"/>
    <w:rsid w:val="00316742"/>
    <w:rsid w:val="0031721E"/>
    <w:rsid w:val="003174A5"/>
    <w:rsid w:val="003179B8"/>
    <w:rsid w:val="00317ABC"/>
    <w:rsid w:val="00317BA9"/>
    <w:rsid w:val="00317C71"/>
    <w:rsid w:val="00320234"/>
    <w:rsid w:val="00320244"/>
    <w:rsid w:val="00320779"/>
    <w:rsid w:val="003207AE"/>
    <w:rsid w:val="00320958"/>
    <w:rsid w:val="00321019"/>
    <w:rsid w:val="0032130B"/>
    <w:rsid w:val="003215E5"/>
    <w:rsid w:val="003222EE"/>
    <w:rsid w:val="00322568"/>
    <w:rsid w:val="00322896"/>
    <w:rsid w:val="00322B99"/>
    <w:rsid w:val="00322F7A"/>
    <w:rsid w:val="00322F90"/>
    <w:rsid w:val="0032337F"/>
    <w:rsid w:val="003233E5"/>
    <w:rsid w:val="003235DB"/>
    <w:rsid w:val="0032374F"/>
    <w:rsid w:val="003245B9"/>
    <w:rsid w:val="0032469F"/>
    <w:rsid w:val="003249C1"/>
    <w:rsid w:val="00324FA5"/>
    <w:rsid w:val="00325478"/>
    <w:rsid w:val="003265FE"/>
    <w:rsid w:val="003271CA"/>
    <w:rsid w:val="00330879"/>
    <w:rsid w:val="00330A7A"/>
    <w:rsid w:val="00331056"/>
    <w:rsid w:val="00331446"/>
    <w:rsid w:val="00331469"/>
    <w:rsid w:val="00331570"/>
    <w:rsid w:val="00331B25"/>
    <w:rsid w:val="00331F1A"/>
    <w:rsid w:val="003320AC"/>
    <w:rsid w:val="003321CE"/>
    <w:rsid w:val="00332DF7"/>
    <w:rsid w:val="00332DFF"/>
    <w:rsid w:val="00332FD7"/>
    <w:rsid w:val="00333994"/>
    <w:rsid w:val="00333A9E"/>
    <w:rsid w:val="00333AA5"/>
    <w:rsid w:val="00333ABC"/>
    <w:rsid w:val="00334050"/>
    <w:rsid w:val="0033477B"/>
    <w:rsid w:val="0033496E"/>
    <w:rsid w:val="00334D89"/>
    <w:rsid w:val="00335290"/>
    <w:rsid w:val="00335850"/>
    <w:rsid w:val="00335863"/>
    <w:rsid w:val="00335BF1"/>
    <w:rsid w:val="00336534"/>
    <w:rsid w:val="003375D9"/>
    <w:rsid w:val="00340F98"/>
    <w:rsid w:val="00341396"/>
    <w:rsid w:val="00341AB3"/>
    <w:rsid w:val="00342E9C"/>
    <w:rsid w:val="00343BD0"/>
    <w:rsid w:val="00343CC9"/>
    <w:rsid w:val="00343F2B"/>
    <w:rsid w:val="00344306"/>
    <w:rsid w:val="00344B95"/>
    <w:rsid w:val="00344FFE"/>
    <w:rsid w:val="003451B8"/>
    <w:rsid w:val="00345E22"/>
    <w:rsid w:val="00346124"/>
    <w:rsid w:val="00346498"/>
    <w:rsid w:val="00346DFC"/>
    <w:rsid w:val="00346E39"/>
    <w:rsid w:val="003470FB"/>
    <w:rsid w:val="00347494"/>
    <w:rsid w:val="00347676"/>
    <w:rsid w:val="0034796A"/>
    <w:rsid w:val="00347CA7"/>
    <w:rsid w:val="00350ADC"/>
    <w:rsid w:val="00350B47"/>
    <w:rsid w:val="00350EE9"/>
    <w:rsid w:val="00351D0F"/>
    <w:rsid w:val="00352744"/>
    <w:rsid w:val="00352A1B"/>
    <w:rsid w:val="00352C42"/>
    <w:rsid w:val="00352FCE"/>
    <w:rsid w:val="00353C9F"/>
    <w:rsid w:val="00353D85"/>
    <w:rsid w:val="00353F71"/>
    <w:rsid w:val="00354311"/>
    <w:rsid w:val="0035448F"/>
    <w:rsid w:val="00354D94"/>
    <w:rsid w:val="00354DCF"/>
    <w:rsid w:val="00355034"/>
    <w:rsid w:val="003551A1"/>
    <w:rsid w:val="003551CE"/>
    <w:rsid w:val="003554FF"/>
    <w:rsid w:val="0035580F"/>
    <w:rsid w:val="003558C8"/>
    <w:rsid w:val="00355A7A"/>
    <w:rsid w:val="00355CB1"/>
    <w:rsid w:val="00355D81"/>
    <w:rsid w:val="00355E6F"/>
    <w:rsid w:val="00356454"/>
    <w:rsid w:val="003568DA"/>
    <w:rsid w:val="00356946"/>
    <w:rsid w:val="00357738"/>
    <w:rsid w:val="00357842"/>
    <w:rsid w:val="00357A90"/>
    <w:rsid w:val="00360623"/>
    <w:rsid w:val="00360828"/>
    <w:rsid w:val="00360B76"/>
    <w:rsid w:val="00360C77"/>
    <w:rsid w:val="00361603"/>
    <w:rsid w:val="00361BCD"/>
    <w:rsid w:val="00361CEF"/>
    <w:rsid w:val="003623B2"/>
    <w:rsid w:val="003625B0"/>
    <w:rsid w:val="0036279D"/>
    <w:rsid w:val="00362FDF"/>
    <w:rsid w:val="003633EA"/>
    <w:rsid w:val="00363F0B"/>
    <w:rsid w:val="00364627"/>
    <w:rsid w:val="00364639"/>
    <w:rsid w:val="003649B7"/>
    <w:rsid w:val="003654CE"/>
    <w:rsid w:val="00365DBF"/>
    <w:rsid w:val="00365EB1"/>
    <w:rsid w:val="00366571"/>
    <w:rsid w:val="00366946"/>
    <w:rsid w:val="003669B5"/>
    <w:rsid w:val="00366BEF"/>
    <w:rsid w:val="00366C5C"/>
    <w:rsid w:val="00367256"/>
    <w:rsid w:val="00367373"/>
    <w:rsid w:val="003676E7"/>
    <w:rsid w:val="00370456"/>
    <w:rsid w:val="003705DF"/>
    <w:rsid w:val="00371282"/>
    <w:rsid w:val="00371D0F"/>
    <w:rsid w:val="00371DE5"/>
    <w:rsid w:val="00371E93"/>
    <w:rsid w:val="00371F68"/>
    <w:rsid w:val="00372087"/>
    <w:rsid w:val="003722FD"/>
    <w:rsid w:val="00372353"/>
    <w:rsid w:val="003724E8"/>
    <w:rsid w:val="003725B4"/>
    <w:rsid w:val="00372A13"/>
    <w:rsid w:val="00372C85"/>
    <w:rsid w:val="00372E8D"/>
    <w:rsid w:val="0037323B"/>
    <w:rsid w:val="0037346E"/>
    <w:rsid w:val="003734E2"/>
    <w:rsid w:val="00373D9D"/>
    <w:rsid w:val="00373DCE"/>
    <w:rsid w:val="0037487B"/>
    <w:rsid w:val="00374CED"/>
    <w:rsid w:val="00375378"/>
    <w:rsid w:val="00375508"/>
    <w:rsid w:val="00376135"/>
    <w:rsid w:val="00376AE0"/>
    <w:rsid w:val="00376C68"/>
    <w:rsid w:val="00377AEA"/>
    <w:rsid w:val="00377E72"/>
    <w:rsid w:val="003804F5"/>
    <w:rsid w:val="00380588"/>
    <w:rsid w:val="0038069B"/>
    <w:rsid w:val="00380828"/>
    <w:rsid w:val="003815B7"/>
    <w:rsid w:val="00381922"/>
    <w:rsid w:val="00381A55"/>
    <w:rsid w:val="00381D8B"/>
    <w:rsid w:val="00382178"/>
    <w:rsid w:val="00382635"/>
    <w:rsid w:val="00382D11"/>
    <w:rsid w:val="00383563"/>
    <w:rsid w:val="0038362B"/>
    <w:rsid w:val="00383748"/>
    <w:rsid w:val="00383BDA"/>
    <w:rsid w:val="00383DF7"/>
    <w:rsid w:val="003843E1"/>
    <w:rsid w:val="00384806"/>
    <w:rsid w:val="00384C10"/>
    <w:rsid w:val="00384D0F"/>
    <w:rsid w:val="003851AC"/>
    <w:rsid w:val="0038522B"/>
    <w:rsid w:val="003858F8"/>
    <w:rsid w:val="003859EA"/>
    <w:rsid w:val="00385DDD"/>
    <w:rsid w:val="0038648F"/>
    <w:rsid w:val="00386B64"/>
    <w:rsid w:val="00386F75"/>
    <w:rsid w:val="00390221"/>
    <w:rsid w:val="00390448"/>
    <w:rsid w:val="00391204"/>
    <w:rsid w:val="00391748"/>
    <w:rsid w:val="00391B09"/>
    <w:rsid w:val="00391B58"/>
    <w:rsid w:val="00391D78"/>
    <w:rsid w:val="003926ED"/>
    <w:rsid w:val="00392BA3"/>
    <w:rsid w:val="003933B6"/>
    <w:rsid w:val="00393AB8"/>
    <w:rsid w:val="00393C6A"/>
    <w:rsid w:val="00393E8B"/>
    <w:rsid w:val="003940C2"/>
    <w:rsid w:val="0039416E"/>
    <w:rsid w:val="00394C9E"/>
    <w:rsid w:val="00394FC9"/>
    <w:rsid w:val="003951F1"/>
    <w:rsid w:val="003955C0"/>
    <w:rsid w:val="003957FE"/>
    <w:rsid w:val="00396224"/>
    <w:rsid w:val="0039638A"/>
    <w:rsid w:val="00396520"/>
    <w:rsid w:val="003967F6"/>
    <w:rsid w:val="00396BD9"/>
    <w:rsid w:val="003971AC"/>
    <w:rsid w:val="003971B2"/>
    <w:rsid w:val="0039751E"/>
    <w:rsid w:val="003978DB"/>
    <w:rsid w:val="00397D65"/>
    <w:rsid w:val="003A04E8"/>
    <w:rsid w:val="003A0BC0"/>
    <w:rsid w:val="003A0CEA"/>
    <w:rsid w:val="003A0E85"/>
    <w:rsid w:val="003A0F0F"/>
    <w:rsid w:val="003A1446"/>
    <w:rsid w:val="003A188D"/>
    <w:rsid w:val="003A1AD4"/>
    <w:rsid w:val="003A1D21"/>
    <w:rsid w:val="003A1D90"/>
    <w:rsid w:val="003A26E1"/>
    <w:rsid w:val="003A28CF"/>
    <w:rsid w:val="003A2BFC"/>
    <w:rsid w:val="003A2E81"/>
    <w:rsid w:val="003A2FDE"/>
    <w:rsid w:val="003A2FEF"/>
    <w:rsid w:val="003A34C6"/>
    <w:rsid w:val="003A3810"/>
    <w:rsid w:val="003A41D6"/>
    <w:rsid w:val="003A4329"/>
    <w:rsid w:val="003A4E73"/>
    <w:rsid w:val="003A55F6"/>
    <w:rsid w:val="003A58C1"/>
    <w:rsid w:val="003A59AC"/>
    <w:rsid w:val="003A5B91"/>
    <w:rsid w:val="003A630E"/>
    <w:rsid w:val="003B1548"/>
    <w:rsid w:val="003B166B"/>
    <w:rsid w:val="003B1D0A"/>
    <w:rsid w:val="003B1F38"/>
    <w:rsid w:val="003B21D0"/>
    <w:rsid w:val="003B229D"/>
    <w:rsid w:val="003B2680"/>
    <w:rsid w:val="003B2E5A"/>
    <w:rsid w:val="003B2F40"/>
    <w:rsid w:val="003B31B4"/>
    <w:rsid w:val="003B4459"/>
    <w:rsid w:val="003B452D"/>
    <w:rsid w:val="003B4D34"/>
    <w:rsid w:val="003B4E00"/>
    <w:rsid w:val="003B4E29"/>
    <w:rsid w:val="003B51CA"/>
    <w:rsid w:val="003B5B9D"/>
    <w:rsid w:val="003B5E20"/>
    <w:rsid w:val="003B5EF9"/>
    <w:rsid w:val="003B60F3"/>
    <w:rsid w:val="003B60FC"/>
    <w:rsid w:val="003B6F7D"/>
    <w:rsid w:val="003B726B"/>
    <w:rsid w:val="003B7F37"/>
    <w:rsid w:val="003C06DC"/>
    <w:rsid w:val="003C0CF6"/>
    <w:rsid w:val="003C0F01"/>
    <w:rsid w:val="003C0FC6"/>
    <w:rsid w:val="003C12B5"/>
    <w:rsid w:val="003C1F3F"/>
    <w:rsid w:val="003C1F50"/>
    <w:rsid w:val="003C2163"/>
    <w:rsid w:val="003C23C7"/>
    <w:rsid w:val="003C29A3"/>
    <w:rsid w:val="003C3FB3"/>
    <w:rsid w:val="003C405A"/>
    <w:rsid w:val="003C442E"/>
    <w:rsid w:val="003C532F"/>
    <w:rsid w:val="003C57B3"/>
    <w:rsid w:val="003C57EF"/>
    <w:rsid w:val="003C6799"/>
    <w:rsid w:val="003C6AA3"/>
    <w:rsid w:val="003C72F6"/>
    <w:rsid w:val="003C77CF"/>
    <w:rsid w:val="003C7959"/>
    <w:rsid w:val="003C7D9B"/>
    <w:rsid w:val="003C7F20"/>
    <w:rsid w:val="003D0B92"/>
    <w:rsid w:val="003D1484"/>
    <w:rsid w:val="003D14DA"/>
    <w:rsid w:val="003D1805"/>
    <w:rsid w:val="003D1A7D"/>
    <w:rsid w:val="003D1BD4"/>
    <w:rsid w:val="003D2262"/>
    <w:rsid w:val="003D24A5"/>
    <w:rsid w:val="003D2D3A"/>
    <w:rsid w:val="003D345A"/>
    <w:rsid w:val="003D34C9"/>
    <w:rsid w:val="003D35F9"/>
    <w:rsid w:val="003D446F"/>
    <w:rsid w:val="003D4826"/>
    <w:rsid w:val="003D4DA9"/>
    <w:rsid w:val="003D4E09"/>
    <w:rsid w:val="003D5BBC"/>
    <w:rsid w:val="003D5C98"/>
    <w:rsid w:val="003D62F5"/>
    <w:rsid w:val="003D62F6"/>
    <w:rsid w:val="003D6845"/>
    <w:rsid w:val="003D6C06"/>
    <w:rsid w:val="003D7052"/>
    <w:rsid w:val="003D7539"/>
    <w:rsid w:val="003D7A17"/>
    <w:rsid w:val="003D7A3C"/>
    <w:rsid w:val="003D7F42"/>
    <w:rsid w:val="003E0342"/>
    <w:rsid w:val="003E123C"/>
    <w:rsid w:val="003E1257"/>
    <w:rsid w:val="003E32A5"/>
    <w:rsid w:val="003E3CB6"/>
    <w:rsid w:val="003E4010"/>
    <w:rsid w:val="003E42F7"/>
    <w:rsid w:val="003E491A"/>
    <w:rsid w:val="003E4B84"/>
    <w:rsid w:val="003E50F7"/>
    <w:rsid w:val="003E5754"/>
    <w:rsid w:val="003E5D4A"/>
    <w:rsid w:val="003E6FBE"/>
    <w:rsid w:val="003E7338"/>
    <w:rsid w:val="003E7E54"/>
    <w:rsid w:val="003F05D6"/>
    <w:rsid w:val="003F072D"/>
    <w:rsid w:val="003F0991"/>
    <w:rsid w:val="003F0A19"/>
    <w:rsid w:val="003F1151"/>
    <w:rsid w:val="003F1256"/>
    <w:rsid w:val="003F1472"/>
    <w:rsid w:val="003F155F"/>
    <w:rsid w:val="003F2692"/>
    <w:rsid w:val="003F30CD"/>
    <w:rsid w:val="003F36BA"/>
    <w:rsid w:val="003F3B1A"/>
    <w:rsid w:val="003F40E4"/>
    <w:rsid w:val="003F4240"/>
    <w:rsid w:val="003F4341"/>
    <w:rsid w:val="003F44AC"/>
    <w:rsid w:val="003F5064"/>
    <w:rsid w:val="003F5150"/>
    <w:rsid w:val="003F544E"/>
    <w:rsid w:val="003F569B"/>
    <w:rsid w:val="003F61CF"/>
    <w:rsid w:val="003F6346"/>
    <w:rsid w:val="003F6561"/>
    <w:rsid w:val="003F766E"/>
    <w:rsid w:val="003F7C99"/>
    <w:rsid w:val="004007C0"/>
    <w:rsid w:val="00400C2C"/>
    <w:rsid w:val="0040151D"/>
    <w:rsid w:val="0040174B"/>
    <w:rsid w:val="00401B29"/>
    <w:rsid w:val="004031F6"/>
    <w:rsid w:val="00403B99"/>
    <w:rsid w:val="0040409F"/>
    <w:rsid w:val="00404474"/>
    <w:rsid w:val="00404902"/>
    <w:rsid w:val="00405303"/>
    <w:rsid w:val="0040580F"/>
    <w:rsid w:val="00405D01"/>
    <w:rsid w:val="004060D6"/>
    <w:rsid w:val="00406D98"/>
    <w:rsid w:val="004071D1"/>
    <w:rsid w:val="00407820"/>
    <w:rsid w:val="00410383"/>
    <w:rsid w:val="00410570"/>
    <w:rsid w:val="00410B44"/>
    <w:rsid w:val="00410BC5"/>
    <w:rsid w:val="004111DF"/>
    <w:rsid w:val="00411422"/>
    <w:rsid w:val="0041225D"/>
    <w:rsid w:val="004125E2"/>
    <w:rsid w:val="00412DF8"/>
    <w:rsid w:val="0041359E"/>
    <w:rsid w:val="00413612"/>
    <w:rsid w:val="00414489"/>
    <w:rsid w:val="004144C0"/>
    <w:rsid w:val="00414C05"/>
    <w:rsid w:val="00414E7F"/>
    <w:rsid w:val="004158A8"/>
    <w:rsid w:val="00416274"/>
    <w:rsid w:val="00416AED"/>
    <w:rsid w:val="00416B10"/>
    <w:rsid w:val="00417100"/>
    <w:rsid w:val="00417286"/>
    <w:rsid w:val="0041793C"/>
    <w:rsid w:val="00417E2A"/>
    <w:rsid w:val="00417F22"/>
    <w:rsid w:val="0042054C"/>
    <w:rsid w:val="0042193D"/>
    <w:rsid w:val="00421D40"/>
    <w:rsid w:val="004227A5"/>
    <w:rsid w:val="00422879"/>
    <w:rsid w:val="00422EAC"/>
    <w:rsid w:val="004234FA"/>
    <w:rsid w:val="004236DA"/>
    <w:rsid w:val="0042392F"/>
    <w:rsid w:val="00423BBB"/>
    <w:rsid w:val="0042442B"/>
    <w:rsid w:val="00424C75"/>
    <w:rsid w:val="004255E9"/>
    <w:rsid w:val="00425621"/>
    <w:rsid w:val="004257CE"/>
    <w:rsid w:val="00425BF8"/>
    <w:rsid w:val="00426A9A"/>
    <w:rsid w:val="00427A76"/>
    <w:rsid w:val="00427B89"/>
    <w:rsid w:val="00427BA4"/>
    <w:rsid w:val="00427CA6"/>
    <w:rsid w:val="00427ED1"/>
    <w:rsid w:val="00430151"/>
    <w:rsid w:val="00430AE5"/>
    <w:rsid w:val="00431996"/>
    <w:rsid w:val="00431AA3"/>
    <w:rsid w:val="00431CD9"/>
    <w:rsid w:val="004322BD"/>
    <w:rsid w:val="0043257E"/>
    <w:rsid w:val="004329D8"/>
    <w:rsid w:val="00433096"/>
    <w:rsid w:val="0043323B"/>
    <w:rsid w:val="004335D3"/>
    <w:rsid w:val="00433A34"/>
    <w:rsid w:val="0043420E"/>
    <w:rsid w:val="004347A2"/>
    <w:rsid w:val="00434B06"/>
    <w:rsid w:val="00434C53"/>
    <w:rsid w:val="004363A7"/>
    <w:rsid w:val="00436405"/>
    <w:rsid w:val="004366D0"/>
    <w:rsid w:val="00436FFE"/>
    <w:rsid w:val="004371BE"/>
    <w:rsid w:val="00440111"/>
    <w:rsid w:val="0044029B"/>
    <w:rsid w:val="004404F9"/>
    <w:rsid w:val="00440530"/>
    <w:rsid w:val="00440719"/>
    <w:rsid w:val="004408BC"/>
    <w:rsid w:val="0044090F"/>
    <w:rsid w:val="004409E4"/>
    <w:rsid w:val="00440AFC"/>
    <w:rsid w:val="00440D6E"/>
    <w:rsid w:val="00440E0E"/>
    <w:rsid w:val="004416D6"/>
    <w:rsid w:val="00441872"/>
    <w:rsid w:val="00441FBB"/>
    <w:rsid w:val="00442015"/>
    <w:rsid w:val="004420B5"/>
    <w:rsid w:val="00442580"/>
    <w:rsid w:val="00442715"/>
    <w:rsid w:val="004430B4"/>
    <w:rsid w:val="004435C0"/>
    <w:rsid w:val="004435E3"/>
    <w:rsid w:val="00443BB9"/>
    <w:rsid w:val="004447A2"/>
    <w:rsid w:val="004448DB"/>
    <w:rsid w:val="00444A11"/>
    <w:rsid w:val="00445004"/>
    <w:rsid w:val="00445AE2"/>
    <w:rsid w:val="00445BAC"/>
    <w:rsid w:val="00445CCB"/>
    <w:rsid w:val="004464A7"/>
    <w:rsid w:val="00446D3D"/>
    <w:rsid w:val="00446DD4"/>
    <w:rsid w:val="00447447"/>
    <w:rsid w:val="00447842"/>
    <w:rsid w:val="0045011A"/>
    <w:rsid w:val="00450B06"/>
    <w:rsid w:val="00450C87"/>
    <w:rsid w:val="00450F39"/>
    <w:rsid w:val="0045179C"/>
    <w:rsid w:val="00451921"/>
    <w:rsid w:val="00451935"/>
    <w:rsid w:val="00451D1B"/>
    <w:rsid w:val="00451E35"/>
    <w:rsid w:val="00451F06"/>
    <w:rsid w:val="004525BD"/>
    <w:rsid w:val="00452DC4"/>
    <w:rsid w:val="0045356F"/>
    <w:rsid w:val="004543A5"/>
    <w:rsid w:val="00454769"/>
    <w:rsid w:val="0045485A"/>
    <w:rsid w:val="00454BCA"/>
    <w:rsid w:val="00454EB6"/>
    <w:rsid w:val="00455298"/>
    <w:rsid w:val="004554EB"/>
    <w:rsid w:val="00455550"/>
    <w:rsid w:val="004559EA"/>
    <w:rsid w:val="00455D7B"/>
    <w:rsid w:val="004567AE"/>
    <w:rsid w:val="004568C4"/>
    <w:rsid w:val="00456EE0"/>
    <w:rsid w:val="00456FD2"/>
    <w:rsid w:val="00457245"/>
    <w:rsid w:val="0045779D"/>
    <w:rsid w:val="00457C3B"/>
    <w:rsid w:val="00457E2C"/>
    <w:rsid w:val="00457FEE"/>
    <w:rsid w:val="00461329"/>
    <w:rsid w:val="004615C3"/>
    <w:rsid w:val="00461C1C"/>
    <w:rsid w:val="0046267F"/>
    <w:rsid w:val="00463A79"/>
    <w:rsid w:val="00463FB4"/>
    <w:rsid w:val="004640A3"/>
    <w:rsid w:val="004640F4"/>
    <w:rsid w:val="00464367"/>
    <w:rsid w:val="004645CB"/>
    <w:rsid w:val="00465821"/>
    <w:rsid w:val="00465992"/>
    <w:rsid w:val="00465BAB"/>
    <w:rsid w:val="00465C62"/>
    <w:rsid w:val="00465DFE"/>
    <w:rsid w:val="00466D33"/>
    <w:rsid w:val="00466D46"/>
    <w:rsid w:val="004674A4"/>
    <w:rsid w:val="004677AA"/>
    <w:rsid w:val="00467D7F"/>
    <w:rsid w:val="004705FB"/>
    <w:rsid w:val="00470D23"/>
    <w:rsid w:val="00471369"/>
    <w:rsid w:val="00471668"/>
    <w:rsid w:val="00472464"/>
    <w:rsid w:val="0047315A"/>
    <w:rsid w:val="00473823"/>
    <w:rsid w:val="00473ABA"/>
    <w:rsid w:val="0047452C"/>
    <w:rsid w:val="004748BC"/>
    <w:rsid w:val="0047536A"/>
    <w:rsid w:val="00476B3C"/>
    <w:rsid w:val="00476BF2"/>
    <w:rsid w:val="00477093"/>
    <w:rsid w:val="004772A7"/>
    <w:rsid w:val="00477EFE"/>
    <w:rsid w:val="004806BF"/>
    <w:rsid w:val="00480DDE"/>
    <w:rsid w:val="00481270"/>
    <w:rsid w:val="00481797"/>
    <w:rsid w:val="004823A2"/>
    <w:rsid w:val="0048241D"/>
    <w:rsid w:val="00482707"/>
    <w:rsid w:val="004837EF"/>
    <w:rsid w:val="0048395E"/>
    <w:rsid w:val="00483B4C"/>
    <w:rsid w:val="00484401"/>
    <w:rsid w:val="00484472"/>
    <w:rsid w:val="004844B3"/>
    <w:rsid w:val="0048487F"/>
    <w:rsid w:val="00484C7E"/>
    <w:rsid w:val="00484F47"/>
    <w:rsid w:val="00484F4C"/>
    <w:rsid w:val="004855A4"/>
    <w:rsid w:val="00485DDD"/>
    <w:rsid w:val="00485EB4"/>
    <w:rsid w:val="0048655C"/>
    <w:rsid w:val="0048726C"/>
    <w:rsid w:val="00487466"/>
    <w:rsid w:val="00487533"/>
    <w:rsid w:val="0048771B"/>
    <w:rsid w:val="00487B69"/>
    <w:rsid w:val="00487C73"/>
    <w:rsid w:val="00490123"/>
    <w:rsid w:val="004902B4"/>
    <w:rsid w:val="00490A41"/>
    <w:rsid w:val="00490BB7"/>
    <w:rsid w:val="004914BE"/>
    <w:rsid w:val="00491789"/>
    <w:rsid w:val="00491B3C"/>
    <w:rsid w:val="00491CD9"/>
    <w:rsid w:val="00491E91"/>
    <w:rsid w:val="004923DA"/>
    <w:rsid w:val="004928D8"/>
    <w:rsid w:val="00493074"/>
    <w:rsid w:val="00493827"/>
    <w:rsid w:val="0049423D"/>
    <w:rsid w:val="004945F8"/>
    <w:rsid w:val="0049473B"/>
    <w:rsid w:val="00494DF6"/>
    <w:rsid w:val="0049514D"/>
    <w:rsid w:val="004955EE"/>
    <w:rsid w:val="00495AA4"/>
    <w:rsid w:val="00496B42"/>
    <w:rsid w:val="0049754A"/>
    <w:rsid w:val="004975F6"/>
    <w:rsid w:val="00497883"/>
    <w:rsid w:val="004A002E"/>
    <w:rsid w:val="004A048B"/>
    <w:rsid w:val="004A0574"/>
    <w:rsid w:val="004A0FEB"/>
    <w:rsid w:val="004A16CE"/>
    <w:rsid w:val="004A1BDF"/>
    <w:rsid w:val="004A27D4"/>
    <w:rsid w:val="004A2A11"/>
    <w:rsid w:val="004A322D"/>
    <w:rsid w:val="004A3402"/>
    <w:rsid w:val="004A456C"/>
    <w:rsid w:val="004A4613"/>
    <w:rsid w:val="004A49D1"/>
    <w:rsid w:val="004A4B98"/>
    <w:rsid w:val="004A4DC1"/>
    <w:rsid w:val="004A4F55"/>
    <w:rsid w:val="004A52FF"/>
    <w:rsid w:val="004A564E"/>
    <w:rsid w:val="004A6144"/>
    <w:rsid w:val="004A63C4"/>
    <w:rsid w:val="004A67E6"/>
    <w:rsid w:val="004A6D89"/>
    <w:rsid w:val="004A7065"/>
    <w:rsid w:val="004A7668"/>
    <w:rsid w:val="004B08D3"/>
    <w:rsid w:val="004B124D"/>
    <w:rsid w:val="004B16B5"/>
    <w:rsid w:val="004B1E67"/>
    <w:rsid w:val="004B1EE5"/>
    <w:rsid w:val="004B21B8"/>
    <w:rsid w:val="004B2259"/>
    <w:rsid w:val="004B2469"/>
    <w:rsid w:val="004B2CE8"/>
    <w:rsid w:val="004B310C"/>
    <w:rsid w:val="004B330F"/>
    <w:rsid w:val="004B3791"/>
    <w:rsid w:val="004B382B"/>
    <w:rsid w:val="004B3959"/>
    <w:rsid w:val="004B399D"/>
    <w:rsid w:val="004B3B97"/>
    <w:rsid w:val="004B4754"/>
    <w:rsid w:val="004B47FF"/>
    <w:rsid w:val="004B4DDD"/>
    <w:rsid w:val="004B5040"/>
    <w:rsid w:val="004B5F43"/>
    <w:rsid w:val="004B615B"/>
    <w:rsid w:val="004B6840"/>
    <w:rsid w:val="004B693E"/>
    <w:rsid w:val="004B6F7A"/>
    <w:rsid w:val="004B786B"/>
    <w:rsid w:val="004B7E01"/>
    <w:rsid w:val="004C12C6"/>
    <w:rsid w:val="004C2039"/>
    <w:rsid w:val="004C225D"/>
    <w:rsid w:val="004C24BD"/>
    <w:rsid w:val="004C2A6C"/>
    <w:rsid w:val="004C2FD4"/>
    <w:rsid w:val="004C3722"/>
    <w:rsid w:val="004C44F2"/>
    <w:rsid w:val="004C45C4"/>
    <w:rsid w:val="004C478F"/>
    <w:rsid w:val="004C4968"/>
    <w:rsid w:val="004C4D74"/>
    <w:rsid w:val="004C54DD"/>
    <w:rsid w:val="004C5580"/>
    <w:rsid w:val="004C5743"/>
    <w:rsid w:val="004C5A79"/>
    <w:rsid w:val="004C6319"/>
    <w:rsid w:val="004C6F6A"/>
    <w:rsid w:val="004C7148"/>
    <w:rsid w:val="004C73A6"/>
    <w:rsid w:val="004C7408"/>
    <w:rsid w:val="004C7459"/>
    <w:rsid w:val="004C787B"/>
    <w:rsid w:val="004C7BF1"/>
    <w:rsid w:val="004D0340"/>
    <w:rsid w:val="004D0CA4"/>
    <w:rsid w:val="004D0CF1"/>
    <w:rsid w:val="004D0DB8"/>
    <w:rsid w:val="004D0E11"/>
    <w:rsid w:val="004D1472"/>
    <w:rsid w:val="004D1BEC"/>
    <w:rsid w:val="004D21AC"/>
    <w:rsid w:val="004D2672"/>
    <w:rsid w:val="004D2E0F"/>
    <w:rsid w:val="004D3A7E"/>
    <w:rsid w:val="004D3B27"/>
    <w:rsid w:val="004D3B6E"/>
    <w:rsid w:val="004D4423"/>
    <w:rsid w:val="004D6AD7"/>
    <w:rsid w:val="004D6D79"/>
    <w:rsid w:val="004D6FE3"/>
    <w:rsid w:val="004E0383"/>
    <w:rsid w:val="004E062A"/>
    <w:rsid w:val="004E07FF"/>
    <w:rsid w:val="004E0E02"/>
    <w:rsid w:val="004E13A1"/>
    <w:rsid w:val="004E16E1"/>
    <w:rsid w:val="004E19DB"/>
    <w:rsid w:val="004E1D19"/>
    <w:rsid w:val="004E21FC"/>
    <w:rsid w:val="004E2243"/>
    <w:rsid w:val="004E2824"/>
    <w:rsid w:val="004E284E"/>
    <w:rsid w:val="004E294A"/>
    <w:rsid w:val="004E3357"/>
    <w:rsid w:val="004E33D2"/>
    <w:rsid w:val="004E3A83"/>
    <w:rsid w:val="004E424D"/>
    <w:rsid w:val="004E44C9"/>
    <w:rsid w:val="004E50D9"/>
    <w:rsid w:val="004E603A"/>
    <w:rsid w:val="004E6909"/>
    <w:rsid w:val="004E690F"/>
    <w:rsid w:val="004E6F09"/>
    <w:rsid w:val="004E71B1"/>
    <w:rsid w:val="004E78F6"/>
    <w:rsid w:val="004E7E37"/>
    <w:rsid w:val="004E7EF2"/>
    <w:rsid w:val="004F0283"/>
    <w:rsid w:val="004F056D"/>
    <w:rsid w:val="004F0C5E"/>
    <w:rsid w:val="004F0D6E"/>
    <w:rsid w:val="004F1419"/>
    <w:rsid w:val="004F1828"/>
    <w:rsid w:val="004F1BAF"/>
    <w:rsid w:val="004F2E1D"/>
    <w:rsid w:val="004F36A9"/>
    <w:rsid w:val="004F3F40"/>
    <w:rsid w:val="004F410A"/>
    <w:rsid w:val="004F43D5"/>
    <w:rsid w:val="004F45BE"/>
    <w:rsid w:val="004F45FB"/>
    <w:rsid w:val="004F4A80"/>
    <w:rsid w:val="004F4DC4"/>
    <w:rsid w:val="004F5135"/>
    <w:rsid w:val="004F5A1B"/>
    <w:rsid w:val="004F5D8F"/>
    <w:rsid w:val="004F5DD5"/>
    <w:rsid w:val="004F5F4A"/>
    <w:rsid w:val="004F6190"/>
    <w:rsid w:val="004F6AD8"/>
    <w:rsid w:val="004F6B1E"/>
    <w:rsid w:val="004F6E08"/>
    <w:rsid w:val="004F7162"/>
    <w:rsid w:val="004F7280"/>
    <w:rsid w:val="004F73B3"/>
    <w:rsid w:val="004F7798"/>
    <w:rsid w:val="004F7C8F"/>
    <w:rsid w:val="00500012"/>
    <w:rsid w:val="00500044"/>
    <w:rsid w:val="005002F2"/>
    <w:rsid w:val="005006B3"/>
    <w:rsid w:val="00500860"/>
    <w:rsid w:val="00500A4F"/>
    <w:rsid w:val="00500DF3"/>
    <w:rsid w:val="00500DF8"/>
    <w:rsid w:val="00501373"/>
    <w:rsid w:val="005019B8"/>
    <w:rsid w:val="00501F79"/>
    <w:rsid w:val="005020A6"/>
    <w:rsid w:val="005021DF"/>
    <w:rsid w:val="0050296F"/>
    <w:rsid w:val="00502A07"/>
    <w:rsid w:val="00502E80"/>
    <w:rsid w:val="005036DA"/>
    <w:rsid w:val="00504509"/>
    <w:rsid w:val="00504521"/>
    <w:rsid w:val="0050490D"/>
    <w:rsid w:val="00505143"/>
    <w:rsid w:val="0050526F"/>
    <w:rsid w:val="00506163"/>
    <w:rsid w:val="00506713"/>
    <w:rsid w:val="005074EF"/>
    <w:rsid w:val="005076B1"/>
    <w:rsid w:val="005077EC"/>
    <w:rsid w:val="0050795E"/>
    <w:rsid w:val="00507992"/>
    <w:rsid w:val="005105D1"/>
    <w:rsid w:val="0051077D"/>
    <w:rsid w:val="00510928"/>
    <w:rsid w:val="005113AD"/>
    <w:rsid w:val="005115C9"/>
    <w:rsid w:val="005116DE"/>
    <w:rsid w:val="00511C99"/>
    <w:rsid w:val="005120EE"/>
    <w:rsid w:val="0051309D"/>
    <w:rsid w:val="00513127"/>
    <w:rsid w:val="0051343A"/>
    <w:rsid w:val="00513DA8"/>
    <w:rsid w:val="00514399"/>
    <w:rsid w:val="00514838"/>
    <w:rsid w:val="00514BA1"/>
    <w:rsid w:val="005162E0"/>
    <w:rsid w:val="00516457"/>
    <w:rsid w:val="0051676E"/>
    <w:rsid w:val="00516C3F"/>
    <w:rsid w:val="00516E5D"/>
    <w:rsid w:val="00516EEE"/>
    <w:rsid w:val="00517705"/>
    <w:rsid w:val="00517778"/>
    <w:rsid w:val="00517997"/>
    <w:rsid w:val="00517AB4"/>
    <w:rsid w:val="005202E4"/>
    <w:rsid w:val="005204F1"/>
    <w:rsid w:val="00520A29"/>
    <w:rsid w:val="00520E63"/>
    <w:rsid w:val="0052180F"/>
    <w:rsid w:val="00521AB2"/>
    <w:rsid w:val="00521D5F"/>
    <w:rsid w:val="00521FB8"/>
    <w:rsid w:val="00522C5B"/>
    <w:rsid w:val="005232ED"/>
    <w:rsid w:val="005238CD"/>
    <w:rsid w:val="00523CB6"/>
    <w:rsid w:val="00523E29"/>
    <w:rsid w:val="00523FA1"/>
    <w:rsid w:val="0052400E"/>
    <w:rsid w:val="005242FD"/>
    <w:rsid w:val="00525368"/>
    <w:rsid w:val="005255D8"/>
    <w:rsid w:val="00525787"/>
    <w:rsid w:val="00525A97"/>
    <w:rsid w:val="00525AAE"/>
    <w:rsid w:val="00525B25"/>
    <w:rsid w:val="00526061"/>
    <w:rsid w:val="0052672A"/>
    <w:rsid w:val="00526B7C"/>
    <w:rsid w:val="00526F45"/>
    <w:rsid w:val="0052722F"/>
    <w:rsid w:val="005275C8"/>
    <w:rsid w:val="00527B33"/>
    <w:rsid w:val="00527E30"/>
    <w:rsid w:val="005307B5"/>
    <w:rsid w:val="00531426"/>
    <w:rsid w:val="005325D8"/>
    <w:rsid w:val="005326E9"/>
    <w:rsid w:val="00532827"/>
    <w:rsid w:val="00532E78"/>
    <w:rsid w:val="0053308B"/>
    <w:rsid w:val="0053328A"/>
    <w:rsid w:val="005337A3"/>
    <w:rsid w:val="00533A5D"/>
    <w:rsid w:val="00533AD8"/>
    <w:rsid w:val="00534145"/>
    <w:rsid w:val="0053414A"/>
    <w:rsid w:val="0053417F"/>
    <w:rsid w:val="00534374"/>
    <w:rsid w:val="00534E08"/>
    <w:rsid w:val="00534E32"/>
    <w:rsid w:val="005352EC"/>
    <w:rsid w:val="005352F5"/>
    <w:rsid w:val="0053586B"/>
    <w:rsid w:val="0053590D"/>
    <w:rsid w:val="0053590E"/>
    <w:rsid w:val="00535F26"/>
    <w:rsid w:val="00535FC2"/>
    <w:rsid w:val="005361F3"/>
    <w:rsid w:val="00536B24"/>
    <w:rsid w:val="00536C73"/>
    <w:rsid w:val="0053766E"/>
    <w:rsid w:val="0053771D"/>
    <w:rsid w:val="005377C7"/>
    <w:rsid w:val="00537B5D"/>
    <w:rsid w:val="00537B7F"/>
    <w:rsid w:val="00540372"/>
    <w:rsid w:val="005403C0"/>
    <w:rsid w:val="00540443"/>
    <w:rsid w:val="00540873"/>
    <w:rsid w:val="00540B62"/>
    <w:rsid w:val="00540BF5"/>
    <w:rsid w:val="00541C2F"/>
    <w:rsid w:val="00541FEC"/>
    <w:rsid w:val="005426D1"/>
    <w:rsid w:val="00542790"/>
    <w:rsid w:val="005435D5"/>
    <w:rsid w:val="005442D1"/>
    <w:rsid w:val="0054509D"/>
    <w:rsid w:val="00545A3B"/>
    <w:rsid w:val="00545A46"/>
    <w:rsid w:val="00545BD9"/>
    <w:rsid w:val="00545D7F"/>
    <w:rsid w:val="00545E3E"/>
    <w:rsid w:val="0054617B"/>
    <w:rsid w:val="005466F0"/>
    <w:rsid w:val="0054676F"/>
    <w:rsid w:val="00546B87"/>
    <w:rsid w:val="00546DF3"/>
    <w:rsid w:val="005477AF"/>
    <w:rsid w:val="005478D6"/>
    <w:rsid w:val="00547CC5"/>
    <w:rsid w:val="00550B98"/>
    <w:rsid w:val="00550FE4"/>
    <w:rsid w:val="0055140E"/>
    <w:rsid w:val="00551514"/>
    <w:rsid w:val="00551B84"/>
    <w:rsid w:val="00551B9F"/>
    <w:rsid w:val="00552A3D"/>
    <w:rsid w:val="005531BA"/>
    <w:rsid w:val="00553D7A"/>
    <w:rsid w:val="00553EBA"/>
    <w:rsid w:val="005544C5"/>
    <w:rsid w:val="00554A65"/>
    <w:rsid w:val="00554F20"/>
    <w:rsid w:val="0055512D"/>
    <w:rsid w:val="00555245"/>
    <w:rsid w:val="00555509"/>
    <w:rsid w:val="00555FC7"/>
    <w:rsid w:val="005562BE"/>
    <w:rsid w:val="005562E1"/>
    <w:rsid w:val="00556AED"/>
    <w:rsid w:val="00556B05"/>
    <w:rsid w:val="005570B7"/>
    <w:rsid w:val="0055733B"/>
    <w:rsid w:val="0055774C"/>
    <w:rsid w:val="00557857"/>
    <w:rsid w:val="005578BF"/>
    <w:rsid w:val="00557B18"/>
    <w:rsid w:val="00557CF0"/>
    <w:rsid w:val="00560061"/>
    <w:rsid w:val="00560A7B"/>
    <w:rsid w:val="00560C45"/>
    <w:rsid w:val="00561ABE"/>
    <w:rsid w:val="00562254"/>
    <w:rsid w:val="0056314D"/>
    <w:rsid w:val="005632E6"/>
    <w:rsid w:val="005633B8"/>
    <w:rsid w:val="00563AC7"/>
    <w:rsid w:val="00563B40"/>
    <w:rsid w:val="00563CF2"/>
    <w:rsid w:val="005646E6"/>
    <w:rsid w:val="005647EF"/>
    <w:rsid w:val="00565254"/>
    <w:rsid w:val="00565619"/>
    <w:rsid w:val="00565EE8"/>
    <w:rsid w:val="0056607A"/>
    <w:rsid w:val="00566265"/>
    <w:rsid w:val="005663C6"/>
    <w:rsid w:val="005664D8"/>
    <w:rsid w:val="005666C3"/>
    <w:rsid w:val="00566C65"/>
    <w:rsid w:val="00567641"/>
    <w:rsid w:val="0056781C"/>
    <w:rsid w:val="005705B7"/>
    <w:rsid w:val="00570B40"/>
    <w:rsid w:val="00571567"/>
    <w:rsid w:val="0057176D"/>
    <w:rsid w:val="00571B31"/>
    <w:rsid w:val="005722A9"/>
    <w:rsid w:val="00572594"/>
    <w:rsid w:val="005725AF"/>
    <w:rsid w:val="005728D8"/>
    <w:rsid w:val="00573280"/>
    <w:rsid w:val="005734CA"/>
    <w:rsid w:val="00573DEF"/>
    <w:rsid w:val="005741EE"/>
    <w:rsid w:val="00574592"/>
    <w:rsid w:val="005747C6"/>
    <w:rsid w:val="005748C5"/>
    <w:rsid w:val="00574B91"/>
    <w:rsid w:val="00574F9B"/>
    <w:rsid w:val="00575124"/>
    <w:rsid w:val="005753A7"/>
    <w:rsid w:val="00575686"/>
    <w:rsid w:val="00575BEB"/>
    <w:rsid w:val="00575C38"/>
    <w:rsid w:val="00575ED9"/>
    <w:rsid w:val="005765D3"/>
    <w:rsid w:val="00576785"/>
    <w:rsid w:val="0057786E"/>
    <w:rsid w:val="00577934"/>
    <w:rsid w:val="005779FE"/>
    <w:rsid w:val="00577E9E"/>
    <w:rsid w:val="00577F13"/>
    <w:rsid w:val="005801E5"/>
    <w:rsid w:val="00580296"/>
    <w:rsid w:val="005804D3"/>
    <w:rsid w:val="005804F9"/>
    <w:rsid w:val="005808E4"/>
    <w:rsid w:val="005815E3"/>
    <w:rsid w:val="005823CA"/>
    <w:rsid w:val="005823D5"/>
    <w:rsid w:val="00584A88"/>
    <w:rsid w:val="00584C88"/>
    <w:rsid w:val="0058510C"/>
    <w:rsid w:val="005851EA"/>
    <w:rsid w:val="00585981"/>
    <w:rsid w:val="00585C42"/>
    <w:rsid w:val="005865FB"/>
    <w:rsid w:val="00586670"/>
    <w:rsid w:val="005867F1"/>
    <w:rsid w:val="00586AB4"/>
    <w:rsid w:val="00586CAA"/>
    <w:rsid w:val="00586D9E"/>
    <w:rsid w:val="005872F3"/>
    <w:rsid w:val="0058784D"/>
    <w:rsid w:val="00587BCC"/>
    <w:rsid w:val="005908A0"/>
    <w:rsid w:val="00590BC9"/>
    <w:rsid w:val="00591A76"/>
    <w:rsid w:val="00591D9E"/>
    <w:rsid w:val="00592467"/>
    <w:rsid w:val="005924FB"/>
    <w:rsid w:val="00592898"/>
    <w:rsid w:val="00592C43"/>
    <w:rsid w:val="00592D9A"/>
    <w:rsid w:val="00592F1D"/>
    <w:rsid w:val="00593D9B"/>
    <w:rsid w:val="00593FCC"/>
    <w:rsid w:val="00594006"/>
    <w:rsid w:val="005946D1"/>
    <w:rsid w:val="005949C3"/>
    <w:rsid w:val="005951EE"/>
    <w:rsid w:val="0059588A"/>
    <w:rsid w:val="005958E2"/>
    <w:rsid w:val="00595F32"/>
    <w:rsid w:val="00596284"/>
    <w:rsid w:val="005962ED"/>
    <w:rsid w:val="0059673F"/>
    <w:rsid w:val="005968B8"/>
    <w:rsid w:val="00596C51"/>
    <w:rsid w:val="00596FBA"/>
    <w:rsid w:val="0059734E"/>
    <w:rsid w:val="00597CC7"/>
    <w:rsid w:val="005A1234"/>
    <w:rsid w:val="005A141D"/>
    <w:rsid w:val="005A1A9D"/>
    <w:rsid w:val="005A1AF3"/>
    <w:rsid w:val="005A1EF2"/>
    <w:rsid w:val="005A279B"/>
    <w:rsid w:val="005A2931"/>
    <w:rsid w:val="005A2BAC"/>
    <w:rsid w:val="005A2E85"/>
    <w:rsid w:val="005A36C3"/>
    <w:rsid w:val="005A37B3"/>
    <w:rsid w:val="005A418A"/>
    <w:rsid w:val="005A41E4"/>
    <w:rsid w:val="005A446B"/>
    <w:rsid w:val="005A55CF"/>
    <w:rsid w:val="005A567F"/>
    <w:rsid w:val="005A58F7"/>
    <w:rsid w:val="005A590D"/>
    <w:rsid w:val="005A5DD4"/>
    <w:rsid w:val="005A6030"/>
    <w:rsid w:val="005A607B"/>
    <w:rsid w:val="005A63F4"/>
    <w:rsid w:val="005A6405"/>
    <w:rsid w:val="005A68CC"/>
    <w:rsid w:val="005A6B4B"/>
    <w:rsid w:val="005A753E"/>
    <w:rsid w:val="005A77B6"/>
    <w:rsid w:val="005A7B9E"/>
    <w:rsid w:val="005B05F7"/>
    <w:rsid w:val="005B1429"/>
    <w:rsid w:val="005B144B"/>
    <w:rsid w:val="005B15FC"/>
    <w:rsid w:val="005B169D"/>
    <w:rsid w:val="005B195F"/>
    <w:rsid w:val="005B1DD9"/>
    <w:rsid w:val="005B21A2"/>
    <w:rsid w:val="005B2470"/>
    <w:rsid w:val="005B2C2F"/>
    <w:rsid w:val="005B2D62"/>
    <w:rsid w:val="005B2F51"/>
    <w:rsid w:val="005B2FB3"/>
    <w:rsid w:val="005B303F"/>
    <w:rsid w:val="005B3357"/>
    <w:rsid w:val="005B33AB"/>
    <w:rsid w:val="005B3409"/>
    <w:rsid w:val="005B3A51"/>
    <w:rsid w:val="005B44BF"/>
    <w:rsid w:val="005B44F5"/>
    <w:rsid w:val="005B4B95"/>
    <w:rsid w:val="005B57AD"/>
    <w:rsid w:val="005B5F55"/>
    <w:rsid w:val="005B658B"/>
    <w:rsid w:val="005B6B1A"/>
    <w:rsid w:val="005B73E4"/>
    <w:rsid w:val="005B7527"/>
    <w:rsid w:val="005B79E3"/>
    <w:rsid w:val="005B7CAD"/>
    <w:rsid w:val="005C0024"/>
    <w:rsid w:val="005C0494"/>
    <w:rsid w:val="005C10D0"/>
    <w:rsid w:val="005C1416"/>
    <w:rsid w:val="005C16A4"/>
    <w:rsid w:val="005C18FC"/>
    <w:rsid w:val="005C1FAE"/>
    <w:rsid w:val="005C2754"/>
    <w:rsid w:val="005C2B68"/>
    <w:rsid w:val="005C3751"/>
    <w:rsid w:val="005C3FF4"/>
    <w:rsid w:val="005C46B0"/>
    <w:rsid w:val="005C4C06"/>
    <w:rsid w:val="005C510B"/>
    <w:rsid w:val="005C5887"/>
    <w:rsid w:val="005C601E"/>
    <w:rsid w:val="005C6698"/>
    <w:rsid w:val="005C6B00"/>
    <w:rsid w:val="005C6BE2"/>
    <w:rsid w:val="005C71EA"/>
    <w:rsid w:val="005C7AA5"/>
    <w:rsid w:val="005C7DFE"/>
    <w:rsid w:val="005C7FCF"/>
    <w:rsid w:val="005D039B"/>
    <w:rsid w:val="005D06D6"/>
    <w:rsid w:val="005D0F6D"/>
    <w:rsid w:val="005D101C"/>
    <w:rsid w:val="005D1996"/>
    <w:rsid w:val="005D2650"/>
    <w:rsid w:val="005D26AD"/>
    <w:rsid w:val="005D2EDD"/>
    <w:rsid w:val="005D3181"/>
    <w:rsid w:val="005D3477"/>
    <w:rsid w:val="005D35DE"/>
    <w:rsid w:val="005D3E50"/>
    <w:rsid w:val="005D44BA"/>
    <w:rsid w:val="005D4A7A"/>
    <w:rsid w:val="005D5448"/>
    <w:rsid w:val="005D5552"/>
    <w:rsid w:val="005D55E6"/>
    <w:rsid w:val="005D593A"/>
    <w:rsid w:val="005D5E77"/>
    <w:rsid w:val="005D61B4"/>
    <w:rsid w:val="005D73D1"/>
    <w:rsid w:val="005D780B"/>
    <w:rsid w:val="005D7856"/>
    <w:rsid w:val="005E08D3"/>
    <w:rsid w:val="005E0B31"/>
    <w:rsid w:val="005E0D00"/>
    <w:rsid w:val="005E0D4E"/>
    <w:rsid w:val="005E1556"/>
    <w:rsid w:val="005E15F6"/>
    <w:rsid w:val="005E1FCB"/>
    <w:rsid w:val="005E2114"/>
    <w:rsid w:val="005E2609"/>
    <w:rsid w:val="005E267A"/>
    <w:rsid w:val="005E269A"/>
    <w:rsid w:val="005E277C"/>
    <w:rsid w:val="005E2823"/>
    <w:rsid w:val="005E29EE"/>
    <w:rsid w:val="005E324F"/>
    <w:rsid w:val="005E331A"/>
    <w:rsid w:val="005E367F"/>
    <w:rsid w:val="005E3B98"/>
    <w:rsid w:val="005E3BC6"/>
    <w:rsid w:val="005E3BC7"/>
    <w:rsid w:val="005E4F05"/>
    <w:rsid w:val="005E5DD3"/>
    <w:rsid w:val="005E5F70"/>
    <w:rsid w:val="005E729E"/>
    <w:rsid w:val="005E7653"/>
    <w:rsid w:val="005E768A"/>
    <w:rsid w:val="005E7B08"/>
    <w:rsid w:val="005E7B9B"/>
    <w:rsid w:val="005E7D71"/>
    <w:rsid w:val="005F0021"/>
    <w:rsid w:val="005F0EC0"/>
    <w:rsid w:val="005F106D"/>
    <w:rsid w:val="005F10BB"/>
    <w:rsid w:val="005F12D3"/>
    <w:rsid w:val="005F1538"/>
    <w:rsid w:val="005F170B"/>
    <w:rsid w:val="005F1B58"/>
    <w:rsid w:val="005F1FED"/>
    <w:rsid w:val="005F20FF"/>
    <w:rsid w:val="005F22BD"/>
    <w:rsid w:val="005F2425"/>
    <w:rsid w:val="005F254E"/>
    <w:rsid w:val="005F2752"/>
    <w:rsid w:val="005F28EA"/>
    <w:rsid w:val="005F2990"/>
    <w:rsid w:val="005F2A1E"/>
    <w:rsid w:val="005F2AD7"/>
    <w:rsid w:val="005F3210"/>
    <w:rsid w:val="005F4029"/>
    <w:rsid w:val="005F47B3"/>
    <w:rsid w:val="005F4DDC"/>
    <w:rsid w:val="005F50FC"/>
    <w:rsid w:val="005F5912"/>
    <w:rsid w:val="005F5D63"/>
    <w:rsid w:val="005F654C"/>
    <w:rsid w:val="005F679A"/>
    <w:rsid w:val="005F682B"/>
    <w:rsid w:val="005F7534"/>
    <w:rsid w:val="005F7648"/>
    <w:rsid w:val="005F788A"/>
    <w:rsid w:val="005F7A05"/>
    <w:rsid w:val="005F7BA4"/>
    <w:rsid w:val="005F7CAC"/>
    <w:rsid w:val="00600469"/>
    <w:rsid w:val="006007A8"/>
    <w:rsid w:val="00600839"/>
    <w:rsid w:val="00600926"/>
    <w:rsid w:val="00600D83"/>
    <w:rsid w:val="0060114C"/>
    <w:rsid w:val="00601B14"/>
    <w:rsid w:val="00601D88"/>
    <w:rsid w:val="006030E3"/>
    <w:rsid w:val="00603334"/>
    <w:rsid w:val="00603F10"/>
    <w:rsid w:val="00604114"/>
    <w:rsid w:val="00605855"/>
    <w:rsid w:val="00605E6A"/>
    <w:rsid w:val="006061D9"/>
    <w:rsid w:val="00606B71"/>
    <w:rsid w:val="00606CBF"/>
    <w:rsid w:val="00606D13"/>
    <w:rsid w:val="00607FAD"/>
    <w:rsid w:val="006107B1"/>
    <w:rsid w:val="00610B94"/>
    <w:rsid w:val="00610CF6"/>
    <w:rsid w:val="00610FBF"/>
    <w:rsid w:val="00611314"/>
    <w:rsid w:val="00611395"/>
    <w:rsid w:val="00611561"/>
    <w:rsid w:val="00611C9B"/>
    <w:rsid w:val="00611CBA"/>
    <w:rsid w:val="00611DB3"/>
    <w:rsid w:val="00612BDE"/>
    <w:rsid w:val="00612BFC"/>
    <w:rsid w:val="00612D6B"/>
    <w:rsid w:val="00613036"/>
    <w:rsid w:val="00613121"/>
    <w:rsid w:val="0061382A"/>
    <w:rsid w:val="0061456C"/>
    <w:rsid w:val="00615073"/>
    <w:rsid w:val="006159DF"/>
    <w:rsid w:val="00615E61"/>
    <w:rsid w:val="006160F0"/>
    <w:rsid w:val="00616625"/>
    <w:rsid w:val="0061683E"/>
    <w:rsid w:val="006169C7"/>
    <w:rsid w:val="00617369"/>
    <w:rsid w:val="00617890"/>
    <w:rsid w:val="00617910"/>
    <w:rsid w:val="0061791E"/>
    <w:rsid w:val="0061795D"/>
    <w:rsid w:val="00617D32"/>
    <w:rsid w:val="00617FE8"/>
    <w:rsid w:val="006213D8"/>
    <w:rsid w:val="006219AF"/>
    <w:rsid w:val="00621B92"/>
    <w:rsid w:val="00621C21"/>
    <w:rsid w:val="00622463"/>
    <w:rsid w:val="00623263"/>
    <w:rsid w:val="00623318"/>
    <w:rsid w:val="006234CD"/>
    <w:rsid w:val="006237D2"/>
    <w:rsid w:val="00623F57"/>
    <w:rsid w:val="00624C5A"/>
    <w:rsid w:val="00625866"/>
    <w:rsid w:val="00625EE1"/>
    <w:rsid w:val="006268A4"/>
    <w:rsid w:val="00626A18"/>
    <w:rsid w:val="00627097"/>
    <w:rsid w:val="00627BE6"/>
    <w:rsid w:val="00630490"/>
    <w:rsid w:val="00630508"/>
    <w:rsid w:val="00631063"/>
    <w:rsid w:val="00631123"/>
    <w:rsid w:val="006311A3"/>
    <w:rsid w:val="006315B5"/>
    <w:rsid w:val="006319FA"/>
    <w:rsid w:val="00631B16"/>
    <w:rsid w:val="00631BE2"/>
    <w:rsid w:val="0063208D"/>
    <w:rsid w:val="006323BD"/>
    <w:rsid w:val="006327DC"/>
    <w:rsid w:val="00632839"/>
    <w:rsid w:val="006338B3"/>
    <w:rsid w:val="00633D93"/>
    <w:rsid w:val="006342D4"/>
    <w:rsid w:val="00634636"/>
    <w:rsid w:val="006347F5"/>
    <w:rsid w:val="00634945"/>
    <w:rsid w:val="00634EDE"/>
    <w:rsid w:val="006350ED"/>
    <w:rsid w:val="00635378"/>
    <w:rsid w:val="006353CE"/>
    <w:rsid w:val="00635887"/>
    <w:rsid w:val="0063621E"/>
    <w:rsid w:val="00636302"/>
    <w:rsid w:val="00636AE5"/>
    <w:rsid w:val="00637480"/>
    <w:rsid w:val="00641046"/>
    <w:rsid w:val="00641055"/>
    <w:rsid w:val="00641141"/>
    <w:rsid w:val="0064121B"/>
    <w:rsid w:val="00641479"/>
    <w:rsid w:val="00641916"/>
    <w:rsid w:val="00642174"/>
    <w:rsid w:val="006430D9"/>
    <w:rsid w:val="00643D99"/>
    <w:rsid w:val="0064481F"/>
    <w:rsid w:val="006449DC"/>
    <w:rsid w:val="00644CEE"/>
    <w:rsid w:val="0064508A"/>
    <w:rsid w:val="00645631"/>
    <w:rsid w:val="00646026"/>
    <w:rsid w:val="0064727A"/>
    <w:rsid w:val="00647299"/>
    <w:rsid w:val="00647566"/>
    <w:rsid w:val="00647C07"/>
    <w:rsid w:val="00650B23"/>
    <w:rsid w:val="00650D47"/>
    <w:rsid w:val="00650D94"/>
    <w:rsid w:val="00650E62"/>
    <w:rsid w:val="006513C6"/>
    <w:rsid w:val="00651417"/>
    <w:rsid w:val="006516DD"/>
    <w:rsid w:val="00651724"/>
    <w:rsid w:val="0065188B"/>
    <w:rsid w:val="006518E3"/>
    <w:rsid w:val="00651F7E"/>
    <w:rsid w:val="00652805"/>
    <w:rsid w:val="00652897"/>
    <w:rsid w:val="00652E89"/>
    <w:rsid w:val="0065303A"/>
    <w:rsid w:val="00653A7F"/>
    <w:rsid w:val="00653B87"/>
    <w:rsid w:val="00653F33"/>
    <w:rsid w:val="006540BB"/>
    <w:rsid w:val="0065474D"/>
    <w:rsid w:val="006548DC"/>
    <w:rsid w:val="00654A85"/>
    <w:rsid w:val="00655512"/>
    <w:rsid w:val="006555DD"/>
    <w:rsid w:val="00655A9E"/>
    <w:rsid w:val="00655D13"/>
    <w:rsid w:val="006567B6"/>
    <w:rsid w:val="0065710E"/>
    <w:rsid w:val="00657413"/>
    <w:rsid w:val="006575C1"/>
    <w:rsid w:val="00657DC7"/>
    <w:rsid w:val="00660A78"/>
    <w:rsid w:val="00660DF7"/>
    <w:rsid w:val="00661204"/>
    <w:rsid w:val="00661C7E"/>
    <w:rsid w:val="00662359"/>
    <w:rsid w:val="00663A2B"/>
    <w:rsid w:val="00663DF9"/>
    <w:rsid w:val="006643EF"/>
    <w:rsid w:val="00664651"/>
    <w:rsid w:val="006655FC"/>
    <w:rsid w:val="00665BDC"/>
    <w:rsid w:val="00666352"/>
    <w:rsid w:val="00667747"/>
    <w:rsid w:val="00667B23"/>
    <w:rsid w:val="00667CA9"/>
    <w:rsid w:val="00670685"/>
    <w:rsid w:val="00670E90"/>
    <w:rsid w:val="0067115C"/>
    <w:rsid w:val="0067150C"/>
    <w:rsid w:val="0067181D"/>
    <w:rsid w:val="006720C5"/>
    <w:rsid w:val="0067326B"/>
    <w:rsid w:val="0067326F"/>
    <w:rsid w:val="00673A08"/>
    <w:rsid w:val="00674FDE"/>
    <w:rsid w:val="006753BE"/>
    <w:rsid w:val="006757A4"/>
    <w:rsid w:val="006758E6"/>
    <w:rsid w:val="00675971"/>
    <w:rsid w:val="00675F9A"/>
    <w:rsid w:val="00676064"/>
    <w:rsid w:val="006765CD"/>
    <w:rsid w:val="00676628"/>
    <w:rsid w:val="0067697C"/>
    <w:rsid w:val="00676B71"/>
    <w:rsid w:val="0068011B"/>
    <w:rsid w:val="00680262"/>
    <w:rsid w:val="00680401"/>
    <w:rsid w:val="0068042D"/>
    <w:rsid w:val="006806A8"/>
    <w:rsid w:val="00680F3F"/>
    <w:rsid w:val="0068155A"/>
    <w:rsid w:val="00682522"/>
    <w:rsid w:val="00682617"/>
    <w:rsid w:val="00682A29"/>
    <w:rsid w:val="00682DDC"/>
    <w:rsid w:val="006833AF"/>
    <w:rsid w:val="006834D7"/>
    <w:rsid w:val="0068351C"/>
    <w:rsid w:val="006836E9"/>
    <w:rsid w:val="00683D2E"/>
    <w:rsid w:val="0068424A"/>
    <w:rsid w:val="0068424E"/>
    <w:rsid w:val="00684E4E"/>
    <w:rsid w:val="006852DB"/>
    <w:rsid w:val="006857AF"/>
    <w:rsid w:val="0068650D"/>
    <w:rsid w:val="0068657D"/>
    <w:rsid w:val="006866A6"/>
    <w:rsid w:val="00686B2C"/>
    <w:rsid w:val="00686CE1"/>
    <w:rsid w:val="00686D32"/>
    <w:rsid w:val="006871B6"/>
    <w:rsid w:val="006875AD"/>
    <w:rsid w:val="006907F6"/>
    <w:rsid w:val="00692F7E"/>
    <w:rsid w:val="006931D9"/>
    <w:rsid w:val="00694597"/>
    <w:rsid w:val="006948A1"/>
    <w:rsid w:val="00694AFB"/>
    <w:rsid w:val="006951E4"/>
    <w:rsid w:val="00695294"/>
    <w:rsid w:val="00696005"/>
    <w:rsid w:val="00696202"/>
    <w:rsid w:val="0069620D"/>
    <w:rsid w:val="0069660B"/>
    <w:rsid w:val="006977E6"/>
    <w:rsid w:val="006A05B7"/>
    <w:rsid w:val="006A077A"/>
    <w:rsid w:val="006A088F"/>
    <w:rsid w:val="006A0B94"/>
    <w:rsid w:val="006A0C8B"/>
    <w:rsid w:val="006A114B"/>
    <w:rsid w:val="006A1BDA"/>
    <w:rsid w:val="006A1F73"/>
    <w:rsid w:val="006A24CA"/>
    <w:rsid w:val="006A254C"/>
    <w:rsid w:val="006A35B9"/>
    <w:rsid w:val="006A3FF6"/>
    <w:rsid w:val="006A44B0"/>
    <w:rsid w:val="006A5884"/>
    <w:rsid w:val="006A58C0"/>
    <w:rsid w:val="006A58D7"/>
    <w:rsid w:val="006A5AA9"/>
    <w:rsid w:val="006A5C34"/>
    <w:rsid w:val="006A6372"/>
    <w:rsid w:val="006A673C"/>
    <w:rsid w:val="006A6A50"/>
    <w:rsid w:val="006A6D92"/>
    <w:rsid w:val="006A73A4"/>
    <w:rsid w:val="006A73F4"/>
    <w:rsid w:val="006A7E06"/>
    <w:rsid w:val="006A7E7B"/>
    <w:rsid w:val="006B0068"/>
    <w:rsid w:val="006B045C"/>
    <w:rsid w:val="006B1022"/>
    <w:rsid w:val="006B19B3"/>
    <w:rsid w:val="006B23CB"/>
    <w:rsid w:val="006B2516"/>
    <w:rsid w:val="006B26FF"/>
    <w:rsid w:val="006B2C5C"/>
    <w:rsid w:val="006B2F76"/>
    <w:rsid w:val="006B3483"/>
    <w:rsid w:val="006B367E"/>
    <w:rsid w:val="006B38C9"/>
    <w:rsid w:val="006B3ECF"/>
    <w:rsid w:val="006B3F8B"/>
    <w:rsid w:val="006B532B"/>
    <w:rsid w:val="006B596E"/>
    <w:rsid w:val="006B603E"/>
    <w:rsid w:val="006B634D"/>
    <w:rsid w:val="006B67AF"/>
    <w:rsid w:val="006B7E24"/>
    <w:rsid w:val="006C0264"/>
    <w:rsid w:val="006C039E"/>
    <w:rsid w:val="006C0AA3"/>
    <w:rsid w:val="006C0B50"/>
    <w:rsid w:val="006C0E36"/>
    <w:rsid w:val="006C1165"/>
    <w:rsid w:val="006C1779"/>
    <w:rsid w:val="006C204E"/>
    <w:rsid w:val="006C2161"/>
    <w:rsid w:val="006C2632"/>
    <w:rsid w:val="006C2869"/>
    <w:rsid w:val="006C294D"/>
    <w:rsid w:val="006C2F99"/>
    <w:rsid w:val="006C38C9"/>
    <w:rsid w:val="006C43B7"/>
    <w:rsid w:val="006C44F8"/>
    <w:rsid w:val="006C46BB"/>
    <w:rsid w:val="006C4F74"/>
    <w:rsid w:val="006C5BB2"/>
    <w:rsid w:val="006C60B1"/>
    <w:rsid w:val="006C6395"/>
    <w:rsid w:val="006C6449"/>
    <w:rsid w:val="006C6B67"/>
    <w:rsid w:val="006C6B6C"/>
    <w:rsid w:val="006C731B"/>
    <w:rsid w:val="006C7329"/>
    <w:rsid w:val="006C7AD4"/>
    <w:rsid w:val="006D0476"/>
    <w:rsid w:val="006D0B0A"/>
    <w:rsid w:val="006D0F4A"/>
    <w:rsid w:val="006D1C6F"/>
    <w:rsid w:val="006D1DE1"/>
    <w:rsid w:val="006D1F07"/>
    <w:rsid w:val="006D1F12"/>
    <w:rsid w:val="006D2405"/>
    <w:rsid w:val="006D26B7"/>
    <w:rsid w:val="006D2C54"/>
    <w:rsid w:val="006D2FD6"/>
    <w:rsid w:val="006D30F8"/>
    <w:rsid w:val="006D327C"/>
    <w:rsid w:val="006D358D"/>
    <w:rsid w:val="006D3BBC"/>
    <w:rsid w:val="006D41A2"/>
    <w:rsid w:val="006D4604"/>
    <w:rsid w:val="006D47CC"/>
    <w:rsid w:val="006D4B95"/>
    <w:rsid w:val="006D51DE"/>
    <w:rsid w:val="006D5681"/>
    <w:rsid w:val="006D589E"/>
    <w:rsid w:val="006D5C3D"/>
    <w:rsid w:val="006D5CB4"/>
    <w:rsid w:val="006D624F"/>
    <w:rsid w:val="006D6D15"/>
    <w:rsid w:val="006D71FB"/>
    <w:rsid w:val="006D78A7"/>
    <w:rsid w:val="006D7D67"/>
    <w:rsid w:val="006E029E"/>
    <w:rsid w:val="006E0409"/>
    <w:rsid w:val="006E0AC0"/>
    <w:rsid w:val="006E10DC"/>
    <w:rsid w:val="006E3175"/>
    <w:rsid w:val="006E3A59"/>
    <w:rsid w:val="006E3EC8"/>
    <w:rsid w:val="006E510B"/>
    <w:rsid w:val="006E5EE5"/>
    <w:rsid w:val="006E5F9F"/>
    <w:rsid w:val="006E638E"/>
    <w:rsid w:val="006E77B8"/>
    <w:rsid w:val="006E7E5B"/>
    <w:rsid w:val="006F0142"/>
    <w:rsid w:val="006F092A"/>
    <w:rsid w:val="006F0D09"/>
    <w:rsid w:val="006F106C"/>
    <w:rsid w:val="006F13FB"/>
    <w:rsid w:val="006F1BD3"/>
    <w:rsid w:val="006F203E"/>
    <w:rsid w:val="006F2929"/>
    <w:rsid w:val="006F35B3"/>
    <w:rsid w:val="006F3E00"/>
    <w:rsid w:val="006F423A"/>
    <w:rsid w:val="006F428D"/>
    <w:rsid w:val="006F4D81"/>
    <w:rsid w:val="006F52B8"/>
    <w:rsid w:val="006F6086"/>
    <w:rsid w:val="006F72C4"/>
    <w:rsid w:val="006F7510"/>
    <w:rsid w:val="006F760C"/>
    <w:rsid w:val="006F7BB9"/>
    <w:rsid w:val="006F7CE9"/>
    <w:rsid w:val="007004E4"/>
    <w:rsid w:val="00700DEB"/>
    <w:rsid w:val="007010F1"/>
    <w:rsid w:val="00701B30"/>
    <w:rsid w:val="00701B32"/>
    <w:rsid w:val="00701B61"/>
    <w:rsid w:val="007021A6"/>
    <w:rsid w:val="007021DE"/>
    <w:rsid w:val="00702C26"/>
    <w:rsid w:val="00703601"/>
    <w:rsid w:val="007039CB"/>
    <w:rsid w:val="007042C4"/>
    <w:rsid w:val="007042E0"/>
    <w:rsid w:val="007043E9"/>
    <w:rsid w:val="00704547"/>
    <w:rsid w:val="00704C6C"/>
    <w:rsid w:val="00705601"/>
    <w:rsid w:val="00705B02"/>
    <w:rsid w:val="007067B4"/>
    <w:rsid w:val="00706A39"/>
    <w:rsid w:val="00706AEC"/>
    <w:rsid w:val="00706D2F"/>
    <w:rsid w:val="00706D9B"/>
    <w:rsid w:val="0070760E"/>
    <w:rsid w:val="00707DB1"/>
    <w:rsid w:val="00710133"/>
    <w:rsid w:val="00710181"/>
    <w:rsid w:val="00710857"/>
    <w:rsid w:val="007108F6"/>
    <w:rsid w:val="00710EB6"/>
    <w:rsid w:val="00710EF2"/>
    <w:rsid w:val="0071108E"/>
    <w:rsid w:val="00711570"/>
    <w:rsid w:val="00711EB7"/>
    <w:rsid w:val="007120C0"/>
    <w:rsid w:val="007123B5"/>
    <w:rsid w:val="0071242A"/>
    <w:rsid w:val="00712439"/>
    <w:rsid w:val="00712CF1"/>
    <w:rsid w:val="00713AD5"/>
    <w:rsid w:val="00713BB2"/>
    <w:rsid w:val="00713BE1"/>
    <w:rsid w:val="00713CAA"/>
    <w:rsid w:val="00713DCC"/>
    <w:rsid w:val="0071403A"/>
    <w:rsid w:val="0071419B"/>
    <w:rsid w:val="007144CB"/>
    <w:rsid w:val="0071454D"/>
    <w:rsid w:val="00714A2E"/>
    <w:rsid w:val="00714A43"/>
    <w:rsid w:val="00714E9B"/>
    <w:rsid w:val="007157A5"/>
    <w:rsid w:val="007158F3"/>
    <w:rsid w:val="00715C8F"/>
    <w:rsid w:val="00716036"/>
    <w:rsid w:val="0071638E"/>
    <w:rsid w:val="00716FBC"/>
    <w:rsid w:val="0071773F"/>
    <w:rsid w:val="0072009E"/>
    <w:rsid w:val="0072015F"/>
    <w:rsid w:val="007203D0"/>
    <w:rsid w:val="00720475"/>
    <w:rsid w:val="0072067D"/>
    <w:rsid w:val="00721111"/>
    <w:rsid w:val="00721250"/>
    <w:rsid w:val="00721570"/>
    <w:rsid w:val="007218C5"/>
    <w:rsid w:val="00721B03"/>
    <w:rsid w:val="0072255B"/>
    <w:rsid w:val="007232E4"/>
    <w:rsid w:val="0072417B"/>
    <w:rsid w:val="00724AAA"/>
    <w:rsid w:val="00724B97"/>
    <w:rsid w:val="00724BD6"/>
    <w:rsid w:val="00724D07"/>
    <w:rsid w:val="00724D94"/>
    <w:rsid w:val="00724DBA"/>
    <w:rsid w:val="0072581A"/>
    <w:rsid w:val="00725D71"/>
    <w:rsid w:val="00725F31"/>
    <w:rsid w:val="00726360"/>
    <w:rsid w:val="00726C3F"/>
    <w:rsid w:val="007270A8"/>
    <w:rsid w:val="0072716B"/>
    <w:rsid w:val="0072775C"/>
    <w:rsid w:val="00727977"/>
    <w:rsid w:val="00727E2D"/>
    <w:rsid w:val="00730762"/>
    <w:rsid w:val="00730ACA"/>
    <w:rsid w:val="00730B13"/>
    <w:rsid w:val="00730BF8"/>
    <w:rsid w:val="0073103F"/>
    <w:rsid w:val="00731288"/>
    <w:rsid w:val="00731452"/>
    <w:rsid w:val="007322D2"/>
    <w:rsid w:val="00732545"/>
    <w:rsid w:val="007328F7"/>
    <w:rsid w:val="00732955"/>
    <w:rsid w:val="00733079"/>
    <w:rsid w:val="00733475"/>
    <w:rsid w:val="0073347D"/>
    <w:rsid w:val="00733AD8"/>
    <w:rsid w:val="00733E0D"/>
    <w:rsid w:val="0073413E"/>
    <w:rsid w:val="007348B2"/>
    <w:rsid w:val="007349BB"/>
    <w:rsid w:val="00734A84"/>
    <w:rsid w:val="00734E51"/>
    <w:rsid w:val="007350FD"/>
    <w:rsid w:val="00736361"/>
    <w:rsid w:val="00736C48"/>
    <w:rsid w:val="00736E8B"/>
    <w:rsid w:val="00736F1D"/>
    <w:rsid w:val="007375C1"/>
    <w:rsid w:val="00737AC0"/>
    <w:rsid w:val="00737FB4"/>
    <w:rsid w:val="007408B7"/>
    <w:rsid w:val="00740D54"/>
    <w:rsid w:val="00740E20"/>
    <w:rsid w:val="00740EFE"/>
    <w:rsid w:val="00741910"/>
    <w:rsid w:val="007419E6"/>
    <w:rsid w:val="00741A8F"/>
    <w:rsid w:val="00741ADB"/>
    <w:rsid w:val="00741B50"/>
    <w:rsid w:val="00741E8D"/>
    <w:rsid w:val="00742260"/>
    <w:rsid w:val="0074237B"/>
    <w:rsid w:val="00742548"/>
    <w:rsid w:val="00742911"/>
    <w:rsid w:val="00743092"/>
    <w:rsid w:val="007438EE"/>
    <w:rsid w:val="00743943"/>
    <w:rsid w:val="00743A2C"/>
    <w:rsid w:val="00743F33"/>
    <w:rsid w:val="00743F3A"/>
    <w:rsid w:val="007440E9"/>
    <w:rsid w:val="00744EC7"/>
    <w:rsid w:val="007451E7"/>
    <w:rsid w:val="00745371"/>
    <w:rsid w:val="007459CC"/>
    <w:rsid w:val="007465D2"/>
    <w:rsid w:val="00746DC5"/>
    <w:rsid w:val="00746DFB"/>
    <w:rsid w:val="007470E0"/>
    <w:rsid w:val="007475E4"/>
    <w:rsid w:val="00747607"/>
    <w:rsid w:val="007476CE"/>
    <w:rsid w:val="007509D7"/>
    <w:rsid w:val="00750D0A"/>
    <w:rsid w:val="00751EE2"/>
    <w:rsid w:val="007521D5"/>
    <w:rsid w:val="0075222B"/>
    <w:rsid w:val="00752358"/>
    <w:rsid w:val="0075278A"/>
    <w:rsid w:val="00752827"/>
    <w:rsid w:val="00752F07"/>
    <w:rsid w:val="007537DD"/>
    <w:rsid w:val="00754ACE"/>
    <w:rsid w:val="00754B2D"/>
    <w:rsid w:val="00754E36"/>
    <w:rsid w:val="007551B2"/>
    <w:rsid w:val="007556E8"/>
    <w:rsid w:val="00755D59"/>
    <w:rsid w:val="00756407"/>
    <w:rsid w:val="00756D77"/>
    <w:rsid w:val="00756DB3"/>
    <w:rsid w:val="007570A3"/>
    <w:rsid w:val="0075748C"/>
    <w:rsid w:val="00757668"/>
    <w:rsid w:val="00757B1C"/>
    <w:rsid w:val="00760AC6"/>
    <w:rsid w:val="00760BCB"/>
    <w:rsid w:val="00760D0E"/>
    <w:rsid w:val="00761137"/>
    <w:rsid w:val="00761224"/>
    <w:rsid w:val="007616D4"/>
    <w:rsid w:val="0076173A"/>
    <w:rsid w:val="0076184A"/>
    <w:rsid w:val="00761941"/>
    <w:rsid w:val="00761A7A"/>
    <w:rsid w:val="00762471"/>
    <w:rsid w:val="00763532"/>
    <w:rsid w:val="00763A76"/>
    <w:rsid w:val="00763A94"/>
    <w:rsid w:val="0076418D"/>
    <w:rsid w:val="00764C35"/>
    <w:rsid w:val="0076504D"/>
    <w:rsid w:val="007652CC"/>
    <w:rsid w:val="0076558A"/>
    <w:rsid w:val="00765B05"/>
    <w:rsid w:val="00765BDC"/>
    <w:rsid w:val="0076648D"/>
    <w:rsid w:val="007664A7"/>
    <w:rsid w:val="007667E2"/>
    <w:rsid w:val="00766BE0"/>
    <w:rsid w:val="00766CBF"/>
    <w:rsid w:val="007670C3"/>
    <w:rsid w:val="00767EC3"/>
    <w:rsid w:val="00770D15"/>
    <w:rsid w:val="00770F17"/>
    <w:rsid w:val="00771255"/>
    <w:rsid w:val="0077133B"/>
    <w:rsid w:val="007720FD"/>
    <w:rsid w:val="00772838"/>
    <w:rsid w:val="00772C66"/>
    <w:rsid w:val="00773416"/>
    <w:rsid w:val="00773645"/>
    <w:rsid w:val="00774048"/>
    <w:rsid w:val="00774486"/>
    <w:rsid w:val="007746F2"/>
    <w:rsid w:val="00774826"/>
    <w:rsid w:val="007748E7"/>
    <w:rsid w:val="007749B7"/>
    <w:rsid w:val="00774C72"/>
    <w:rsid w:val="007754D0"/>
    <w:rsid w:val="007755D2"/>
    <w:rsid w:val="00775673"/>
    <w:rsid w:val="00775CA2"/>
    <w:rsid w:val="007767DC"/>
    <w:rsid w:val="0077697D"/>
    <w:rsid w:val="0077714B"/>
    <w:rsid w:val="00780786"/>
    <w:rsid w:val="00780C25"/>
    <w:rsid w:val="00780FA8"/>
    <w:rsid w:val="007814E5"/>
    <w:rsid w:val="00781637"/>
    <w:rsid w:val="0078166D"/>
    <w:rsid w:val="0078169C"/>
    <w:rsid w:val="007823A0"/>
    <w:rsid w:val="007829B1"/>
    <w:rsid w:val="00783970"/>
    <w:rsid w:val="00784017"/>
    <w:rsid w:val="00784038"/>
    <w:rsid w:val="00784BB4"/>
    <w:rsid w:val="00785E2A"/>
    <w:rsid w:val="0078627C"/>
    <w:rsid w:val="00786395"/>
    <w:rsid w:val="0078667E"/>
    <w:rsid w:val="00787403"/>
    <w:rsid w:val="00787479"/>
    <w:rsid w:val="007879FF"/>
    <w:rsid w:val="00787EC4"/>
    <w:rsid w:val="00790470"/>
    <w:rsid w:val="00790541"/>
    <w:rsid w:val="007909D1"/>
    <w:rsid w:val="00790C21"/>
    <w:rsid w:val="0079155B"/>
    <w:rsid w:val="00792317"/>
    <w:rsid w:val="00792AF5"/>
    <w:rsid w:val="00793143"/>
    <w:rsid w:val="007938EB"/>
    <w:rsid w:val="00793AB3"/>
    <w:rsid w:val="0079416B"/>
    <w:rsid w:val="00794424"/>
    <w:rsid w:val="00794666"/>
    <w:rsid w:val="0079495F"/>
    <w:rsid w:val="00794AFC"/>
    <w:rsid w:val="00794B73"/>
    <w:rsid w:val="007952DE"/>
    <w:rsid w:val="00795F3D"/>
    <w:rsid w:val="00795F46"/>
    <w:rsid w:val="00796C4B"/>
    <w:rsid w:val="00797EB1"/>
    <w:rsid w:val="007A003D"/>
    <w:rsid w:val="007A04F9"/>
    <w:rsid w:val="007A056C"/>
    <w:rsid w:val="007A0E5C"/>
    <w:rsid w:val="007A102F"/>
    <w:rsid w:val="007A12A2"/>
    <w:rsid w:val="007A1A67"/>
    <w:rsid w:val="007A25CD"/>
    <w:rsid w:val="007A2A59"/>
    <w:rsid w:val="007A2D94"/>
    <w:rsid w:val="007A2DA3"/>
    <w:rsid w:val="007A30E1"/>
    <w:rsid w:val="007A326A"/>
    <w:rsid w:val="007A34FB"/>
    <w:rsid w:val="007A37CA"/>
    <w:rsid w:val="007A3F9F"/>
    <w:rsid w:val="007A4CB9"/>
    <w:rsid w:val="007A53E4"/>
    <w:rsid w:val="007A58A8"/>
    <w:rsid w:val="007A599D"/>
    <w:rsid w:val="007A6B9E"/>
    <w:rsid w:val="007A71ED"/>
    <w:rsid w:val="007A776C"/>
    <w:rsid w:val="007A7F36"/>
    <w:rsid w:val="007A7F4D"/>
    <w:rsid w:val="007B04FD"/>
    <w:rsid w:val="007B053F"/>
    <w:rsid w:val="007B06BD"/>
    <w:rsid w:val="007B07F9"/>
    <w:rsid w:val="007B0901"/>
    <w:rsid w:val="007B0CA9"/>
    <w:rsid w:val="007B0F2E"/>
    <w:rsid w:val="007B1209"/>
    <w:rsid w:val="007B14B4"/>
    <w:rsid w:val="007B16A1"/>
    <w:rsid w:val="007B21D2"/>
    <w:rsid w:val="007B28A2"/>
    <w:rsid w:val="007B2A0D"/>
    <w:rsid w:val="007B2AF5"/>
    <w:rsid w:val="007B2C4E"/>
    <w:rsid w:val="007B2CCC"/>
    <w:rsid w:val="007B3711"/>
    <w:rsid w:val="007B38EE"/>
    <w:rsid w:val="007B3B1E"/>
    <w:rsid w:val="007B3B48"/>
    <w:rsid w:val="007B3E23"/>
    <w:rsid w:val="007B4213"/>
    <w:rsid w:val="007B4CE1"/>
    <w:rsid w:val="007B4E02"/>
    <w:rsid w:val="007B5701"/>
    <w:rsid w:val="007B5EAB"/>
    <w:rsid w:val="007B60B6"/>
    <w:rsid w:val="007B6207"/>
    <w:rsid w:val="007B655E"/>
    <w:rsid w:val="007B6A4A"/>
    <w:rsid w:val="007B6AF9"/>
    <w:rsid w:val="007B6C4A"/>
    <w:rsid w:val="007B6C4B"/>
    <w:rsid w:val="007B709D"/>
    <w:rsid w:val="007B744F"/>
    <w:rsid w:val="007B75F3"/>
    <w:rsid w:val="007B789E"/>
    <w:rsid w:val="007B7BA3"/>
    <w:rsid w:val="007B7C3D"/>
    <w:rsid w:val="007B7D8E"/>
    <w:rsid w:val="007C035B"/>
    <w:rsid w:val="007C0559"/>
    <w:rsid w:val="007C16CE"/>
    <w:rsid w:val="007C1779"/>
    <w:rsid w:val="007C1B87"/>
    <w:rsid w:val="007C22BA"/>
    <w:rsid w:val="007C296C"/>
    <w:rsid w:val="007C2EDE"/>
    <w:rsid w:val="007C2F5B"/>
    <w:rsid w:val="007C305A"/>
    <w:rsid w:val="007C313C"/>
    <w:rsid w:val="007C3153"/>
    <w:rsid w:val="007C3CF9"/>
    <w:rsid w:val="007C42B9"/>
    <w:rsid w:val="007C46C5"/>
    <w:rsid w:val="007C46E7"/>
    <w:rsid w:val="007C47ED"/>
    <w:rsid w:val="007C4AED"/>
    <w:rsid w:val="007C566E"/>
    <w:rsid w:val="007C569F"/>
    <w:rsid w:val="007C58B7"/>
    <w:rsid w:val="007C7233"/>
    <w:rsid w:val="007C7E63"/>
    <w:rsid w:val="007D00C7"/>
    <w:rsid w:val="007D056C"/>
    <w:rsid w:val="007D1720"/>
    <w:rsid w:val="007D17D2"/>
    <w:rsid w:val="007D184F"/>
    <w:rsid w:val="007D1A18"/>
    <w:rsid w:val="007D1BF1"/>
    <w:rsid w:val="007D1D1B"/>
    <w:rsid w:val="007D2A04"/>
    <w:rsid w:val="007D2C3C"/>
    <w:rsid w:val="007D366E"/>
    <w:rsid w:val="007D3706"/>
    <w:rsid w:val="007D3F95"/>
    <w:rsid w:val="007D408D"/>
    <w:rsid w:val="007D4766"/>
    <w:rsid w:val="007D4CA6"/>
    <w:rsid w:val="007D55C9"/>
    <w:rsid w:val="007D5929"/>
    <w:rsid w:val="007D5ABD"/>
    <w:rsid w:val="007D6284"/>
    <w:rsid w:val="007D6B65"/>
    <w:rsid w:val="007D73AE"/>
    <w:rsid w:val="007D73E5"/>
    <w:rsid w:val="007D7406"/>
    <w:rsid w:val="007E153A"/>
    <w:rsid w:val="007E178A"/>
    <w:rsid w:val="007E1D7C"/>
    <w:rsid w:val="007E1EA3"/>
    <w:rsid w:val="007E2043"/>
    <w:rsid w:val="007E226F"/>
    <w:rsid w:val="007E25DF"/>
    <w:rsid w:val="007E2957"/>
    <w:rsid w:val="007E2A11"/>
    <w:rsid w:val="007E2EFB"/>
    <w:rsid w:val="007E41FB"/>
    <w:rsid w:val="007E4521"/>
    <w:rsid w:val="007E4848"/>
    <w:rsid w:val="007E4FF4"/>
    <w:rsid w:val="007E5077"/>
    <w:rsid w:val="007E51E8"/>
    <w:rsid w:val="007E5352"/>
    <w:rsid w:val="007E5988"/>
    <w:rsid w:val="007E59C2"/>
    <w:rsid w:val="007E59D6"/>
    <w:rsid w:val="007E5EA9"/>
    <w:rsid w:val="007E6373"/>
    <w:rsid w:val="007E6411"/>
    <w:rsid w:val="007E64CD"/>
    <w:rsid w:val="007E67CB"/>
    <w:rsid w:val="007E7657"/>
    <w:rsid w:val="007E7667"/>
    <w:rsid w:val="007E7BEB"/>
    <w:rsid w:val="007F02C6"/>
    <w:rsid w:val="007F083E"/>
    <w:rsid w:val="007F0FDB"/>
    <w:rsid w:val="007F11FE"/>
    <w:rsid w:val="007F16A7"/>
    <w:rsid w:val="007F1726"/>
    <w:rsid w:val="007F1B61"/>
    <w:rsid w:val="007F1E56"/>
    <w:rsid w:val="007F2634"/>
    <w:rsid w:val="007F26A7"/>
    <w:rsid w:val="007F2D20"/>
    <w:rsid w:val="007F33AE"/>
    <w:rsid w:val="007F355E"/>
    <w:rsid w:val="007F3A69"/>
    <w:rsid w:val="007F3CCD"/>
    <w:rsid w:val="007F45C4"/>
    <w:rsid w:val="007F4B2C"/>
    <w:rsid w:val="007F53E9"/>
    <w:rsid w:val="007F5426"/>
    <w:rsid w:val="007F5A9E"/>
    <w:rsid w:val="007F60DF"/>
    <w:rsid w:val="007F683F"/>
    <w:rsid w:val="007F6959"/>
    <w:rsid w:val="007F72C4"/>
    <w:rsid w:val="007F77AF"/>
    <w:rsid w:val="007F7820"/>
    <w:rsid w:val="007F7A30"/>
    <w:rsid w:val="007F7C29"/>
    <w:rsid w:val="00800B17"/>
    <w:rsid w:val="00800B5A"/>
    <w:rsid w:val="00800DF3"/>
    <w:rsid w:val="00801280"/>
    <w:rsid w:val="0080195A"/>
    <w:rsid w:val="008026D4"/>
    <w:rsid w:val="00802B7A"/>
    <w:rsid w:val="00802D69"/>
    <w:rsid w:val="00802E85"/>
    <w:rsid w:val="008038B0"/>
    <w:rsid w:val="008038C9"/>
    <w:rsid w:val="00804A4A"/>
    <w:rsid w:val="00804A98"/>
    <w:rsid w:val="00805444"/>
    <w:rsid w:val="00805753"/>
    <w:rsid w:val="00805C3A"/>
    <w:rsid w:val="00806652"/>
    <w:rsid w:val="00806927"/>
    <w:rsid w:val="00806C40"/>
    <w:rsid w:val="008072BD"/>
    <w:rsid w:val="00807745"/>
    <w:rsid w:val="00807833"/>
    <w:rsid w:val="00810521"/>
    <w:rsid w:val="008106AC"/>
    <w:rsid w:val="00810916"/>
    <w:rsid w:val="00811052"/>
    <w:rsid w:val="0081109A"/>
    <w:rsid w:val="00811AE4"/>
    <w:rsid w:val="00811ECE"/>
    <w:rsid w:val="008122E3"/>
    <w:rsid w:val="00812A3A"/>
    <w:rsid w:val="00813559"/>
    <w:rsid w:val="00813748"/>
    <w:rsid w:val="0081379F"/>
    <w:rsid w:val="008139A7"/>
    <w:rsid w:val="00813B4A"/>
    <w:rsid w:val="00814DBA"/>
    <w:rsid w:val="008150B2"/>
    <w:rsid w:val="0081602B"/>
    <w:rsid w:val="00816037"/>
    <w:rsid w:val="00816396"/>
    <w:rsid w:val="00816957"/>
    <w:rsid w:val="00816B84"/>
    <w:rsid w:val="00816D04"/>
    <w:rsid w:val="00817254"/>
    <w:rsid w:val="008204CC"/>
    <w:rsid w:val="00820849"/>
    <w:rsid w:val="008208CD"/>
    <w:rsid w:val="00820D9C"/>
    <w:rsid w:val="00820EAF"/>
    <w:rsid w:val="008218DC"/>
    <w:rsid w:val="00821A04"/>
    <w:rsid w:val="008226E7"/>
    <w:rsid w:val="008228F2"/>
    <w:rsid w:val="00822C3E"/>
    <w:rsid w:val="0082335D"/>
    <w:rsid w:val="00823668"/>
    <w:rsid w:val="0082381C"/>
    <w:rsid w:val="008239D6"/>
    <w:rsid w:val="00823A4B"/>
    <w:rsid w:val="00823E0B"/>
    <w:rsid w:val="008241C9"/>
    <w:rsid w:val="0082430F"/>
    <w:rsid w:val="008244E4"/>
    <w:rsid w:val="00824544"/>
    <w:rsid w:val="0082473C"/>
    <w:rsid w:val="00824AE7"/>
    <w:rsid w:val="00824B7C"/>
    <w:rsid w:val="00824DD2"/>
    <w:rsid w:val="008251D0"/>
    <w:rsid w:val="00825E17"/>
    <w:rsid w:val="008260A4"/>
    <w:rsid w:val="008260AB"/>
    <w:rsid w:val="00826381"/>
    <w:rsid w:val="00826B1F"/>
    <w:rsid w:val="00826DF4"/>
    <w:rsid w:val="00826F79"/>
    <w:rsid w:val="0082728C"/>
    <w:rsid w:val="0082754D"/>
    <w:rsid w:val="008275A7"/>
    <w:rsid w:val="0082785C"/>
    <w:rsid w:val="00827985"/>
    <w:rsid w:val="00830597"/>
    <w:rsid w:val="0083074F"/>
    <w:rsid w:val="0083093D"/>
    <w:rsid w:val="00830A50"/>
    <w:rsid w:val="00830B3F"/>
    <w:rsid w:val="008317C5"/>
    <w:rsid w:val="00831937"/>
    <w:rsid w:val="008321BF"/>
    <w:rsid w:val="0083231F"/>
    <w:rsid w:val="008323EE"/>
    <w:rsid w:val="008329AB"/>
    <w:rsid w:val="00832A45"/>
    <w:rsid w:val="008347B3"/>
    <w:rsid w:val="008348D5"/>
    <w:rsid w:val="00834A66"/>
    <w:rsid w:val="00834E45"/>
    <w:rsid w:val="0083506A"/>
    <w:rsid w:val="008355F6"/>
    <w:rsid w:val="00835A60"/>
    <w:rsid w:val="00835BAF"/>
    <w:rsid w:val="00835CC0"/>
    <w:rsid w:val="0083630B"/>
    <w:rsid w:val="0083692A"/>
    <w:rsid w:val="008369E2"/>
    <w:rsid w:val="0084015F"/>
    <w:rsid w:val="008401D1"/>
    <w:rsid w:val="008403EF"/>
    <w:rsid w:val="00840853"/>
    <w:rsid w:val="008411A4"/>
    <w:rsid w:val="0084156D"/>
    <w:rsid w:val="008418EF"/>
    <w:rsid w:val="00841E47"/>
    <w:rsid w:val="0084208D"/>
    <w:rsid w:val="008427B6"/>
    <w:rsid w:val="00842889"/>
    <w:rsid w:val="0084301F"/>
    <w:rsid w:val="00843BD9"/>
    <w:rsid w:val="00843F0F"/>
    <w:rsid w:val="0084473E"/>
    <w:rsid w:val="00845215"/>
    <w:rsid w:val="00845797"/>
    <w:rsid w:val="008459C0"/>
    <w:rsid w:val="00846052"/>
    <w:rsid w:val="00846228"/>
    <w:rsid w:val="00846282"/>
    <w:rsid w:val="00846678"/>
    <w:rsid w:val="00846A5E"/>
    <w:rsid w:val="00846D31"/>
    <w:rsid w:val="0084737F"/>
    <w:rsid w:val="00847769"/>
    <w:rsid w:val="0084779E"/>
    <w:rsid w:val="0085052B"/>
    <w:rsid w:val="00850AF8"/>
    <w:rsid w:val="00850C5E"/>
    <w:rsid w:val="00850FAB"/>
    <w:rsid w:val="008514A7"/>
    <w:rsid w:val="008518D8"/>
    <w:rsid w:val="008520EB"/>
    <w:rsid w:val="008524DB"/>
    <w:rsid w:val="008526D0"/>
    <w:rsid w:val="00852875"/>
    <w:rsid w:val="00852D60"/>
    <w:rsid w:val="00852E88"/>
    <w:rsid w:val="00854F01"/>
    <w:rsid w:val="00854F4D"/>
    <w:rsid w:val="0085505C"/>
    <w:rsid w:val="008559DB"/>
    <w:rsid w:val="00855B21"/>
    <w:rsid w:val="008560B1"/>
    <w:rsid w:val="0085628E"/>
    <w:rsid w:val="00856588"/>
    <w:rsid w:val="00857320"/>
    <w:rsid w:val="0085779C"/>
    <w:rsid w:val="00857BBE"/>
    <w:rsid w:val="00860AD5"/>
    <w:rsid w:val="00861873"/>
    <w:rsid w:val="00861EBC"/>
    <w:rsid w:val="00861F82"/>
    <w:rsid w:val="008621E1"/>
    <w:rsid w:val="008623DA"/>
    <w:rsid w:val="008623F4"/>
    <w:rsid w:val="00862898"/>
    <w:rsid w:val="00862A67"/>
    <w:rsid w:val="008638F7"/>
    <w:rsid w:val="00863BEB"/>
    <w:rsid w:val="0086424C"/>
    <w:rsid w:val="0086451F"/>
    <w:rsid w:val="00864551"/>
    <w:rsid w:val="00864722"/>
    <w:rsid w:val="0086497F"/>
    <w:rsid w:val="00864CDA"/>
    <w:rsid w:val="00865018"/>
    <w:rsid w:val="0086512A"/>
    <w:rsid w:val="008652EE"/>
    <w:rsid w:val="0086553C"/>
    <w:rsid w:val="00865C30"/>
    <w:rsid w:val="00866480"/>
    <w:rsid w:val="00866553"/>
    <w:rsid w:val="0086656A"/>
    <w:rsid w:val="008666C2"/>
    <w:rsid w:val="0086677C"/>
    <w:rsid w:val="008667E6"/>
    <w:rsid w:val="00866D11"/>
    <w:rsid w:val="00866E22"/>
    <w:rsid w:val="00866EE2"/>
    <w:rsid w:val="00866F4F"/>
    <w:rsid w:val="0086781F"/>
    <w:rsid w:val="00867899"/>
    <w:rsid w:val="00867973"/>
    <w:rsid w:val="00867F86"/>
    <w:rsid w:val="008703C8"/>
    <w:rsid w:val="00870C71"/>
    <w:rsid w:val="00870D4A"/>
    <w:rsid w:val="00870E68"/>
    <w:rsid w:val="00872170"/>
    <w:rsid w:val="00872260"/>
    <w:rsid w:val="0087285F"/>
    <w:rsid w:val="00872BAB"/>
    <w:rsid w:val="00872DF4"/>
    <w:rsid w:val="008733B6"/>
    <w:rsid w:val="008762E6"/>
    <w:rsid w:val="00876462"/>
    <w:rsid w:val="00876AA2"/>
    <w:rsid w:val="0087763B"/>
    <w:rsid w:val="008777A4"/>
    <w:rsid w:val="00877988"/>
    <w:rsid w:val="00880240"/>
    <w:rsid w:val="00880B9B"/>
    <w:rsid w:val="00880EEE"/>
    <w:rsid w:val="0088180B"/>
    <w:rsid w:val="00881810"/>
    <w:rsid w:val="008818F8"/>
    <w:rsid w:val="00881ED4"/>
    <w:rsid w:val="008824A6"/>
    <w:rsid w:val="0088262D"/>
    <w:rsid w:val="00882658"/>
    <w:rsid w:val="008829DD"/>
    <w:rsid w:val="0088328C"/>
    <w:rsid w:val="008848DB"/>
    <w:rsid w:val="00885050"/>
    <w:rsid w:val="008851BB"/>
    <w:rsid w:val="00885265"/>
    <w:rsid w:val="00885BAE"/>
    <w:rsid w:val="00885E5E"/>
    <w:rsid w:val="0088681A"/>
    <w:rsid w:val="0088694B"/>
    <w:rsid w:val="008870FB"/>
    <w:rsid w:val="00887609"/>
    <w:rsid w:val="00887D47"/>
    <w:rsid w:val="00890411"/>
    <w:rsid w:val="00890D88"/>
    <w:rsid w:val="00891900"/>
    <w:rsid w:val="00891DA7"/>
    <w:rsid w:val="00891F37"/>
    <w:rsid w:val="00892151"/>
    <w:rsid w:val="008924E4"/>
    <w:rsid w:val="008926E1"/>
    <w:rsid w:val="00892BF9"/>
    <w:rsid w:val="00893BD5"/>
    <w:rsid w:val="00893FE8"/>
    <w:rsid w:val="00894453"/>
    <w:rsid w:val="00894726"/>
    <w:rsid w:val="0089489F"/>
    <w:rsid w:val="00894A01"/>
    <w:rsid w:val="00895445"/>
    <w:rsid w:val="00895BE7"/>
    <w:rsid w:val="00895CC3"/>
    <w:rsid w:val="00896084"/>
    <w:rsid w:val="00896CBA"/>
    <w:rsid w:val="00896E69"/>
    <w:rsid w:val="0089714B"/>
    <w:rsid w:val="0089718A"/>
    <w:rsid w:val="0089762B"/>
    <w:rsid w:val="00897696"/>
    <w:rsid w:val="008977B3"/>
    <w:rsid w:val="00897DFD"/>
    <w:rsid w:val="00897EFB"/>
    <w:rsid w:val="008A0105"/>
    <w:rsid w:val="008A01F1"/>
    <w:rsid w:val="008A0618"/>
    <w:rsid w:val="008A1512"/>
    <w:rsid w:val="008A31D5"/>
    <w:rsid w:val="008A3354"/>
    <w:rsid w:val="008A35BD"/>
    <w:rsid w:val="008A35F4"/>
    <w:rsid w:val="008A3B61"/>
    <w:rsid w:val="008A4316"/>
    <w:rsid w:val="008A4BA9"/>
    <w:rsid w:val="008A4BD1"/>
    <w:rsid w:val="008A5029"/>
    <w:rsid w:val="008A50D7"/>
    <w:rsid w:val="008A5290"/>
    <w:rsid w:val="008A5352"/>
    <w:rsid w:val="008A611C"/>
    <w:rsid w:val="008A6264"/>
    <w:rsid w:val="008A6819"/>
    <w:rsid w:val="008A6D1D"/>
    <w:rsid w:val="008A6DBC"/>
    <w:rsid w:val="008A6E37"/>
    <w:rsid w:val="008A6FA2"/>
    <w:rsid w:val="008A77DD"/>
    <w:rsid w:val="008B095A"/>
    <w:rsid w:val="008B09CE"/>
    <w:rsid w:val="008B18D3"/>
    <w:rsid w:val="008B201A"/>
    <w:rsid w:val="008B21BC"/>
    <w:rsid w:val="008B279C"/>
    <w:rsid w:val="008B2E59"/>
    <w:rsid w:val="008B2EC5"/>
    <w:rsid w:val="008B3822"/>
    <w:rsid w:val="008B3EB7"/>
    <w:rsid w:val="008B4949"/>
    <w:rsid w:val="008B4F6F"/>
    <w:rsid w:val="008B59D2"/>
    <w:rsid w:val="008B5A6B"/>
    <w:rsid w:val="008B5A8C"/>
    <w:rsid w:val="008B5EDA"/>
    <w:rsid w:val="008B5EEB"/>
    <w:rsid w:val="008B625B"/>
    <w:rsid w:val="008B691C"/>
    <w:rsid w:val="008B6BA3"/>
    <w:rsid w:val="008B7A2A"/>
    <w:rsid w:val="008B7B65"/>
    <w:rsid w:val="008B7C99"/>
    <w:rsid w:val="008B7DF8"/>
    <w:rsid w:val="008C0762"/>
    <w:rsid w:val="008C07F3"/>
    <w:rsid w:val="008C0929"/>
    <w:rsid w:val="008C0A50"/>
    <w:rsid w:val="008C0AD9"/>
    <w:rsid w:val="008C0C93"/>
    <w:rsid w:val="008C138E"/>
    <w:rsid w:val="008C1671"/>
    <w:rsid w:val="008C1866"/>
    <w:rsid w:val="008C1B28"/>
    <w:rsid w:val="008C2314"/>
    <w:rsid w:val="008C254C"/>
    <w:rsid w:val="008C26E6"/>
    <w:rsid w:val="008C28BA"/>
    <w:rsid w:val="008C3282"/>
    <w:rsid w:val="008C3758"/>
    <w:rsid w:val="008C37E4"/>
    <w:rsid w:val="008C3F87"/>
    <w:rsid w:val="008C4412"/>
    <w:rsid w:val="008C4DB4"/>
    <w:rsid w:val="008C5028"/>
    <w:rsid w:val="008C5499"/>
    <w:rsid w:val="008C6772"/>
    <w:rsid w:val="008C6792"/>
    <w:rsid w:val="008C69BD"/>
    <w:rsid w:val="008C69C8"/>
    <w:rsid w:val="008C70D4"/>
    <w:rsid w:val="008C7890"/>
    <w:rsid w:val="008C7F1F"/>
    <w:rsid w:val="008D0055"/>
    <w:rsid w:val="008D048E"/>
    <w:rsid w:val="008D10E1"/>
    <w:rsid w:val="008D1CC7"/>
    <w:rsid w:val="008D1D00"/>
    <w:rsid w:val="008D1EA3"/>
    <w:rsid w:val="008D1EBD"/>
    <w:rsid w:val="008D2AF0"/>
    <w:rsid w:val="008D3C33"/>
    <w:rsid w:val="008D4701"/>
    <w:rsid w:val="008D4A1C"/>
    <w:rsid w:val="008D4ADF"/>
    <w:rsid w:val="008D4AFE"/>
    <w:rsid w:val="008D5431"/>
    <w:rsid w:val="008D55D8"/>
    <w:rsid w:val="008D5953"/>
    <w:rsid w:val="008D5A56"/>
    <w:rsid w:val="008D5ABD"/>
    <w:rsid w:val="008D5D1E"/>
    <w:rsid w:val="008D5DEA"/>
    <w:rsid w:val="008D5E57"/>
    <w:rsid w:val="008D647B"/>
    <w:rsid w:val="008D6905"/>
    <w:rsid w:val="008D707B"/>
    <w:rsid w:val="008E0778"/>
    <w:rsid w:val="008E0EA5"/>
    <w:rsid w:val="008E11E5"/>
    <w:rsid w:val="008E127C"/>
    <w:rsid w:val="008E23D3"/>
    <w:rsid w:val="008E253D"/>
    <w:rsid w:val="008E29E9"/>
    <w:rsid w:val="008E2EC7"/>
    <w:rsid w:val="008E3124"/>
    <w:rsid w:val="008E359C"/>
    <w:rsid w:val="008E38E3"/>
    <w:rsid w:val="008E3C50"/>
    <w:rsid w:val="008E4530"/>
    <w:rsid w:val="008E4566"/>
    <w:rsid w:val="008E4783"/>
    <w:rsid w:val="008E4BA0"/>
    <w:rsid w:val="008E55FF"/>
    <w:rsid w:val="008E61DF"/>
    <w:rsid w:val="008E675C"/>
    <w:rsid w:val="008E7981"/>
    <w:rsid w:val="008E7AD7"/>
    <w:rsid w:val="008E7E2E"/>
    <w:rsid w:val="008E7E39"/>
    <w:rsid w:val="008F0439"/>
    <w:rsid w:val="008F07AE"/>
    <w:rsid w:val="008F08C5"/>
    <w:rsid w:val="008F09DD"/>
    <w:rsid w:val="008F0C39"/>
    <w:rsid w:val="008F1100"/>
    <w:rsid w:val="008F1A25"/>
    <w:rsid w:val="008F1B64"/>
    <w:rsid w:val="008F1FDC"/>
    <w:rsid w:val="008F291B"/>
    <w:rsid w:val="008F2996"/>
    <w:rsid w:val="008F2AB4"/>
    <w:rsid w:val="008F2C12"/>
    <w:rsid w:val="008F2D52"/>
    <w:rsid w:val="008F32DC"/>
    <w:rsid w:val="008F32F4"/>
    <w:rsid w:val="008F3995"/>
    <w:rsid w:val="008F4300"/>
    <w:rsid w:val="008F4339"/>
    <w:rsid w:val="008F4996"/>
    <w:rsid w:val="008F4BC6"/>
    <w:rsid w:val="008F503D"/>
    <w:rsid w:val="008F509E"/>
    <w:rsid w:val="008F56FB"/>
    <w:rsid w:val="008F5E13"/>
    <w:rsid w:val="008F6148"/>
    <w:rsid w:val="008F6325"/>
    <w:rsid w:val="008F6CA8"/>
    <w:rsid w:val="008F70C2"/>
    <w:rsid w:val="008F713B"/>
    <w:rsid w:val="008F7E49"/>
    <w:rsid w:val="009001E2"/>
    <w:rsid w:val="009007AF"/>
    <w:rsid w:val="00900965"/>
    <w:rsid w:val="00900A8D"/>
    <w:rsid w:val="00902B83"/>
    <w:rsid w:val="0090322B"/>
    <w:rsid w:val="009032D7"/>
    <w:rsid w:val="0090384C"/>
    <w:rsid w:val="009038DA"/>
    <w:rsid w:val="009045D2"/>
    <w:rsid w:val="00904F89"/>
    <w:rsid w:val="00905234"/>
    <w:rsid w:val="00905A4D"/>
    <w:rsid w:val="00905C9F"/>
    <w:rsid w:val="00905E9D"/>
    <w:rsid w:val="00905F0A"/>
    <w:rsid w:val="00906AD7"/>
    <w:rsid w:val="00906C15"/>
    <w:rsid w:val="009073CF"/>
    <w:rsid w:val="009074EA"/>
    <w:rsid w:val="00907E63"/>
    <w:rsid w:val="00907FB2"/>
    <w:rsid w:val="0091043A"/>
    <w:rsid w:val="00910488"/>
    <w:rsid w:val="0091077F"/>
    <w:rsid w:val="00910792"/>
    <w:rsid w:val="00910991"/>
    <w:rsid w:val="00910F74"/>
    <w:rsid w:val="0091113A"/>
    <w:rsid w:val="0091239B"/>
    <w:rsid w:val="0091257D"/>
    <w:rsid w:val="00912725"/>
    <w:rsid w:val="009128B3"/>
    <w:rsid w:val="00912F72"/>
    <w:rsid w:val="009130A7"/>
    <w:rsid w:val="00913253"/>
    <w:rsid w:val="00913556"/>
    <w:rsid w:val="009137EC"/>
    <w:rsid w:val="00913A90"/>
    <w:rsid w:val="00913A9B"/>
    <w:rsid w:val="00913C13"/>
    <w:rsid w:val="00913DF3"/>
    <w:rsid w:val="009140A3"/>
    <w:rsid w:val="0091415A"/>
    <w:rsid w:val="009146FE"/>
    <w:rsid w:val="009149EC"/>
    <w:rsid w:val="00915708"/>
    <w:rsid w:val="009159F1"/>
    <w:rsid w:val="00916B39"/>
    <w:rsid w:val="00916B97"/>
    <w:rsid w:val="00916CF2"/>
    <w:rsid w:val="00916D78"/>
    <w:rsid w:val="009179A7"/>
    <w:rsid w:val="00917F57"/>
    <w:rsid w:val="00920157"/>
    <w:rsid w:val="00920F3B"/>
    <w:rsid w:val="00922057"/>
    <w:rsid w:val="00922522"/>
    <w:rsid w:val="00922F42"/>
    <w:rsid w:val="009238C1"/>
    <w:rsid w:val="0092421C"/>
    <w:rsid w:val="00924258"/>
    <w:rsid w:val="00924471"/>
    <w:rsid w:val="0092458C"/>
    <w:rsid w:val="00924BF6"/>
    <w:rsid w:val="00924C4D"/>
    <w:rsid w:val="00924CC4"/>
    <w:rsid w:val="00925392"/>
    <w:rsid w:val="00925610"/>
    <w:rsid w:val="0092569F"/>
    <w:rsid w:val="00925F71"/>
    <w:rsid w:val="00926489"/>
    <w:rsid w:val="009265CA"/>
    <w:rsid w:val="00926713"/>
    <w:rsid w:val="009267BB"/>
    <w:rsid w:val="00926A9C"/>
    <w:rsid w:val="00926C36"/>
    <w:rsid w:val="00927126"/>
    <w:rsid w:val="009271B8"/>
    <w:rsid w:val="0092776A"/>
    <w:rsid w:val="00930730"/>
    <w:rsid w:val="00931BE3"/>
    <w:rsid w:val="00931E82"/>
    <w:rsid w:val="00932940"/>
    <w:rsid w:val="00932F6B"/>
    <w:rsid w:val="0093315F"/>
    <w:rsid w:val="009331AA"/>
    <w:rsid w:val="0093413B"/>
    <w:rsid w:val="00934184"/>
    <w:rsid w:val="00934577"/>
    <w:rsid w:val="00935628"/>
    <w:rsid w:val="009365C9"/>
    <w:rsid w:val="0093676A"/>
    <w:rsid w:val="00936868"/>
    <w:rsid w:val="00936949"/>
    <w:rsid w:val="0093696F"/>
    <w:rsid w:val="009369DB"/>
    <w:rsid w:val="00936C32"/>
    <w:rsid w:val="00936E9D"/>
    <w:rsid w:val="009370C5"/>
    <w:rsid w:val="00937660"/>
    <w:rsid w:val="009379D0"/>
    <w:rsid w:val="00937B1D"/>
    <w:rsid w:val="00937B73"/>
    <w:rsid w:val="00940359"/>
    <w:rsid w:val="009403EA"/>
    <w:rsid w:val="00940A86"/>
    <w:rsid w:val="00940D39"/>
    <w:rsid w:val="00941022"/>
    <w:rsid w:val="00941727"/>
    <w:rsid w:val="0094172B"/>
    <w:rsid w:val="00942099"/>
    <w:rsid w:val="00942562"/>
    <w:rsid w:val="00942A69"/>
    <w:rsid w:val="00942C66"/>
    <w:rsid w:val="0094316E"/>
    <w:rsid w:val="00943400"/>
    <w:rsid w:val="009437FF"/>
    <w:rsid w:val="00943879"/>
    <w:rsid w:val="00943AF0"/>
    <w:rsid w:val="00943E45"/>
    <w:rsid w:val="00944A0C"/>
    <w:rsid w:val="00944C78"/>
    <w:rsid w:val="0094578E"/>
    <w:rsid w:val="00946288"/>
    <w:rsid w:val="00946702"/>
    <w:rsid w:val="009469A8"/>
    <w:rsid w:val="00946ED9"/>
    <w:rsid w:val="00947252"/>
    <w:rsid w:val="00947AD8"/>
    <w:rsid w:val="00947C58"/>
    <w:rsid w:val="00950222"/>
    <w:rsid w:val="00950249"/>
    <w:rsid w:val="009502DA"/>
    <w:rsid w:val="00950450"/>
    <w:rsid w:val="00950B01"/>
    <w:rsid w:val="00950DDC"/>
    <w:rsid w:val="00951206"/>
    <w:rsid w:val="00951894"/>
    <w:rsid w:val="00951971"/>
    <w:rsid w:val="00951D26"/>
    <w:rsid w:val="009522C6"/>
    <w:rsid w:val="00952AFA"/>
    <w:rsid w:val="00952D20"/>
    <w:rsid w:val="00952E01"/>
    <w:rsid w:val="009532BB"/>
    <w:rsid w:val="00953784"/>
    <w:rsid w:val="00953AE2"/>
    <w:rsid w:val="00953BCC"/>
    <w:rsid w:val="00953D01"/>
    <w:rsid w:val="00954216"/>
    <w:rsid w:val="00954DB8"/>
    <w:rsid w:val="0095515A"/>
    <w:rsid w:val="00955203"/>
    <w:rsid w:val="0095557D"/>
    <w:rsid w:val="00955862"/>
    <w:rsid w:val="00956296"/>
    <w:rsid w:val="009562E3"/>
    <w:rsid w:val="009568E0"/>
    <w:rsid w:val="00956E1A"/>
    <w:rsid w:val="00957080"/>
    <w:rsid w:val="009570A3"/>
    <w:rsid w:val="00957E0D"/>
    <w:rsid w:val="0096002D"/>
    <w:rsid w:val="00960068"/>
    <w:rsid w:val="00960121"/>
    <w:rsid w:val="00960514"/>
    <w:rsid w:val="009605F6"/>
    <w:rsid w:val="0096073D"/>
    <w:rsid w:val="00961039"/>
    <w:rsid w:val="00961C89"/>
    <w:rsid w:val="00961E19"/>
    <w:rsid w:val="009622D7"/>
    <w:rsid w:val="009625D7"/>
    <w:rsid w:val="00963214"/>
    <w:rsid w:val="0096360C"/>
    <w:rsid w:val="009639A5"/>
    <w:rsid w:val="00963C6C"/>
    <w:rsid w:val="00964B6C"/>
    <w:rsid w:val="00964D5D"/>
    <w:rsid w:val="009653DB"/>
    <w:rsid w:val="00965464"/>
    <w:rsid w:val="009657BF"/>
    <w:rsid w:val="00965F9D"/>
    <w:rsid w:val="0096625A"/>
    <w:rsid w:val="00966484"/>
    <w:rsid w:val="0096655A"/>
    <w:rsid w:val="00966664"/>
    <w:rsid w:val="00966788"/>
    <w:rsid w:val="00966DB6"/>
    <w:rsid w:val="00967051"/>
    <w:rsid w:val="00967281"/>
    <w:rsid w:val="0096751B"/>
    <w:rsid w:val="00967837"/>
    <w:rsid w:val="00970005"/>
    <w:rsid w:val="00970580"/>
    <w:rsid w:val="009705A8"/>
    <w:rsid w:val="0097087F"/>
    <w:rsid w:val="00970976"/>
    <w:rsid w:val="00970D22"/>
    <w:rsid w:val="00971F9C"/>
    <w:rsid w:val="0097218E"/>
    <w:rsid w:val="00972434"/>
    <w:rsid w:val="0097243E"/>
    <w:rsid w:val="0097256A"/>
    <w:rsid w:val="00972D25"/>
    <w:rsid w:val="00972D9A"/>
    <w:rsid w:val="00972F84"/>
    <w:rsid w:val="00973D4A"/>
    <w:rsid w:val="00974817"/>
    <w:rsid w:val="00974890"/>
    <w:rsid w:val="00974C7B"/>
    <w:rsid w:val="00974EAC"/>
    <w:rsid w:val="009759BD"/>
    <w:rsid w:val="0097630C"/>
    <w:rsid w:val="00976549"/>
    <w:rsid w:val="009765CD"/>
    <w:rsid w:val="00976DDF"/>
    <w:rsid w:val="00976F4D"/>
    <w:rsid w:val="00976F7B"/>
    <w:rsid w:val="00977159"/>
    <w:rsid w:val="0097750D"/>
    <w:rsid w:val="009777E7"/>
    <w:rsid w:val="00977997"/>
    <w:rsid w:val="00977B22"/>
    <w:rsid w:val="00977C6D"/>
    <w:rsid w:val="00980145"/>
    <w:rsid w:val="009803C5"/>
    <w:rsid w:val="0098040C"/>
    <w:rsid w:val="009804BF"/>
    <w:rsid w:val="009806D9"/>
    <w:rsid w:val="00980929"/>
    <w:rsid w:val="00980C18"/>
    <w:rsid w:val="00981346"/>
    <w:rsid w:val="009814A9"/>
    <w:rsid w:val="00981752"/>
    <w:rsid w:val="009818BC"/>
    <w:rsid w:val="009819B3"/>
    <w:rsid w:val="00981A80"/>
    <w:rsid w:val="00982DD4"/>
    <w:rsid w:val="00982EC1"/>
    <w:rsid w:val="009835A2"/>
    <w:rsid w:val="00983A46"/>
    <w:rsid w:val="009848BB"/>
    <w:rsid w:val="00984901"/>
    <w:rsid w:val="00984DA0"/>
    <w:rsid w:val="00984DEA"/>
    <w:rsid w:val="009862C0"/>
    <w:rsid w:val="0098674D"/>
    <w:rsid w:val="00986B9E"/>
    <w:rsid w:val="00986E33"/>
    <w:rsid w:val="009870D0"/>
    <w:rsid w:val="00987A45"/>
    <w:rsid w:val="00990608"/>
    <w:rsid w:val="0099093C"/>
    <w:rsid w:val="00990B96"/>
    <w:rsid w:val="00990F80"/>
    <w:rsid w:val="0099166B"/>
    <w:rsid w:val="00991738"/>
    <w:rsid w:val="00992334"/>
    <w:rsid w:val="0099261E"/>
    <w:rsid w:val="00992855"/>
    <w:rsid w:val="00992F23"/>
    <w:rsid w:val="00993038"/>
    <w:rsid w:val="009931D3"/>
    <w:rsid w:val="00993640"/>
    <w:rsid w:val="0099366A"/>
    <w:rsid w:val="009936B6"/>
    <w:rsid w:val="00993DA8"/>
    <w:rsid w:val="00993F70"/>
    <w:rsid w:val="00994093"/>
    <w:rsid w:val="00994668"/>
    <w:rsid w:val="0099495E"/>
    <w:rsid w:val="00994C0B"/>
    <w:rsid w:val="00994CEF"/>
    <w:rsid w:val="00994DD8"/>
    <w:rsid w:val="00994FAA"/>
    <w:rsid w:val="00995506"/>
    <w:rsid w:val="00995996"/>
    <w:rsid w:val="00996253"/>
    <w:rsid w:val="00997B8E"/>
    <w:rsid w:val="00997E56"/>
    <w:rsid w:val="009A0209"/>
    <w:rsid w:val="009A0B12"/>
    <w:rsid w:val="009A1274"/>
    <w:rsid w:val="009A1BCF"/>
    <w:rsid w:val="009A1DE3"/>
    <w:rsid w:val="009A1E42"/>
    <w:rsid w:val="009A1FEA"/>
    <w:rsid w:val="009A2475"/>
    <w:rsid w:val="009A25B0"/>
    <w:rsid w:val="009A25E8"/>
    <w:rsid w:val="009A266F"/>
    <w:rsid w:val="009A290C"/>
    <w:rsid w:val="009A2BB0"/>
    <w:rsid w:val="009A2FA8"/>
    <w:rsid w:val="009A3027"/>
    <w:rsid w:val="009A34B1"/>
    <w:rsid w:val="009A354C"/>
    <w:rsid w:val="009A3636"/>
    <w:rsid w:val="009A3D98"/>
    <w:rsid w:val="009A4CB3"/>
    <w:rsid w:val="009A5262"/>
    <w:rsid w:val="009A5F14"/>
    <w:rsid w:val="009A6515"/>
    <w:rsid w:val="009A666D"/>
    <w:rsid w:val="009A677B"/>
    <w:rsid w:val="009A68B4"/>
    <w:rsid w:val="009A6CC0"/>
    <w:rsid w:val="009A6DDD"/>
    <w:rsid w:val="009B005C"/>
    <w:rsid w:val="009B01D7"/>
    <w:rsid w:val="009B08DC"/>
    <w:rsid w:val="009B0F5E"/>
    <w:rsid w:val="009B14CD"/>
    <w:rsid w:val="009B18C1"/>
    <w:rsid w:val="009B1DD2"/>
    <w:rsid w:val="009B211D"/>
    <w:rsid w:val="009B21EC"/>
    <w:rsid w:val="009B2A28"/>
    <w:rsid w:val="009B3992"/>
    <w:rsid w:val="009B3A8C"/>
    <w:rsid w:val="009B3C9D"/>
    <w:rsid w:val="009B3D18"/>
    <w:rsid w:val="009B4DB3"/>
    <w:rsid w:val="009B50F8"/>
    <w:rsid w:val="009B5383"/>
    <w:rsid w:val="009B5733"/>
    <w:rsid w:val="009B593A"/>
    <w:rsid w:val="009B5B7A"/>
    <w:rsid w:val="009B6372"/>
    <w:rsid w:val="009B7903"/>
    <w:rsid w:val="009C030D"/>
    <w:rsid w:val="009C0781"/>
    <w:rsid w:val="009C0DA5"/>
    <w:rsid w:val="009C0F4B"/>
    <w:rsid w:val="009C1286"/>
    <w:rsid w:val="009C1551"/>
    <w:rsid w:val="009C171A"/>
    <w:rsid w:val="009C186A"/>
    <w:rsid w:val="009C1992"/>
    <w:rsid w:val="009C1B13"/>
    <w:rsid w:val="009C22AB"/>
    <w:rsid w:val="009C22DD"/>
    <w:rsid w:val="009C275F"/>
    <w:rsid w:val="009C297A"/>
    <w:rsid w:val="009C3543"/>
    <w:rsid w:val="009C3A8A"/>
    <w:rsid w:val="009C3DE7"/>
    <w:rsid w:val="009C3DF1"/>
    <w:rsid w:val="009C3FB1"/>
    <w:rsid w:val="009C4192"/>
    <w:rsid w:val="009C43AF"/>
    <w:rsid w:val="009C4CE9"/>
    <w:rsid w:val="009C6606"/>
    <w:rsid w:val="009C6B8C"/>
    <w:rsid w:val="009D026D"/>
    <w:rsid w:val="009D04FD"/>
    <w:rsid w:val="009D0ADF"/>
    <w:rsid w:val="009D0F6A"/>
    <w:rsid w:val="009D13AE"/>
    <w:rsid w:val="009D24FE"/>
    <w:rsid w:val="009D30BB"/>
    <w:rsid w:val="009D32CA"/>
    <w:rsid w:val="009D32F1"/>
    <w:rsid w:val="009D35BE"/>
    <w:rsid w:val="009D36E2"/>
    <w:rsid w:val="009D3DEA"/>
    <w:rsid w:val="009D4054"/>
    <w:rsid w:val="009D41C8"/>
    <w:rsid w:val="009D4296"/>
    <w:rsid w:val="009D445E"/>
    <w:rsid w:val="009D4514"/>
    <w:rsid w:val="009D4880"/>
    <w:rsid w:val="009D4F13"/>
    <w:rsid w:val="009D4FF3"/>
    <w:rsid w:val="009D679F"/>
    <w:rsid w:val="009D6855"/>
    <w:rsid w:val="009D6942"/>
    <w:rsid w:val="009D790F"/>
    <w:rsid w:val="009D7938"/>
    <w:rsid w:val="009E0175"/>
    <w:rsid w:val="009E0188"/>
    <w:rsid w:val="009E03C6"/>
    <w:rsid w:val="009E0A19"/>
    <w:rsid w:val="009E10F1"/>
    <w:rsid w:val="009E137F"/>
    <w:rsid w:val="009E23F2"/>
    <w:rsid w:val="009E26D3"/>
    <w:rsid w:val="009E281E"/>
    <w:rsid w:val="009E38BE"/>
    <w:rsid w:val="009E3FCE"/>
    <w:rsid w:val="009E4BB7"/>
    <w:rsid w:val="009E51CD"/>
    <w:rsid w:val="009E59B5"/>
    <w:rsid w:val="009E5D26"/>
    <w:rsid w:val="009E5FBE"/>
    <w:rsid w:val="009E6A23"/>
    <w:rsid w:val="009E6C6A"/>
    <w:rsid w:val="009E72FD"/>
    <w:rsid w:val="009E7520"/>
    <w:rsid w:val="009E773B"/>
    <w:rsid w:val="009E78C6"/>
    <w:rsid w:val="009E7BE8"/>
    <w:rsid w:val="009E7D1F"/>
    <w:rsid w:val="009E7D83"/>
    <w:rsid w:val="009F03EB"/>
    <w:rsid w:val="009F0BD7"/>
    <w:rsid w:val="009F11AB"/>
    <w:rsid w:val="009F27DB"/>
    <w:rsid w:val="009F42E2"/>
    <w:rsid w:val="009F4B43"/>
    <w:rsid w:val="009F4D3E"/>
    <w:rsid w:val="009F4FB8"/>
    <w:rsid w:val="009F5282"/>
    <w:rsid w:val="009F640D"/>
    <w:rsid w:val="009F66FF"/>
    <w:rsid w:val="009F7528"/>
    <w:rsid w:val="009F768D"/>
    <w:rsid w:val="009F7747"/>
    <w:rsid w:val="009F7862"/>
    <w:rsid w:val="00A00074"/>
    <w:rsid w:val="00A0019E"/>
    <w:rsid w:val="00A003EA"/>
    <w:rsid w:val="00A0092F"/>
    <w:rsid w:val="00A00D5C"/>
    <w:rsid w:val="00A00F06"/>
    <w:rsid w:val="00A01248"/>
    <w:rsid w:val="00A014CE"/>
    <w:rsid w:val="00A0162C"/>
    <w:rsid w:val="00A018D5"/>
    <w:rsid w:val="00A01943"/>
    <w:rsid w:val="00A01D21"/>
    <w:rsid w:val="00A0223B"/>
    <w:rsid w:val="00A02673"/>
    <w:rsid w:val="00A02762"/>
    <w:rsid w:val="00A0326D"/>
    <w:rsid w:val="00A0336C"/>
    <w:rsid w:val="00A03541"/>
    <w:rsid w:val="00A03787"/>
    <w:rsid w:val="00A03D1F"/>
    <w:rsid w:val="00A03E6E"/>
    <w:rsid w:val="00A0449C"/>
    <w:rsid w:val="00A04541"/>
    <w:rsid w:val="00A04879"/>
    <w:rsid w:val="00A057A3"/>
    <w:rsid w:val="00A05CD7"/>
    <w:rsid w:val="00A05DCB"/>
    <w:rsid w:val="00A062E1"/>
    <w:rsid w:val="00A06800"/>
    <w:rsid w:val="00A07504"/>
    <w:rsid w:val="00A07656"/>
    <w:rsid w:val="00A07CEF"/>
    <w:rsid w:val="00A109CF"/>
    <w:rsid w:val="00A11394"/>
    <w:rsid w:val="00A115E7"/>
    <w:rsid w:val="00A1163E"/>
    <w:rsid w:val="00A1166B"/>
    <w:rsid w:val="00A118A7"/>
    <w:rsid w:val="00A1243E"/>
    <w:rsid w:val="00A124A7"/>
    <w:rsid w:val="00A124FE"/>
    <w:rsid w:val="00A128B3"/>
    <w:rsid w:val="00A12B8E"/>
    <w:rsid w:val="00A1300D"/>
    <w:rsid w:val="00A13BA0"/>
    <w:rsid w:val="00A14827"/>
    <w:rsid w:val="00A14901"/>
    <w:rsid w:val="00A1504A"/>
    <w:rsid w:val="00A15649"/>
    <w:rsid w:val="00A15AF3"/>
    <w:rsid w:val="00A15B57"/>
    <w:rsid w:val="00A16457"/>
    <w:rsid w:val="00A16894"/>
    <w:rsid w:val="00A16A09"/>
    <w:rsid w:val="00A16DC6"/>
    <w:rsid w:val="00A17917"/>
    <w:rsid w:val="00A1798F"/>
    <w:rsid w:val="00A17E37"/>
    <w:rsid w:val="00A17E97"/>
    <w:rsid w:val="00A20199"/>
    <w:rsid w:val="00A205EC"/>
    <w:rsid w:val="00A20DA1"/>
    <w:rsid w:val="00A21412"/>
    <w:rsid w:val="00A21600"/>
    <w:rsid w:val="00A21862"/>
    <w:rsid w:val="00A21FB1"/>
    <w:rsid w:val="00A223B8"/>
    <w:rsid w:val="00A22B4A"/>
    <w:rsid w:val="00A22D68"/>
    <w:rsid w:val="00A230D2"/>
    <w:rsid w:val="00A24B1E"/>
    <w:rsid w:val="00A24F5C"/>
    <w:rsid w:val="00A2579C"/>
    <w:rsid w:val="00A2633D"/>
    <w:rsid w:val="00A26406"/>
    <w:rsid w:val="00A2682A"/>
    <w:rsid w:val="00A27130"/>
    <w:rsid w:val="00A302FC"/>
    <w:rsid w:val="00A304CF"/>
    <w:rsid w:val="00A30C53"/>
    <w:rsid w:val="00A312B7"/>
    <w:rsid w:val="00A3151E"/>
    <w:rsid w:val="00A31656"/>
    <w:rsid w:val="00A32AE7"/>
    <w:rsid w:val="00A32ED1"/>
    <w:rsid w:val="00A33C79"/>
    <w:rsid w:val="00A3424E"/>
    <w:rsid w:val="00A34301"/>
    <w:rsid w:val="00A3467C"/>
    <w:rsid w:val="00A34D4C"/>
    <w:rsid w:val="00A3564E"/>
    <w:rsid w:val="00A35E67"/>
    <w:rsid w:val="00A36135"/>
    <w:rsid w:val="00A36E82"/>
    <w:rsid w:val="00A370E1"/>
    <w:rsid w:val="00A3713C"/>
    <w:rsid w:val="00A3724E"/>
    <w:rsid w:val="00A372BF"/>
    <w:rsid w:val="00A3730E"/>
    <w:rsid w:val="00A37557"/>
    <w:rsid w:val="00A37731"/>
    <w:rsid w:val="00A40D8F"/>
    <w:rsid w:val="00A414EE"/>
    <w:rsid w:val="00A41C87"/>
    <w:rsid w:val="00A42004"/>
    <w:rsid w:val="00A428B8"/>
    <w:rsid w:val="00A42FD8"/>
    <w:rsid w:val="00A43210"/>
    <w:rsid w:val="00A43449"/>
    <w:rsid w:val="00A438C3"/>
    <w:rsid w:val="00A443FD"/>
    <w:rsid w:val="00A44D9B"/>
    <w:rsid w:val="00A44F43"/>
    <w:rsid w:val="00A45414"/>
    <w:rsid w:val="00A460A8"/>
    <w:rsid w:val="00A46E7F"/>
    <w:rsid w:val="00A47379"/>
    <w:rsid w:val="00A475F4"/>
    <w:rsid w:val="00A50980"/>
    <w:rsid w:val="00A5134F"/>
    <w:rsid w:val="00A513C4"/>
    <w:rsid w:val="00A522A1"/>
    <w:rsid w:val="00A52531"/>
    <w:rsid w:val="00A531A6"/>
    <w:rsid w:val="00A531F3"/>
    <w:rsid w:val="00A53A9E"/>
    <w:rsid w:val="00A53D8E"/>
    <w:rsid w:val="00A53E3C"/>
    <w:rsid w:val="00A54686"/>
    <w:rsid w:val="00A548B9"/>
    <w:rsid w:val="00A54BE3"/>
    <w:rsid w:val="00A55756"/>
    <w:rsid w:val="00A55932"/>
    <w:rsid w:val="00A5672A"/>
    <w:rsid w:val="00A56732"/>
    <w:rsid w:val="00A567E1"/>
    <w:rsid w:val="00A56F91"/>
    <w:rsid w:val="00A56FE0"/>
    <w:rsid w:val="00A57695"/>
    <w:rsid w:val="00A60298"/>
    <w:rsid w:val="00A60325"/>
    <w:rsid w:val="00A6053A"/>
    <w:rsid w:val="00A60637"/>
    <w:rsid w:val="00A6073E"/>
    <w:rsid w:val="00A60A68"/>
    <w:rsid w:val="00A60DD2"/>
    <w:rsid w:val="00A61325"/>
    <w:rsid w:val="00A6134C"/>
    <w:rsid w:val="00A613E8"/>
    <w:rsid w:val="00A623E7"/>
    <w:rsid w:val="00A6281F"/>
    <w:rsid w:val="00A628A6"/>
    <w:rsid w:val="00A636AC"/>
    <w:rsid w:val="00A638BD"/>
    <w:rsid w:val="00A63FB6"/>
    <w:rsid w:val="00A63FE6"/>
    <w:rsid w:val="00A64B49"/>
    <w:rsid w:val="00A64E33"/>
    <w:rsid w:val="00A667F1"/>
    <w:rsid w:val="00A669FF"/>
    <w:rsid w:val="00A66D23"/>
    <w:rsid w:val="00A6776D"/>
    <w:rsid w:val="00A67876"/>
    <w:rsid w:val="00A70D66"/>
    <w:rsid w:val="00A70FB1"/>
    <w:rsid w:val="00A71570"/>
    <w:rsid w:val="00A71AA8"/>
    <w:rsid w:val="00A72284"/>
    <w:rsid w:val="00A72667"/>
    <w:rsid w:val="00A7272F"/>
    <w:rsid w:val="00A72D93"/>
    <w:rsid w:val="00A72FEC"/>
    <w:rsid w:val="00A74239"/>
    <w:rsid w:val="00A74CB3"/>
    <w:rsid w:val="00A74D40"/>
    <w:rsid w:val="00A74F9F"/>
    <w:rsid w:val="00A75083"/>
    <w:rsid w:val="00A7510E"/>
    <w:rsid w:val="00A7592D"/>
    <w:rsid w:val="00A75C60"/>
    <w:rsid w:val="00A7632B"/>
    <w:rsid w:val="00A764C7"/>
    <w:rsid w:val="00A7652B"/>
    <w:rsid w:val="00A76C38"/>
    <w:rsid w:val="00A77063"/>
    <w:rsid w:val="00A77922"/>
    <w:rsid w:val="00A77C09"/>
    <w:rsid w:val="00A80A60"/>
    <w:rsid w:val="00A80FB7"/>
    <w:rsid w:val="00A81211"/>
    <w:rsid w:val="00A81323"/>
    <w:rsid w:val="00A8140C"/>
    <w:rsid w:val="00A81AAE"/>
    <w:rsid w:val="00A81BE1"/>
    <w:rsid w:val="00A83309"/>
    <w:rsid w:val="00A8392A"/>
    <w:rsid w:val="00A839FE"/>
    <w:rsid w:val="00A83D58"/>
    <w:rsid w:val="00A8412D"/>
    <w:rsid w:val="00A841BF"/>
    <w:rsid w:val="00A84580"/>
    <w:rsid w:val="00A849F8"/>
    <w:rsid w:val="00A84A30"/>
    <w:rsid w:val="00A84BE6"/>
    <w:rsid w:val="00A85AEF"/>
    <w:rsid w:val="00A8629F"/>
    <w:rsid w:val="00A86EBE"/>
    <w:rsid w:val="00A86F77"/>
    <w:rsid w:val="00A87535"/>
    <w:rsid w:val="00A8781D"/>
    <w:rsid w:val="00A87B08"/>
    <w:rsid w:val="00A87C9F"/>
    <w:rsid w:val="00A87F0B"/>
    <w:rsid w:val="00A900C8"/>
    <w:rsid w:val="00A90882"/>
    <w:rsid w:val="00A90883"/>
    <w:rsid w:val="00A90AC8"/>
    <w:rsid w:val="00A90FDA"/>
    <w:rsid w:val="00A90FF7"/>
    <w:rsid w:val="00A911D6"/>
    <w:rsid w:val="00A92443"/>
    <w:rsid w:val="00A92617"/>
    <w:rsid w:val="00A92888"/>
    <w:rsid w:val="00A92A22"/>
    <w:rsid w:val="00A92BF1"/>
    <w:rsid w:val="00A930F3"/>
    <w:rsid w:val="00A934F8"/>
    <w:rsid w:val="00A945B4"/>
    <w:rsid w:val="00A94937"/>
    <w:rsid w:val="00A958A0"/>
    <w:rsid w:val="00A95A34"/>
    <w:rsid w:val="00A95D5C"/>
    <w:rsid w:val="00A95E48"/>
    <w:rsid w:val="00A95E5F"/>
    <w:rsid w:val="00A95F5E"/>
    <w:rsid w:val="00A960B0"/>
    <w:rsid w:val="00A964E1"/>
    <w:rsid w:val="00A9653F"/>
    <w:rsid w:val="00A96F80"/>
    <w:rsid w:val="00A97BF9"/>
    <w:rsid w:val="00AA025D"/>
    <w:rsid w:val="00AA0839"/>
    <w:rsid w:val="00AA0D9D"/>
    <w:rsid w:val="00AA0ED2"/>
    <w:rsid w:val="00AA1031"/>
    <w:rsid w:val="00AA1EB2"/>
    <w:rsid w:val="00AA20CE"/>
    <w:rsid w:val="00AA272B"/>
    <w:rsid w:val="00AA2760"/>
    <w:rsid w:val="00AA2879"/>
    <w:rsid w:val="00AA324B"/>
    <w:rsid w:val="00AA45FE"/>
    <w:rsid w:val="00AA5E64"/>
    <w:rsid w:val="00AA6AE5"/>
    <w:rsid w:val="00AA6FB8"/>
    <w:rsid w:val="00AA7C7A"/>
    <w:rsid w:val="00AA7DB2"/>
    <w:rsid w:val="00AB00FD"/>
    <w:rsid w:val="00AB03C2"/>
    <w:rsid w:val="00AB05C0"/>
    <w:rsid w:val="00AB0705"/>
    <w:rsid w:val="00AB088A"/>
    <w:rsid w:val="00AB0CE0"/>
    <w:rsid w:val="00AB0DB5"/>
    <w:rsid w:val="00AB1333"/>
    <w:rsid w:val="00AB1900"/>
    <w:rsid w:val="00AB19E2"/>
    <w:rsid w:val="00AB2903"/>
    <w:rsid w:val="00AB2C17"/>
    <w:rsid w:val="00AB2CE5"/>
    <w:rsid w:val="00AB2DF7"/>
    <w:rsid w:val="00AB3CAC"/>
    <w:rsid w:val="00AB3D62"/>
    <w:rsid w:val="00AB4619"/>
    <w:rsid w:val="00AB4946"/>
    <w:rsid w:val="00AB4C33"/>
    <w:rsid w:val="00AB522B"/>
    <w:rsid w:val="00AB530A"/>
    <w:rsid w:val="00AB5CF6"/>
    <w:rsid w:val="00AB6674"/>
    <w:rsid w:val="00AB6C1F"/>
    <w:rsid w:val="00AB7226"/>
    <w:rsid w:val="00AB7541"/>
    <w:rsid w:val="00AB7747"/>
    <w:rsid w:val="00AB7CC6"/>
    <w:rsid w:val="00AB7D2A"/>
    <w:rsid w:val="00AB7F89"/>
    <w:rsid w:val="00AC017F"/>
    <w:rsid w:val="00AC023C"/>
    <w:rsid w:val="00AC0313"/>
    <w:rsid w:val="00AC09AB"/>
    <w:rsid w:val="00AC0AC1"/>
    <w:rsid w:val="00AC0AC5"/>
    <w:rsid w:val="00AC0DA1"/>
    <w:rsid w:val="00AC1007"/>
    <w:rsid w:val="00AC18FB"/>
    <w:rsid w:val="00AC1A03"/>
    <w:rsid w:val="00AC275F"/>
    <w:rsid w:val="00AC2C41"/>
    <w:rsid w:val="00AC3270"/>
    <w:rsid w:val="00AC3723"/>
    <w:rsid w:val="00AC3B0C"/>
    <w:rsid w:val="00AC50C2"/>
    <w:rsid w:val="00AC5F14"/>
    <w:rsid w:val="00AC6192"/>
    <w:rsid w:val="00AC783D"/>
    <w:rsid w:val="00AC79F6"/>
    <w:rsid w:val="00AC7A13"/>
    <w:rsid w:val="00AC7C24"/>
    <w:rsid w:val="00AD06DB"/>
    <w:rsid w:val="00AD09DF"/>
    <w:rsid w:val="00AD0AA4"/>
    <w:rsid w:val="00AD1FF4"/>
    <w:rsid w:val="00AD2AE7"/>
    <w:rsid w:val="00AD2DF4"/>
    <w:rsid w:val="00AD3211"/>
    <w:rsid w:val="00AD3472"/>
    <w:rsid w:val="00AD355D"/>
    <w:rsid w:val="00AD3DED"/>
    <w:rsid w:val="00AD5220"/>
    <w:rsid w:val="00AD57B3"/>
    <w:rsid w:val="00AD58CB"/>
    <w:rsid w:val="00AD5A09"/>
    <w:rsid w:val="00AD5F99"/>
    <w:rsid w:val="00AD6A74"/>
    <w:rsid w:val="00AD7116"/>
    <w:rsid w:val="00AD72D6"/>
    <w:rsid w:val="00AD7E19"/>
    <w:rsid w:val="00AE042A"/>
    <w:rsid w:val="00AE0490"/>
    <w:rsid w:val="00AE078D"/>
    <w:rsid w:val="00AE096E"/>
    <w:rsid w:val="00AE0AFA"/>
    <w:rsid w:val="00AE124D"/>
    <w:rsid w:val="00AE152A"/>
    <w:rsid w:val="00AE1701"/>
    <w:rsid w:val="00AE18B6"/>
    <w:rsid w:val="00AE2D35"/>
    <w:rsid w:val="00AE2D57"/>
    <w:rsid w:val="00AE3122"/>
    <w:rsid w:val="00AE329F"/>
    <w:rsid w:val="00AE36CD"/>
    <w:rsid w:val="00AE40DF"/>
    <w:rsid w:val="00AE47B8"/>
    <w:rsid w:val="00AE534B"/>
    <w:rsid w:val="00AE56DF"/>
    <w:rsid w:val="00AE6077"/>
    <w:rsid w:val="00AE63A3"/>
    <w:rsid w:val="00AE6811"/>
    <w:rsid w:val="00AE6AE1"/>
    <w:rsid w:val="00AE7176"/>
    <w:rsid w:val="00AE73B3"/>
    <w:rsid w:val="00AE7C36"/>
    <w:rsid w:val="00AF0CAC"/>
    <w:rsid w:val="00AF1456"/>
    <w:rsid w:val="00AF15E1"/>
    <w:rsid w:val="00AF1B78"/>
    <w:rsid w:val="00AF1ED5"/>
    <w:rsid w:val="00AF20F1"/>
    <w:rsid w:val="00AF2573"/>
    <w:rsid w:val="00AF25DD"/>
    <w:rsid w:val="00AF2747"/>
    <w:rsid w:val="00AF2A12"/>
    <w:rsid w:val="00AF2F1C"/>
    <w:rsid w:val="00AF2FA5"/>
    <w:rsid w:val="00AF2FBA"/>
    <w:rsid w:val="00AF3479"/>
    <w:rsid w:val="00AF3C6C"/>
    <w:rsid w:val="00AF3EA6"/>
    <w:rsid w:val="00AF4803"/>
    <w:rsid w:val="00AF49DD"/>
    <w:rsid w:val="00AF55F2"/>
    <w:rsid w:val="00AF5847"/>
    <w:rsid w:val="00AF598F"/>
    <w:rsid w:val="00AF5F78"/>
    <w:rsid w:val="00AF5FB6"/>
    <w:rsid w:val="00AF6ED6"/>
    <w:rsid w:val="00AF6F2D"/>
    <w:rsid w:val="00AF710E"/>
    <w:rsid w:val="00AF71AA"/>
    <w:rsid w:val="00AF71BE"/>
    <w:rsid w:val="00AF7294"/>
    <w:rsid w:val="00AF7514"/>
    <w:rsid w:val="00AF77DA"/>
    <w:rsid w:val="00B00078"/>
    <w:rsid w:val="00B00521"/>
    <w:rsid w:val="00B00A70"/>
    <w:rsid w:val="00B00C1C"/>
    <w:rsid w:val="00B0103E"/>
    <w:rsid w:val="00B01257"/>
    <w:rsid w:val="00B0163C"/>
    <w:rsid w:val="00B01675"/>
    <w:rsid w:val="00B016B3"/>
    <w:rsid w:val="00B018CE"/>
    <w:rsid w:val="00B0192E"/>
    <w:rsid w:val="00B01C91"/>
    <w:rsid w:val="00B01E10"/>
    <w:rsid w:val="00B01E82"/>
    <w:rsid w:val="00B0308A"/>
    <w:rsid w:val="00B0329D"/>
    <w:rsid w:val="00B03A0E"/>
    <w:rsid w:val="00B03B91"/>
    <w:rsid w:val="00B0464E"/>
    <w:rsid w:val="00B05C2A"/>
    <w:rsid w:val="00B060AE"/>
    <w:rsid w:val="00B060D8"/>
    <w:rsid w:val="00B067E7"/>
    <w:rsid w:val="00B06B07"/>
    <w:rsid w:val="00B06FC9"/>
    <w:rsid w:val="00B0705A"/>
    <w:rsid w:val="00B079E2"/>
    <w:rsid w:val="00B07B68"/>
    <w:rsid w:val="00B10577"/>
    <w:rsid w:val="00B10AF6"/>
    <w:rsid w:val="00B10EEE"/>
    <w:rsid w:val="00B119AF"/>
    <w:rsid w:val="00B129CD"/>
    <w:rsid w:val="00B129F7"/>
    <w:rsid w:val="00B12E6C"/>
    <w:rsid w:val="00B13356"/>
    <w:rsid w:val="00B13AC8"/>
    <w:rsid w:val="00B14131"/>
    <w:rsid w:val="00B14410"/>
    <w:rsid w:val="00B1458E"/>
    <w:rsid w:val="00B15FEF"/>
    <w:rsid w:val="00B162F1"/>
    <w:rsid w:val="00B169B4"/>
    <w:rsid w:val="00B169D4"/>
    <w:rsid w:val="00B172AD"/>
    <w:rsid w:val="00B17370"/>
    <w:rsid w:val="00B17453"/>
    <w:rsid w:val="00B174EA"/>
    <w:rsid w:val="00B17718"/>
    <w:rsid w:val="00B17BBF"/>
    <w:rsid w:val="00B17BD6"/>
    <w:rsid w:val="00B20397"/>
    <w:rsid w:val="00B20D87"/>
    <w:rsid w:val="00B20E98"/>
    <w:rsid w:val="00B2114E"/>
    <w:rsid w:val="00B212B1"/>
    <w:rsid w:val="00B213D5"/>
    <w:rsid w:val="00B21578"/>
    <w:rsid w:val="00B21DD7"/>
    <w:rsid w:val="00B22556"/>
    <w:rsid w:val="00B2282F"/>
    <w:rsid w:val="00B235D4"/>
    <w:rsid w:val="00B23BB9"/>
    <w:rsid w:val="00B23E5E"/>
    <w:rsid w:val="00B24350"/>
    <w:rsid w:val="00B24998"/>
    <w:rsid w:val="00B252DB"/>
    <w:rsid w:val="00B25378"/>
    <w:rsid w:val="00B25C5B"/>
    <w:rsid w:val="00B25CC6"/>
    <w:rsid w:val="00B25F1C"/>
    <w:rsid w:val="00B261C9"/>
    <w:rsid w:val="00B269A8"/>
    <w:rsid w:val="00B269BE"/>
    <w:rsid w:val="00B269C8"/>
    <w:rsid w:val="00B26A5E"/>
    <w:rsid w:val="00B26BCB"/>
    <w:rsid w:val="00B27110"/>
    <w:rsid w:val="00B2736E"/>
    <w:rsid w:val="00B2778C"/>
    <w:rsid w:val="00B278AE"/>
    <w:rsid w:val="00B27C8C"/>
    <w:rsid w:val="00B3056E"/>
    <w:rsid w:val="00B30B89"/>
    <w:rsid w:val="00B30DB1"/>
    <w:rsid w:val="00B32713"/>
    <w:rsid w:val="00B328BB"/>
    <w:rsid w:val="00B32EB0"/>
    <w:rsid w:val="00B33223"/>
    <w:rsid w:val="00B33E5E"/>
    <w:rsid w:val="00B33EEF"/>
    <w:rsid w:val="00B33F7D"/>
    <w:rsid w:val="00B34428"/>
    <w:rsid w:val="00B3468D"/>
    <w:rsid w:val="00B34966"/>
    <w:rsid w:val="00B34F23"/>
    <w:rsid w:val="00B35CF3"/>
    <w:rsid w:val="00B3674B"/>
    <w:rsid w:val="00B36C20"/>
    <w:rsid w:val="00B36D9D"/>
    <w:rsid w:val="00B37B4F"/>
    <w:rsid w:val="00B37B7A"/>
    <w:rsid w:val="00B40104"/>
    <w:rsid w:val="00B40259"/>
    <w:rsid w:val="00B403D8"/>
    <w:rsid w:val="00B403DF"/>
    <w:rsid w:val="00B40849"/>
    <w:rsid w:val="00B40FD5"/>
    <w:rsid w:val="00B4145A"/>
    <w:rsid w:val="00B419E8"/>
    <w:rsid w:val="00B41E05"/>
    <w:rsid w:val="00B4205D"/>
    <w:rsid w:val="00B4217B"/>
    <w:rsid w:val="00B42589"/>
    <w:rsid w:val="00B42595"/>
    <w:rsid w:val="00B42A67"/>
    <w:rsid w:val="00B42C69"/>
    <w:rsid w:val="00B42C8D"/>
    <w:rsid w:val="00B42E0F"/>
    <w:rsid w:val="00B43678"/>
    <w:rsid w:val="00B439D0"/>
    <w:rsid w:val="00B43B12"/>
    <w:rsid w:val="00B43BF0"/>
    <w:rsid w:val="00B44575"/>
    <w:rsid w:val="00B4463B"/>
    <w:rsid w:val="00B4471B"/>
    <w:rsid w:val="00B44A8F"/>
    <w:rsid w:val="00B44AFD"/>
    <w:rsid w:val="00B44F48"/>
    <w:rsid w:val="00B450BC"/>
    <w:rsid w:val="00B45593"/>
    <w:rsid w:val="00B46444"/>
    <w:rsid w:val="00B466F2"/>
    <w:rsid w:val="00B46F97"/>
    <w:rsid w:val="00B470CB"/>
    <w:rsid w:val="00B473B8"/>
    <w:rsid w:val="00B50A5A"/>
    <w:rsid w:val="00B50B8B"/>
    <w:rsid w:val="00B50DA2"/>
    <w:rsid w:val="00B50FB2"/>
    <w:rsid w:val="00B50FD4"/>
    <w:rsid w:val="00B51400"/>
    <w:rsid w:val="00B52332"/>
    <w:rsid w:val="00B52AE1"/>
    <w:rsid w:val="00B52C46"/>
    <w:rsid w:val="00B52D07"/>
    <w:rsid w:val="00B52FFD"/>
    <w:rsid w:val="00B5340C"/>
    <w:rsid w:val="00B544BA"/>
    <w:rsid w:val="00B5506A"/>
    <w:rsid w:val="00B5553F"/>
    <w:rsid w:val="00B55B28"/>
    <w:rsid w:val="00B55D19"/>
    <w:rsid w:val="00B56780"/>
    <w:rsid w:val="00B570AC"/>
    <w:rsid w:val="00B575F4"/>
    <w:rsid w:val="00B57757"/>
    <w:rsid w:val="00B6006A"/>
    <w:rsid w:val="00B60B1C"/>
    <w:rsid w:val="00B60E51"/>
    <w:rsid w:val="00B61013"/>
    <w:rsid w:val="00B61B53"/>
    <w:rsid w:val="00B6245D"/>
    <w:rsid w:val="00B62789"/>
    <w:rsid w:val="00B6301E"/>
    <w:rsid w:val="00B63068"/>
    <w:rsid w:val="00B6360B"/>
    <w:rsid w:val="00B63BD8"/>
    <w:rsid w:val="00B63D73"/>
    <w:rsid w:val="00B63F4A"/>
    <w:rsid w:val="00B6417B"/>
    <w:rsid w:val="00B6493E"/>
    <w:rsid w:val="00B64DFE"/>
    <w:rsid w:val="00B65A62"/>
    <w:rsid w:val="00B65C23"/>
    <w:rsid w:val="00B66226"/>
    <w:rsid w:val="00B66832"/>
    <w:rsid w:val="00B66995"/>
    <w:rsid w:val="00B66E97"/>
    <w:rsid w:val="00B66F1F"/>
    <w:rsid w:val="00B671DB"/>
    <w:rsid w:val="00B67CBD"/>
    <w:rsid w:val="00B701E3"/>
    <w:rsid w:val="00B70CE6"/>
    <w:rsid w:val="00B711D8"/>
    <w:rsid w:val="00B71230"/>
    <w:rsid w:val="00B71530"/>
    <w:rsid w:val="00B71AC5"/>
    <w:rsid w:val="00B7204A"/>
    <w:rsid w:val="00B720DC"/>
    <w:rsid w:val="00B72201"/>
    <w:rsid w:val="00B72342"/>
    <w:rsid w:val="00B7270A"/>
    <w:rsid w:val="00B730A1"/>
    <w:rsid w:val="00B7319D"/>
    <w:rsid w:val="00B732BD"/>
    <w:rsid w:val="00B7388A"/>
    <w:rsid w:val="00B73DA1"/>
    <w:rsid w:val="00B74259"/>
    <w:rsid w:val="00B74486"/>
    <w:rsid w:val="00B749E0"/>
    <w:rsid w:val="00B74ABC"/>
    <w:rsid w:val="00B74AEF"/>
    <w:rsid w:val="00B74F04"/>
    <w:rsid w:val="00B756B8"/>
    <w:rsid w:val="00B75C11"/>
    <w:rsid w:val="00B763EA"/>
    <w:rsid w:val="00B7662A"/>
    <w:rsid w:val="00B76DED"/>
    <w:rsid w:val="00B77383"/>
    <w:rsid w:val="00B777D8"/>
    <w:rsid w:val="00B804A4"/>
    <w:rsid w:val="00B80CD8"/>
    <w:rsid w:val="00B81779"/>
    <w:rsid w:val="00B8185C"/>
    <w:rsid w:val="00B825AD"/>
    <w:rsid w:val="00B8261E"/>
    <w:rsid w:val="00B826DD"/>
    <w:rsid w:val="00B82901"/>
    <w:rsid w:val="00B8294B"/>
    <w:rsid w:val="00B83033"/>
    <w:rsid w:val="00B834A8"/>
    <w:rsid w:val="00B8357D"/>
    <w:rsid w:val="00B83FC7"/>
    <w:rsid w:val="00B845D3"/>
    <w:rsid w:val="00B8487C"/>
    <w:rsid w:val="00B84A4E"/>
    <w:rsid w:val="00B84B9F"/>
    <w:rsid w:val="00B84C30"/>
    <w:rsid w:val="00B84C71"/>
    <w:rsid w:val="00B856F2"/>
    <w:rsid w:val="00B85879"/>
    <w:rsid w:val="00B85FB3"/>
    <w:rsid w:val="00B86162"/>
    <w:rsid w:val="00B863EF"/>
    <w:rsid w:val="00B865CC"/>
    <w:rsid w:val="00B865DD"/>
    <w:rsid w:val="00B8672B"/>
    <w:rsid w:val="00B86B3A"/>
    <w:rsid w:val="00B86E3A"/>
    <w:rsid w:val="00B86F49"/>
    <w:rsid w:val="00B86FAC"/>
    <w:rsid w:val="00B9031B"/>
    <w:rsid w:val="00B905E6"/>
    <w:rsid w:val="00B91533"/>
    <w:rsid w:val="00B91A87"/>
    <w:rsid w:val="00B91AE3"/>
    <w:rsid w:val="00B920D8"/>
    <w:rsid w:val="00B923F5"/>
    <w:rsid w:val="00B92589"/>
    <w:rsid w:val="00B925A0"/>
    <w:rsid w:val="00B9262B"/>
    <w:rsid w:val="00B926AD"/>
    <w:rsid w:val="00B9273E"/>
    <w:rsid w:val="00B9297D"/>
    <w:rsid w:val="00B92993"/>
    <w:rsid w:val="00B92A60"/>
    <w:rsid w:val="00B92BE8"/>
    <w:rsid w:val="00B93B0D"/>
    <w:rsid w:val="00B943F6"/>
    <w:rsid w:val="00B9459B"/>
    <w:rsid w:val="00B94844"/>
    <w:rsid w:val="00B95486"/>
    <w:rsid w:val="00B958A0"/>
    <w:rsid w:val="00B95F52"/>
    <w:rsid w:val="00B965BB"/>
    <w:rsid w:val="00B96921"/>
    <w:rsid w:val="00B96B25"/>
    <w:rsid w:val="00B96B40"/>
    <w:rsid w:val="00B9768B"/>
    <w:rsid w:val="00B9775C"/>
    <w:rsid w:val="00B977E9"/>
    <w:rsid w:val="00B97EF2"/>
    <w:rsid w:val="00B97F7B"/>
    <w:rsid w:val="00BA0D77"/>
    <w:rsid w:val="00BA0FB3"/>
    <w:rsid w:val="00BA1ABA"/>
    <w:rsid w:val="00BA2376"/>
    <w:rsid w:val="00BA24E2"/>
    <w:rsid w:val="00BA2873"/>
    <w:rsid w:val="00BA2BD4"/>
    <w:rsid w:val="00BA2D33"/>
    <w:rsid w:val="00BA32E0"/>
    <w:rsid w:val="00BA3388"/>
    <w:rsid w:val="00BA341D"/>
    <w:rsid w:val="00BA45A7"/>
    <w:rsid w:val="00BA4A72"/>
    <w:rsid w:val="00BA4A8F"/>
    <w:rsid w:val="00BA4AEC"/>
    <w:rsid w:val="00BA4F2F"/>
    <w:rsid w:val="00BA50A7"/>
    <w:rsid w:val="00BA51A0"/>
    <w:rsid w:val="00BA5291"/>
    <w:rsid w:val="00BA532A"/>
    <w:rsid w:val="00BA5492"/>
    <w:rsid w:val="00BA5D7B"/>
    <w:rsid w:val="00BA6380"/>
    <w:rsid w:val="00BA6386"/>
    <w:rsid w:val="00BA6454"/>
    <w:rsid w:val="00BA666E"/>
    <w:rsid w:val="00BA69FB"/>
    <w:rsid w:val="00BA6D79"/>
    <w:rsid w:val="00BA6E40"/>
    <w:rsid w:val="00BA7101"/>
    <w:rsid w:val="00BA734E"/>
    <w:rsid w:val="00BA777F"/>
    <w:rsid w:val="00BA7FD6"/>
    <w:rsid w:val="00BB0115"/>
    <w:rsid w:val="00BB028E"/>
    <w:rsid w:val="00BB0404"/>
    <w:rsid w:val="00BB098B"/>
    <w:rsid w:val="00BB0B8F"/>
    <w:rsid w:val="00BB0CC9"/>
    <w:rsid w:val="00BB0E5B"/>
    <w:rsid w:val="00BB15DA"/>
    <w:rsid w:val="00BB1761"/>
    <w:rsid w:val="00BB1912"/>
    <w:rsid w:val="00BB23CE"/>
    <w:rsid w:val="00BB243F"/>
    <w:rsid w:val="00BB2DA1"/>
    <w:rsid w:val="00BB2F33"/>
    <w:rsid w:val="00BB3165"/>
    <w:rsid w:val="00BB36D8"/>
    <w:rsid w:val="00BB3A34"/>
    <w:rsid w:val="00BB3B6D"/>
    <w:rsid w:val="00BB3B74"/>
    <w:rsid w:val="00BB3E0D"/>
    <w:rsid w:val="00BB4188"/>
    <w:rsid w:val="00BB42AC"/>
    <w:rsid w:val="00BB449D"/>
    <w:rsid w:val="00BB4848"/>
    <w:rsid w:val="00BB4A7C"/>
    <w:rsid w:val="00BB4B71"/>
    <w:rsid w:val="00BB5B3C"/>
    <w:rsid w:val="00BB5B7C"/>
    <w:rsid w:val="00BB6018"/>
    <w:rsid w:val="00BB62FC"/>
    <w:rsid w:val="00BB65A7"/>
    <w:rsid w:val="00BB775B"/>
    <w:rsid w:val="00BB78D9"/>
    <w:rsid w:val="00BB7A55"/>
    <w:rsid w:val="00BB7FA1"/>
    <w:rsid w:val="00BC04D9"/>
    <w:rsid w:val="00BC067E"/>
    <w:rsid w:val="00BC08EA"/>
    <w:rsid w:val="00BC1A25"/>
    <w:rsid w:val="00BC1F39"/>
    <w:rsid w:val="00BC3A3B"/>
    <w:rsid w:val="00BC3AA9"/>
    <w:rsid w:val="00BC448C"/>
    <w:rsid w:val="00BC44CB"/>
    <w:rsid w:val="00BC4544"/>
    <w:rsid w:val="00BC488B"/>
    <w:rsid w:val="00BC4EFF"/>
    <w:rsid w:val="00BC5C5B"/>
    <w:rsid w:val="00BC5D5A"/>
    <w:rsid w:val="00BC5E2E"/>
    <w:rsid w:val="00BC6120"/>
    <w:rsid w:val="00BC64EE"/>
    <w:rsid w:val="00BC6BD8"/>
    <w:rsid w:val="00BC6E70"/>
    <w:rsid w:val="00BC777C"/>
    <w:rsid w:val="00BC7802"/>
    <w:rsid w:val="00BD1266"/>
    <w:rsid w:val="00BD1B4D"/>
    <w:rsid w:val="00BD20B6"/>
    <w:rsid w:val="00BD2496"/>
    <w:rsid w:val="00BD2EA7"/>
    <w:rsid w:val="00BD364E"/>
    <w:rsid w:val="00BD454D"/>
    <w:rsid w:val="00BD4859"/>
    <w:rsid w:val="00BD4AB2"/>
    <w:rsid w:val="00BD57D6"/>
    <w:rsid w:val="00BD58C3"/>
    <w:rsid w:val="00BD61D2"/>
    <w:rsid w:val="00BD6305"/>
    <w:rsid w:val="00BD687A"/>
    <w:rsid w:val="00BD6938"/>
    <w:rsid w:val="00BD6D30"/>
    <w:rsid w:val="00BD71EE"/>
    <w:rsid w:val="00BD7739"/>
    <w:rsid w:val="00BD77F1"/>
    <w:rsid w:val="00BD7971"/>
    <w:rsid w:val="00BE086B"/>
    <w:rsid w:val="00BE0A15"/>
    <w:rsid w:val="00BE0C2A"/>
    <w:rsid w:val="00BE13DF"/>
    <w:rsid w:val="00BE17EE"/>
    <w:rsid w:val="00BE2722"/>
    <w:rsid w:val="00BE274A"/>
    <w:rsid w:val="00BE29B6"/>
    <w:rsid w:val="00BE2A65"/>
    <w:rsid w:val="00BE2CE3"/>
    <w:rsid w:val="00BE305A"/>
    <w:rsid w:val="00BE3930"/>
    <w:rsid w:val="00BE3937"/>
    <w:rsid w:val="00BE40F7"/>
    <w:rsid w:val="00BE4C63"/>
    <w:rsid w:val="00BE4E40"/>
    <w:rsid w:val="00BE54DE"/>
    <w:rsid w:val="00BE557B"/>
    <w:rsid w:val="00BE5889"/>
    <w:rsid w:val="00BE5AE8"/>
    <w:rsid w:val="00BE5E4D"/>
    <w:rsid w:val="00BE68D0"/>
    <w:rsid w:val="00BE6994"/>
    <w:rsid w:val="00BE6D17"/>
    <w:rsid w:val="00BE6DDC"/>
    <w:rsid w:val="00BE7AEF"/>
    <w:rsid w:val="00BF039F"/>
    <w:rsid w:val="00BF0794"/>
    <w:rsid w:val="00BF0C9B"/>
    <w:rsid w:val="00BF0F8B"/>
    <w:rsid w:val="00BF12B0"/>
    <w:rsid w:val="00BF15BF"/>
    <w:rsid w:val="00BF17F5"/>
    <w:rsid w:val="00BF1EF4"/>
    <w:rsid w:val="00BF24EE"/>
    <w:rsid w:val="00BF2A7F"/>
    <w:rsid w:val="00BF3EF4"/>
    <w:rsid w:val="00BF3EF7"/>
    <w:rsid w:val="00BF453D"/>
    <w:rsid w:val="00BF4F80"/>
    <w:rsid w:val="00BF50B5"/>
    <w:rsid w:val="00BF51CE"/>
    <w:rsid w:val="00BF6BA2"/>
    <w:rsid w:val="00BF6EAF"/>
    <w:rsid w:val="00BF73E7"/>
    <w:rsid w:val="00BF7DB0"/>
    <w:rsid w:val="00BF7E6F"/>
    <w:rsid w:val="00C00456"/>
    <w:rsid w:val="00C00484"/>
    <w:rsid w:val="00C01193"/>
    <w:rsid w:val="00C01455"/>
    <w:rsid w:val="00C01691"/>
    <w:rsid w:val="00C02639"/>
    <w:rsid w:val="00C0277F"/>
    <w:rsid w:val="00C02C9E"/>
    <w:rsid w:val="00C0353B"/>
    <w:rsid w:val="00C0353E"/>
    <w:rsid w:val="00C04497"/>
    <w:rsid w:val="00C0464A"/>
    <w:rsid w:val="00C04A33"/>
    <w:rsid w:val="00C04C93"/>
    <w:rsid w:val="00C0523F"/>
    <w:rsid w:val="00C053D4"/>
    <w:rsid w:val="00C053F0"/>
    <w:rsid w:val="00C05AD3"/>
    <w:rsid w:val="00C05C15"/>
    <w:rsid w:val="00C06310"/>
    <w:rsid w:val="00C06630"/>
    <w:rsid w:val="00C06700"/>
    <w:rsid w:val="00C06829"/>
    <w:rsid w:val="00C06C9F"/>
    <w:rsid w:val="00C06CB5"/>
    <w:rsid w:val="00C0766E"/>
    <w:rsid w:val="00C07AA0"/>
    <w:rsid w:val="00C07B7D"/>
    <w:rsid w:val="00C07E90"/>
    <w:rsid w:val="00C07EA6"/>
    <w:rsid w:val="00C1065A"/>
    <w:rsid w:val="00C11159"/>
    <w:rsid w:val="00C11516"/>
    <w:rsid w:val="00C11FC6"/>
    <w:rsid w:val="00C123A5"/>
    <w:rsid w:val="00C12864"/>
    <w:rsid w:val="00C1287A"/>
    <w:rsid w:val="00C13090"/>
    <w:rsid w:val="00C13187"/>
    <w:rsid w:val="00C13374"/>
    <w:rsid w:val="00C13F73"/>
    <w:rsid w:val="00C1433B"/>
    <w:rsid w:val="00C14A07"/>
    <w:rsid w:val="00C14B21"/>
    <w:rsid w:val="00C14C88"/>
    <w:rsid w:val="00C14CAD"/>
    <w:rsid w:val="00C151FD"/>
    <w:rsid w:val="00C15537"/>
    <w:rsid w:val="00C15919"/>
    <w:rsid w:val="00C15981"/>
    <w:rsid w:val="00C15CFC"/>
    <w:rsid w:val="00C16088"/>
    <w:rsid w:val="00C16428"/>
    <w:rsid w:val="00C16ADC"/>
    <w:rsid w:val="00C16B27"/>
    <w:rsid w:val="00C16C84"/>
    <w:rsid w:val="00C1761B"/>
    <w:rsid w:val="00C17C12"/>
    <w:rsid w:val="00C20115"/>
    <w:rsid w:val="00C212C1"/>
    <w:rsid w:val="00C2136A"/>
    <w:rsid w:val="00C2210F"/>
    <w:rsid w:val="00C22289"/>
    <w:rsid w:val="00C22305"/>
    <w:rsid w:val="00C227AD"/>
    <w:rsid w:val="00C22BFF"/>
    <w:rsid w:val="00C231EF"/>
    <w:rsid w:val="00C237E6"/>
    <w:rsid w:val="00C24535"/>
    <w:rsid w:val="00C24E9F"/>
    <w:rsid w:val="00C24EDB"/>
    <w:rsid w:val="00C251BC"/>
    <w:rsid w:val="00C258B2"/>
    <w:rsid w:val="00C25923"/>
    <w:rsid w:val="00C25A61"/>
    <w:rsid w:val="00C25BDA"/>
    <w:rsid w:val="00C26320"/>
    <w:rsid w:val="00C26B2C"/>
    <w:rsid w:val="00C26E7C"/>
    <w:rsid w:val="00C27483"/>
    <w:rsid w:val="00C2794A"/>
    <w:rsid w:val="00C27A36"/>
    <w:rsid w:val="00C27D14"/>
    <w:rsid w:val="00C27D70"/>
    <w:rsid w:val="00C30558"/>
    <w:rsid w:val="00C3093D"/>
    <w:rsid w:val="00C3128B"/>
    <w:rsid w:val="00C31403"/>
    <w:rsid w:val="00C317E8"/>
    <w:rsid w:val="00C31984"/>
    <w:rsid w:val="00C31B85"/>
    <w:rsid w:val="00C320F5"/>
    <w:rsid w:val="00C32335"/>
    <w:rsid w:val="00C32353"/>
    <w:rsid w:val="00C32797"/>
    <w:rsid w:val="00C327CD"/>
    <w:rsid w:val="00C32893"/>
    <w:rsid w:val="00C32F09"/>
    <w:rsid w:val="00C33590"/>
    <w:rsid w:val="00C33B2D"/>
    <w:rsid w:val="00C33E89"/>
    <w:rsid w:val="00C3408C"/>
    <w:rsid w:val="00C34AD5"/>
    <w:rsid w:val="00C34AED"/>
    <w:rsid w:val="00C34B6A"/>
    <w:rsid w:val="00C35222"/>
    <w:rsid w:val="00C3591E"/>
    <w:rsid w:val="00C35A65"/>
    <w:rsid w:val="00C35B0F"/>
    <w:rsid w:val="00C3628C"/>
    <w:rsid w:val="00C363F1"/>
    <w:rsid w:val="00C36623"/>
    <w:rsid w:val="00C36729"/>
    <w:rsid w:val="00C36794"/>
    <w:rsid w:val="00C404FA"/>
    <w:rsid w:val="00C40D42"/>
    <w:rsid w:val="00C40FDE"/>
    <w:rsid w:val="00C41572"/>
    <w:rsid w:val="00C4163C"/>
    <w:rsid w:val="00C41AD6"/>
    <w:rsid w:val="00C41BD9"/>
    <w:rsid w:val="00C42128"/>
    <w:rsid w:val="00C4267F"/>
    <w:rsid w:val="00C42B85"/>
    <w:rsid w:val="00C4383D"/>
    <w:rsid w:val="00C438B7"/>
    <w:rsid w:val="00C438DC"/>
    <w:rsid w:val="00C439D8"/>
    <w:rsid w:val="00C43FFB"/>
    <w:rsid w:val="00C4700B"/>
    <w:rsid w:val="00C4715E"/>
    <w:rsid w:val="00C474A3"/>
    <w:rsid w:val="00C474BC"/>
    <w:rsid w:val="00C478BA"/>
    <w:rsid w:val="00C50D2D"/>
    <w:rsid w:val="00C50EE8"/>
    <w:rsid w:val="00C51226"/>
    <w:rsid w:val="00C514AD"/>
    <w:rsid w:val="00C51740"/>
    <w:rsid w:val="00C5195B"/>
    <w:rsid w:val="00C52182"/>
    <w:rsid w:val="00C52B35"/>
    <w:rsid w:val="00C52CAC"/>
    <w:rsid w:val="00C52F47"/>
    <w:rsid w:val="00C5367E"/>
    <w:rsid w:val="00C53D52"/>
    <w:rsid w:val="00C540D8"/>
    <w:rsid w:val="00C54252"/>
    <w:rsid w:val="00C54E17"/>
    <w:rsid w:val="00C5522E"/>
    <w:rsid w:val="00C553B3"/>
    <w:rsid w:val="00C5633C"/>
    <w:rsid w:val="00C5679B"/>
    <w:rsid w:val="00C56C32"/>
    <w:rsid w:val="00C571FC"/>
    <w:rsid w:val="00C572FD"/>
    <w:rsid w:val="00C57B67"/>
    <w:rsid w:val="00C60046"/>
    <w:rsid w:val="00C6065B"/>
    <w:rsid w:val="00C60974"/>
    <w:rsid w:val="00C60984"/>
    <w:rsid w:val="00C60C3B"/>
    <w:rsid w:val="00C60D98"/>
    <w:rsid w:val="00C612BB"/>
    <w:rsid w:val="00C61AF7"/>
    <w:rsid w:val="00C62275"/>
    <w:rsid w:val="00C624D2"/>
    <w:rsid w:val="00C62970"/>
    <w:rsid w:val="00C62CE6"/>
    <w:rsid w:val="00C638E8"/>
    <w:rsid w:val="00C63E4B"/>
    <w:rsid w:val="00C64979"/>
    <w:rsid w:val="00C64B11"/>
    <w:rsid w:val="00C64BFE"/>
    <w:rsid w:val="00C64E1A"/>
    <w:rsid w:val="00C6545E"/>
    <w:rsid w:val="00C656F1"/>
    <w:rsid w:val="00C6594D"/>
    <w:rsid w:val="00C662C0"/>
    <w:rsid w:val="00C6661E"/>
    <w:rsid w:val="00C66A41"/>
    <w:rsid w:val="00C670D0"/>
    <w:rsid w:val="00C67377"/>
    <w:rsid w:val="00C6751E"/>
    <w:rsid w:val="00C67CFF"/>
    <w:rsid w:val="00C703AB"/>
    <w:rsid w:val="00C70C27"/>
    <w:rsid w:val="00C70FEB"/>
    <w:rsid w:val="00C7102F"/>
    <w:rsid w:val="00C7145E"/>
    <w:rsid w:val="00C71727"/>
    <w:rsid w:val="00C71E99"/>
    <w:rsid w:val="00C725D7"/>
    <w:rsid w:val="00C726F4"/>
    <w:rsid w:val="00C7271A"/>
    <w:rsid w:val="00C72C74"/>
    <w:rsid w:val="00C731C0"/>
    <w:rsid w:val="00C739CA"/>
    <w:rsid w:val="00C73A0F"/>
    <w:rsid w:val="00C73EA0"/>
    <w:rsid w:val="00C73F36"/>
    <w:rsid w:val="00C7440A"/>
    <w:rsid w:val="00C74C1E"/>
    <w:rsid w:val="00C74D6D"/>
    <w:rsid w:val="00C75B37"/>
    <w:rsid w:val="00C762A4"/>
    <w:rsid w:val="00C765D0"/>
    <w:rsid w:val="00C7693D"/>
    <w:rsid w:val="00C76D6F"/>
    <w:rsid w:val="00C77573"/>
    <w:rsid w:val="00C77769"/>
    <w:rsid w:val="00C77788"/>
    <w:rsid w:val="00C777F3"/>
    <w:rsid w:val="00C77A29"/>
    <w:rsid w:val="00C77B99"/>
    <w:rsid w:val="00C80284"/>
    <w:rsid w:val="00C803BA"/>
    <w:rsid w:val="00C8040A"/>
    <w:rsid w:val="00C80C07"/>
    <w:rsid w:val="00C80F0A"/>
    <w:rsid w:val="00C8128B"/>
    <w:rsid w:val="00C81309"/>
    <w:rsid w:val="00C81784"/>
    <w:rsid w:val="00C81E32"/>
    <w:rsid w:val="00C82486"/>
    <w:rsid w:val="00C82659"/>
    <w:rsid w:val="00C826EF"/>
    <w:rsid w:val="00C82A01"/>
    <w:rsid w:val="00C82F83"/>
    <w:rsid w:val="00C833EA"/>
    <w:rsid w:val="00C8364D"/>
    <w:rsid w:val="00C849D6"/>
    <w:rsid w:val="00C8542D"/>
    <w:rsid w:val="00C85546"/>
    <w:rsid w:val="00C8555B"/>
    <w:rsid w:val="00C85907"/>
    <w:rsid w:val="00C85DB2"/>
    <w:rsid w:val="00C86298"/>
    <w:rsid w:val="00C86330"/>
    <w:rsid w:val="00C86823"/>
    <w:rsid w:val="00C86F54"/>
    <w:rsid w:val="00C86F8D"/>
    <w:rsid w:val="00C87444"/>
    <w:rsid w:val="00C87519"/>
    <w:rsid w:val="00C875E0"/>
    <w:rsid w:val="00C87A06"/>
    <w:rsid w:val="00C90206"/>
    <w:rsid w:val="00C90DF2"/>
    <w:rsid w:val="00C91418"/>
    <w:rsid w:val="00C9157E"/>
    <w:rsid w:val="00C91A62"/>
    <w:rsid w:val="00C91C68"/>
    <w:rsid w:val="00C92027"/>
    <w:rsid w:val="00C927BE"/>
    <w:rsid w:val="00C92CA1"/>
    <w:rsid w:val="00C92D66"/>
    <w:rsid w:val="00C92EB6"/>
    <w:rsid w:val="00C93035"/>
    <w:rsid w:val="00C93065"/>
    <w:rsid w:val="00C930C1"/>
    <w:rsid w:val="00C934CD"/>
    <w:rsid w:val="00C936FB"/>
    <w:rsid w:val="00C93A25"/>
    <w:rsid w:val="00C94639"/>
    <w:rsid w:val="00C94E17"/>
    <w:rsid w:val="00C953A6"/>
    <w:rsid w:val="00C956BD"/>
    <w:rsid w:val="00C96011"/>
    <w:rsid w:val="00C96748"/>
    <w:rsid w:val="00C968CA"/>
    <w:rsid w:val="00C96B6D"/>
    <w:rsid w:val="00C97227"/>
    <w:rsid w:val="00C975DC"/>
    <w:rsid w:val="00C97D22"/>
    <w:rsid w:val="00CA0121"/>
    <w:rsid w:val="00CA030D"/>
    <w:rsid w:val="00CA053A"/>
    <w:rsid w:val="00CA0DD8"/>
    <w:rsid w:val="00CA105C"/>
    <w:rsid w:val="00CA1130"/>
    <w:rsid w:val="00CA1184"/>
    <w:rsid w:val="00CA195C"/>
    <w:rsid w:val="00CA1DD1"/>
    <w:rsid w:val="00CA1FA9"/>
    <w:rsid w:val="00CA235D"/>
    <w:rsid w:val="00CA2706"/>
    <w:rsid w:val="00CA2CDF"/>
    <w:rsid w:val="00CA2D85"/>
    <w:rsid w:val="00CA356D"/>
    <w:rsid w:val="00CA3B59"/>
    <w:rsid w:val="00CA3DD6"/>
    <w:rsid w:val="00CA3E48"/>
    <w:rsid w:val="00CA4105"/>
    <w:rsid w:val="00CA420F"/>
    <w:rsid w:val="00CA43A4"/>
    <w:rsid w:val="00CA4865"/>
    <w:rsid w:val="00CA48F9"/>
    <w:rsid w:val="00CA587F"/>
    <w:rsid w:val="00CA60CA"/>
    <w:rsid w:val="00CA61F3"/>
    <w:rsid w:val="00CA6311"/>
    <w:rsid w:val="00CA6394"/>
    <w:rsid w:val="00CA69E6"/>
    <w:rsid w:val="00CA6EEA"/>
    <w:rsid w:val="00CA7E2D"/>
    <w:rsid w:val="00CB2588"/>
    <w:rsid w:val="00CB26EF"/>
    <w:rsid w:val="00CB2D2B"/>
    <w:rsid w:val="00CB3032"/>
    <w:rsid w:val="00CB3538"/>
    <w:rsid w:val="00CB3BB9"/>
    <w:rsid w:val="00CB40D6"/>
    <w:rsid w:val="00CB4396"/>
    <w:rsid w:val="00CB4A56"/>
    <w:rsid w:val="00CB4B9F"/>
    <w:rsid w:val="00CB4ED7"/>
    <w:rsid w:val="00CB528A"/>
    <w:rsid w:val="00CB5807"/>
    <w:rsid w:val="00CB5AAF"/>
    <w:rsid w:val="00CB5C5A"/>
    <w:rsid w:val="00CB649F"/>
    <w:rsid w:val="00CB6759"/>
    <w:rsid w:val="00CB6A27"/>
    <w:rsid w:val="00CB6AE6"/>
    <w:rsid w:val="00CB6B2A"/>
    <w:rsid w:val="00CB6DE4"/>
    <w:rsid w:val="00CB7991"/>
    <w:rsid w:val="00CB7B74"/>
    <w:rsid w:val="00CC0094"/>
    <w:rsid w:val="00CC0B95"/>
    <w:rsid w:val="00CC1635"/>
    <w:rsid w:val="00CC2093"/>
    <w:rsid w:val="00CC2A41"/>
    <w:rsid w:val="00CC2C8C"/>
    <w:rsid w:val="00CC31D5"/>
    <w:rsid w:val="00CC3490"/>
    <w:rsid w:val="00CC397F"/>
    <w:rsid w:val="00CC48D8"/>
    <w:rsid w:val="00CC4FD3"/>
    <w:rsid w:val="00CC560E"/>
    <w:rsid w:val="00CC5645"/>
    <w:rsid w:val="00CC58C4"/>
    <w:rsid w:val="00CC5934"/>
    <w:rsid w:val="00CC5EC5"/>
    <w:rsid w:val="00CC601D"/>
    <w:rsid w:val="00CC6B2E"/>
    <w:rsid w:val="00CC6BC1"/>
    <w:rsid w:val="00CC7D91"/>
    <w:rsid w:val="00CD08C4"/>
    <w:rsid w:val="00CD0AD0"/>
    <w:rsid w:val="00CD0D82"/>
    <w:rsid w:val="00CD149E"/>
    <w:rsid w:val="00CD16D7"/>
    <w:rsid w:val="00CD20D9"/>
    <w:rsid w:val="00CD22A1"/>
    <w:rsid w:val="00CD2796"/>
    <w:rsid w:val="00CD3119"/>
    <w:rsid w:val="00CD36FD"/>
    <w:rsid w:val="00CD3795"/>
    <w:rsid w:val="00CD381D"/>
    <w:rsid w:val="00CD403A"/>
    <w:rsid w:val="00CD4270"/>
    <w:rsid w:val="00CD4772"/>
    <w:rsid w:val="00CD52CA"/>
    <w:rsid w:val="00CD690F"/>
    <w:rsid w:val="00CD6A5C"/>
    <w:rsid w:val="00CD724D"/>
    <w:rsid w:val="00CD7907"/>
    <w:rsid w:val="00CE0769"/>
    <w:rsid w:val="00CE104C"/>
    <w:rsid w:val="00CE1895"/>
    <w:rsid w:val="00CE2342"/>
    <w:rsid w:val="00CE27A2"/>
    <w:rsid w:val="00CE29B0"/>
    <w:rsid w:val="00CE3697"/>
    <w:rsid w:val="00CE37F2"/>
    <w:rsid w:val="00CE3AD2"/>
    <w:rsid w:val="00CE4B91"/>
    <w:rsid w:val="00CE559A"/>
    <w:rsid w:val="00CE57C5"/>
    <w:rsid w:val="00CE58F2"/>
    <w:rsid w:val="00CE5BEA"/>
    <w:rsid w:val="00CE6390"/>
    <w:rsid w:val="00CE699F"/>
    <w:rsid w:val="00CE6B92"/>
    <w:rsid w:val="00CE6D69"/>
    <w:rsid w:val="00CE7400"/>
    <w:rsid w:val="00CE7A81"/>
    <w:rsid w:val="00CE7FFB"/>
    <w:rsid w:val="00CF0561"/>
    <w:rsid w:val="00CF0674"/>
    <w:rsid w:val="00CF0804"/>
    <w:rsid w:val="00CF0F76"/>
    <w:rsid w:val="00CF10AB"/>
    <w:rsid w:val="00CF12A3"/>
    <w:rsid w:val="00CF16A3"/>
    <w:rsid w:val="00CF23F9"/>
    <w:rsid w:val="00CF270E"/>
    <w:rsid w:val="00CF277E"/>
    <w:rsid w:val="00CF32E4"/>
    <w:rsid w:val="00CF3394"/>
    <w:rsid w:val="00CF35B1"/>
    <w:rsid w:val="00CF38E7"/>
    <w:rsid w:val="00CF3AED"/>
    <w:rsid w:val="00CF4002"/>
    <w:rsid w:val="00CF550A"/>
    <w:rsid w:val="00CF55D2"/>
    <w:rsid w:val="00CF5B6A"/>
    <w:rsid w:val="00CF5FA1"/>
    <w:rsid w:val="00CF7FEA"/>
    <w:rsid w:val="00D007C4"/>
    <w:rsid w:val="00D00FCC"/>
    <w:rsid w:val="00D01038"/>
    <w:rsid w:val="00D0125F"/>
    <w:rsid w:val="00D01A10"/>
    <w:rsid w:val="00D01B6E"/>
    <w:rsid w:val="00D01E44"/>
    <w:rsid w:val="00D01F85"/>
    <w:rsid w:val="00D02046"/>
    <w:rsid w:val="00D021A2"/>
    <w:rsid w:val="00D022B8"/>
    <w:rsid w:val="00D02397"/>
    <w:rsid w:val="00D02695"/>
    <w:rsid w:val="00D02DA1"/>
    <w:rsid w:val="00D02E38"/>
    <w:rsid w:val="00D02FE1"/>
    <w:rsid w:val="00D03116"/>
    <w:rsid w:val="00D032AC"/>
    <w:rsid w:val="00D034A1"/>
    <w:rsid w:val="00D035BE"/>
    <w:rsid w:val="00D039B6"/>
    <w:rsid w:val="00D0449E"/>
    <w:rsid w:val="00D049EA"/>
    <w:rsid w:val="00D04A2F"/>
    <w:rsid w:val="00D050EF"/>
    <w:rsid w:val="00D05611"/>
    <w:rsid w:val="00D05982"/>
    <w:rsid w:val="00D059EB"/>
    <w:rsid w:val="00D0611D"/>
    <w:rsid w:val="00D06927"/>
    <w:rsid w:val="00D06A9C"/>
    <w:rsid w:val="00D06AB3"/>
    <w:rsid w:val="00D06C75"/>
    <w:rsid w:val="00D075F3"/>
    <w:rsid w:val="00D07AEC"/>
    <w:rsid w:val="00D07C1E"/>
    <w:rsid w:val="00D07CA1"/>
    <w:rsid w:val="00D101FF"/>
    <w:rsid w:val="00D10AAC"/>
    <w:rsid w:val="00D10E31"/>
    <w:rsid w:val="00D111B5"/>
    <w:rsid w:val="00D115F0"/>
    <w:rsid w:val="00D122B9"/>
    <w:rsid w:val="00D12467"/>
    <w:rsid w:val="00D12A3D"/>
    <w:rsid w:val="00D130B8"/>
    <w:rsid w:val="00D132E6"/>
    <w:rsid w:val="00D132FD"/>
    <w:rsid w:val="00D13DDC"/>
    <w:rsid w:val="00D13F59"/>
    <w:rsid w:val="00D14777"/>
    <w:rsid w:val="00D14DE7"/>
    <w:rsid w:val="00D15253"/>
    <w:rsid w:val="00D152D9"/>
    <w:rsid w:val="00D15567"/>
    <w:rsid w:val="00D156C4"/>
    <w:rsid w:val="00D15A1D"/>
    <w:rsid w:val="00D15C22"/>
    <w:rsid w:val="00D1691C"/>
    <w:rsid w:val="00D16AF3"/>
    <w:rsid w:val="00D17018"/>
    <w:rsid w:val="00D1735A"/>
    <w:rsid w:val="00D177EB"/>
    <w:rsid w:val="00D2002F"/>
    <w:rsid w:val="00D2056A"/>
    <w:rsid w:val="00D209D7"/>
    <w:rsid w:val="00D209F8"/>
    <w:rsid w:val="00D2165A"/>
    <w:rsid w:val="00D2236D"/>
    <w:rsid w:val="00D22512"/>
    <w:rsid w:val="00D225FA"/>
    <w:rsid w:val="00D22D8D"/>
    <w:rsid w:val="00D22D99"/>
    <w:rsid w:val="00D23F6E"/>
    <w:rsid w:val="00D2471C"/>
    <w:rsid w:val="00D24BE2"/>
    <w:rsid w:val="00D256DB"/>
    <w:rsid w:val="00D25822"/>
    <w:rsid w:val="00D25ADC"/>
    <w:rsid w:val="00D25AF9"/>
    <w:rsid w:val="00D26AB8"/>
    <w:rsid w:val="00D271B4"/>
    <w:rsid w:val="00D27336"/>
    <w:rsid w:val="00D27904"/>
    <w:rsid w:val="00D31228"/>
    <w:rsid w:val="00D3154A"/>
    <w:rsid w:val="00D317D9"/>
    <w:rsid w:val="00D31DE8"/>
    <w:rsid w:val="00D322FC"/>
    <w:rsid w:val="00D32341"/>
    <w:rsid w:val="00D324BB"/>
    <w:rsid w:val="00D32ADC"/>
    <w:rsid w:val="00D32C92"/>
    <w:rsid w:val="00D32D38"/>
    <w:rsid w:val="00D33B9B"/>
    <w:rsid w:val="00D33CE4"/>
    <w:rsid w:val="00D33EF9"/>
    <w:rsid w:val="00D345B1"/>
    <w:rsid w:val="00D352A5"/>
    <w:rsid w:val="00D35FBC"/>
    <w:rsid w:val="00D37166"/>
    <w:rsid w:val="00D3733B"/>
    <w:rsid w:val="00D3770B"/>
    <w:rsid w:val="00D37DB8"/>
    <w:rsid w:val="00D40E42"/>
    <w:rsid w:val="00D40E4C"/>
    <w:rsid w:val="00D4127A"/>
    <w:rsid w:val="00D417FB"/>
    <w:rsid w:val="00D430C1"/>
    <w:rsid w:val="00D434D0"/>
    <w:rsid w:val="00D43648"/>
    <w:rsid w:val="00D43880"/>
    <w:rsid w:val="00D43F12"/>
    <w:rsid w:val="00D442D5"/>
    <w:rsid w:val="00D44630"/>
    <w:rsid w:val="00D44D41"/>
    <w:rsid w:val="00D44EFA"/>
    <w:rsid w:val="00D454AC"/>
    <w:rsid w:val="00D45F4D"/>
    <w:rsid w:val="00D46240"/>
    <w:rsid w:val="00D46864"/>
    <w:rsid w:val="00D472BD"/>
    <w:rsid w:val="00D4766E"/>
    <w:rsid w:val="00D47CC5"/>
    <w:rsid w:val="00D47E30"/>
    <w:rsid w:val="00D47F8B"/>
    <w:rsid w:val="00D502DA"/>
    <w:rsid w:val="00D50887"/>
    <w:rsid w:val="00D50D53"/>
    <w:rsid w:val="00D50D7D"/>
    <w:rsid w:val="00D50E8C"/>
    <w:rsid w:val="00D511D8"/>
    <w:rsid w:val="00D51C97"/>
    <w:rsid w:val="00D5285D"/>
    <w:rsid w:val="00D52874"/>
    <w:rsid w:val="00D52A22"/>
    <w:rsid w:val="00D53284"/>
    <w:rsid w:val="00D53748"/>
    <w:rsid w:val="00D53F9C"/>
    <w:rsid w:val="00D541B2"/>
    <w:rsid w:val="00D5449F"/>
    <w:rsid w:val="00D548D3"/>
    <w:rsid w:val="00D55042"/>
    <w:rsid w:val="00D55591"/>
    <w:rsid w:val="00D559A4"/>
    <w:rsid w:val="00D55AEE"/>
    <w:rsid w:val="00D55B49"/>
    <w:rsid w:val="00D561D7"/>
    <w:rsid w:val="00D5672E"/>
    <w:rsid w:val="00D574A1"/>
    <w:rsid w:val="00D575FA"/>
    <w:rsid w:val="00D57687"/>
    <w:rsid w:val="00D57A81"/>
    <w:rsid w:val="00D57BCC"/>
    <w:rsid w:val="00D57E0E"/>
    <w:rsid w:val="00D6003E"/>
    <w:rsid w:val="00D60AE1"/>
    <w:rsid w:val="00D60AF8"/>
    <w:rsid w:val="00D610FC"/>
    <w:rsid w:val="00D618C8"/>
    <w:rsid w:val="00D61A2C"/>
    <w:rsid w:val="00D62548"/>
    <w:rsid w:val="00D62679"/>
    <w:rsid w:val="00D62F44"/>
    <w:rsid w:val="00D637F9"/>
    <w:rsid w:val="00D642A8"/>
    <w:rsid w:val="00D647C3"/>
    <w:rsid w:val="00D64810"/>
    <w:rsid w:val="00D649FA"/>
    <w:rsid w:val="00D64F51"/>
    <w:rsid w:val="00D6539A"/>
    <w:rsid w:val="00D65668"/>
    <w:rsid w:val="00D656E6"/>
    <w:rsid w:val="00D66618"/>
    <w:rsid w:val="00D6726D"/>
    <w:rsid w:val="00D672DA"/>
    <w:rsid w:val="00D6780E"/>
    <w:rsid w:val="00D67835"/>
    <w:rsid w:val="00D67BE4"/>
    <w:rsid w:val="00D67C30"/>
    <w:rsid w:val="00D709C1"/>
    <w:rsid w:val="00D70B49"/>
    <w:rsid w:val="00D71BF5"/>
    <w:rsid w:val="00D72042"/>
    <w:rsid w:val="00D723BF"/>
    <w:rsid w:val="00D724F9"/>
    <w:rsid w:val="00D72D9D"/>
    <w:rsid w:val="00D73C15"/>
    <w:rsid w:val="00D7411C"/>
    <w:rsid w:val="00D7415E"/>
    <w:rsid w:val="00D74B71"/>
    <w:rsid w:val="00D752BC"/>
    <w:rsid w:val="00D754C1"/>
    <w:rsid w:val="00D758A5"/>
    <w:rsid w:val="00D75B7A"/>
    <w:rsid w:val="00D76298"/>
    <w:rsid w:val="00D76515"/>
    <w:rsid w:val="00D76AF2"/>
    <w:rsid w:val="00D76C4B"/>
    <w:rsid w:val="00D76FDD"/>
    <w:rsid w:val="00D77248"/>
    <w:rsid w:val="00D773F0"/>
    <w:rsid w:val="00D77B13"/>
    <w:rsid w:val="00D80708"/>
    <w:rsid w:val="00D80AB8"/>
    <w:rsid w:val="00D80E89"/>
    <w:rsid w:val="00D80EAA"/>
    <w:rsid w:val="00D8168D"/>
    <w:rsid w:val="00D8211E"/>
    <w:rsid w:val="00D828CD"/>
    <w:rsid w:val="00D82A2B"/>
    <w:rsid w:val="00D82C5A"/>
    <w:rsid w:val="00D82E1C"/>
    <w:rsid w:val="00D82E56"/>
    <w:rsid w:val="00D838AA"/>
    <w:rsid w:val="00D83A9D"/>
    <w:rsid w:val="00D83F48"/>
    <w:rsid w:val="00D84387"/>
    <w:rsid w:val="00D84699"/>
    <w:rsid w:val="00D84853"/>
    <w:rsid w:val="00D85B24"/>
    <w:rsid w:val="00D86351"/>
    <w:rsid w:val="00D8677D"/>
    <w:rsid w:val="00D87C37"/>
    <w:rsid w:val="00D87CC0"/>
    <w:rsid w:val="00D9003E"/>
    <w:rsid w:val="00D9020B"/>
    <w:rsid w:val="00D90B3B"/>
    <w:rsid w:val="00D90C6C"/>
    <w:rsid w:val="00D91006"/>
    <w:rsid w:val="00D91116"/>
    <w:rsid w:val="00D9121A"/>
    <w:rsid w:val="00D921D3"/>
    <w:rsid w:val="00D9227D"/>
    <w:rsid w:val="00D922F6"/>
    <w:rsid w:val="00D924B1"/>
    <w:rsid w:val="00D928D3"/>
    <w:rsid w:val="00D92F12"/>
    <w:rsid w:val="00D92FF6"/>
    <w:rsid w:val="00D9301C"/>
    <w:rsid w:val="00D9314C"/>
    <w:rsid w:val="00D93594"/>
    <w:rsid w:val="00D93CCA"/>
    <w:rsid w:val="00D93D25"/>
    <w:rsid w:val="00D93D7A"/>
    <w:rsid w:val="00D94498"/>
    <w:rsid w:val="00D949F1"/>
    <w:rsid w:val="00D95677"/>
    <w:rsid w:val="00D96250"/>
    <w:rsid w:val="00D96337"/>
    <w:rsid w:val="00D96FD4"/>
    <w:rsid w:val="00D979A3"/>
    <w:rsid w:val="00D97A7A"/>
    <w:rsid w:val="00D97C67"/>
    <w:rsid w:val="00DA014E"/>
    <w:rsid w:val="00DA03A4"/>
    <w:rsid w:val="00DA0D13"/>
    <w:rsid w:val="00DA0FDB"/>
    <w:rsid w:val="00DA121C"/>
    <w:rsid w:val="00DA13F9"/>
    <w:rsid w:val="00DA15A9"/>
    <w:rsid w:val="00DA169C"/>
    <w:rsid w:val="00DA16F7"/>
    <w:rsid w:val="00DA1F13"/>
    <w:rsid w:val="00DA204E"/>
    <w:rsid w:val="00DA210A"/>
    <w:rsid w:val="00DA2595"/>
    <w:rsid w:val="00DA2C16"/>
    <w:rsid w:val="00DA422F"/>
    <w:rsid w:val="00DA45C0"/>
    <w:rsid w:val="00DA46EB"/>
    <w:rsid w:val="00DA4739"/>
    <w:rsid w:val="00DA4EAA"/>
    <w:rsid w:val="00DA52EB"/>
    <w:rsid w:val="00DA53F1"/>
    <w:rsid w:val="00DA55DB"/>
    <w:rsid w:val="00DA5857"/>
    <w:rsid w:val="00DA588F"/>
    <w:rsid w:val="00DA5FB7"/>
    <w:rsid w:val="00DA60C3"/>
    <w:rsid w:val="00DA675B"/>
    <w:rsid w:val="00DA67E6"/>
    <w:rsid w:val="00DA6C05"/>
    <w:rsid w:val="00DA6C2F"/>
    <w:rsid w:val="00DA6F32"/>
    <w:rsid w:val="00DA75F7"/>
    <w:rsid w:val="00DA761A"/>
    <w:rsid w:val="00DA791E"/>
    <w:rsid w:val="00DA7DB4"/>
    <w:rsid w:val="00DA7FE4"/>
    <w:rsid w:val="00DB0F69"/>
    <w:rsid w:val="00DB1401"/>
    <w:rsid w:val="00DB1E84"/>
    <w:rsid w:val="00DB20C3"/>
    <w:rsid w:val="00DB2262"/>
    <w:rsid w:val="00DB2A4B"/>
    <w:rsid w:val="00DB2C34"/>
    <w:rsid w:val="00DB308B"/>
    <w:rsid w:val="00DB38E4"/>
    <w:rsid w:val="00DB3C0B"/>
    <w:rsid w:val="00DB3D02"/>
    <w:rsid w:val="00DB3EB7"/>
    <w:rsid w:val="00DB3F9A"/>
    <w:rsid w:val="00DB4029"/>
    <w:rsid w:val="00DB46D6"/>
    <w:rsid w:val="00DB49D1"/>
    <w:rsid w:val="00DB4A68"/>
    <w:rsid w:val="00DB4EBB"/>
    <w:rsid w:val="00DB501E"/>
    <w:rsid w:val="00DB5693"/>
    <w:rsid w:val="00DB5D97"/>
    <w:rsid w:val="00DB6338"/>
    <w:rsid w:val="00DB6598"/>
    <w:rsid w:val="00DB69FA"/>
    <w:rsid w:val="00DB6A4E"/>
    <w:rsid w:val="00DB6C0D"/>
    <w:rsid w:val="00DB6C8A"/>
    <w:rsid w:val="00DB6D8F"/>
    <w:rsid w:val="00DB6FF8"/>
    <w:rsid w:val="00DB766D"/>
    <w:rsid w:val="00DB7E7F"/>
    <w:rsid w:val="00DC0242"/>
    <w:rsid w:val="00DC0397"/>
    <w:rsid w:val="00DC0CB2"/>
    <w:rsid w:val="00DC1267"/>
    <w:rsid w:val="00DC18FD"/>
    <w:rsid w:val="00DC1B40"/>
    <w:rsid w:val="00DC1E94"/>
    <w:rsid w:val="00DC23F5"/>
    <w:rsid w:val="00DC3651"/>
    <w:rsid w:val="00DC4497"/>
    <w:rsid w:val="00DC485C"/>
    <w:rsid w:val="00DC54B4"/>
    <w:rsid w:val="00DC5D66"/>
    <w:rsid w:val="00DC70BC"/>
    <w:rsid w:val="00DD0C37"/>
    <w:rsid w:val="00DD126C"/>
    <w:rsid w:val="00DD1393"/>
    <w:rsid w:val="00DD1497"/>
    <w:rsid w:val="00DD2B51"/>
    <w:rsid w:val="00DD2C86"/>
    <w:rsid w:val="00DD2DDB"/>
    <w:rsid w:val="00DD3150"/>
    <w:rsid w:val="00DD42C8"/>
    <w:rsid w:val="00DD4337"/>
    <w:rsid w:val="00DD4944"/>
    <w:rsid w:val="00DD5450"/>
    <w:rsid w:val="00DD5B2A"/>
    <w:rsid w:val="00DD6479"/>
    <w:rsid w:val="00DD65AC"/>
    <w:rsid w:val="00DD6C30"/>
    <w:rsid w:val="00DD6CAD"/>
    <w:rsid w:val="00DD6F23"/>
    <w:rsid w:val="00DD6F73"/>
    <w:rsid w:val="00DD70EC"/>
    <w:rsid w:val="00DD743C"/>
    <w:rsid w:val="00DE021B"/>
    <w:rsid w:val="00DE0752"/>
    <w:rsid w:val="00DE0BBA"/>
    <w:rsid w:val="00DE0C84"/>
    <w:rsid w:val="00DE0CAF"/>
    <w:rsid w:val="00DE0E0C"/>
    <w:rsid w:val="00DE0E34"/>
    <w:rsid w:val="00DE12C7"/>
    <w:rsid w:val="00DE1351"/>
    <w:rsid w:val="00DE1680"/>
    <w:rsid w:val="00DE1869"/>
    <w:rsid w:val="00DE1E1C"/>
    <w:rsid w:val="00DE1E3E"/>
    <w:rsid w:val="00DE2EB7"/>
    <w:rsid w:val="00DE2FC5"/>
    <w:rsid w:val="00DE3087"/>
    <w:rsid w:val="00DE3EBC"/>
    <w:rsid w:val="00DE4156"/>
    <w:rsid w:val="00DE45B8"/>
    <w:rsid w:val="00DE4A08"/>
    <w:rsid w:val="00DE4E78"/>
    <w:rsid w:val="00DE5B61"/>
    <w:rsid w:val="00DE602E"/>
    <w:rsid w:val="00DE65BC"/>
    <w:rsid w:val="00DE6836"/>
    <w:rsid w:val="00DE6C0F"/>
    <w:rsid w:val="00DE7482"/>
    <w:rsid w:val="00DE7D94"/>
    <w:rsid w:val="00DF0216"/>
    <w:rsid w:val="00DF0908"/>
    <w:rsid w:val="00DF0960"/>
    <w:rsid w:val="00DF0A36"/>
    <w:rsid w:val="00DF130E"/>
    <w:rsid w:val="00DF1683"/>
    <w:rsid w:val="00DF236E"/>
    <w:rsid w:val="00DF28B7"/>
    <w:rsid w:val="00DF331E"/>
    <w:rsid w:val="00DF3333"/>
    <w:rsid w:val="00DF4813"/>
    <w:rsid w:val="00DF50D4"/>
    <w:rsid w:val="00DF577E"/>
    <w:rsid w:val="00DF5826"/>
    <w:rsid w:val="00DF6325"/>
    <w:rsid w:val="00DF643B"/>
    <w:rsid w:val="00DF6502"/>
    <w:rsid w:val="00DF68BD"/>
    <w:rsid w:val="00DF700A"/>
    <w:rsid w:val="00DF7377"/>
    <w:rsid w:val="00DF7EEE"/>
    <w:rsid w:val="00E004BD"/>
    <w:rsid w:val="00E00648"/>
    <w:rsid w:val="00E0086C"/>
    <w:rsid w:val="00E00D4C"/>
    <w:rsid w:val="00E00E59"/>
    <w:rsid w:val="00E00EE1"/>
    <w:rsid w:val="00E01139"/>
    <w:rsid w:val="00E0138C"/>
    <w:rsid w:val="00E018A6"/>
    <w:rsid w:val="00E01B6F"/>
    <w:rsid w:val="00E01E3A"/>
    <w:rsid w:val="00E0246C"/>
    <w:rsid w:val="00E02666"/>
    <w:rsid w:val="00E02763"/>
    <w:rsid w:val="00E02B06"/>
    <w:rsid w:val="00E02B0D"/>
    <w:rsid w:val="00E037E3"/>
    <w:rsid w:val="00E03CAB"/>
    <w:rsid w:val="00E04FDA"/>
    <w:rsid w:val="00E0565B"/>
    <w:rsid w:val="00E05672"/>
    <w:rsid w:val="00E05A60"/>
    <w:rsid w:val="00E06682"/>
    <w:rsid w:val="00E06BEF"/>
    <w:rsid w:val="00E06ED4"/>
    <w:rsid w:val="00E07789"/>
    <w:rsid w:val="00E078D3"/>
    <w:rsid w:val="00E07A4F"/>
    <w:rsid w:val="00E07AD1"/>
    <w:rsid w:val="00E07BE8"/>
    <w:rsid w:val="00E07C98"/>
    <w:rsid w:val="00E102A1"/>
    <w:rsid w:val="00E10594"/>
    <w:rsid w:val="00E1081D"/>
    <w:rsid w:val="00E1197B"/>
    <w:rsid w:val="00E11BB7"/>
    <w:rsid w:val="00E12641"/>
    <w:rsid w:val="00E13202"/>
    <w:rsid w:val="00E141C7"/>
    <w:rsid w:val="00E1444E"/>
    <w:rsid w:val="00E144AA"/>
    <w:rsid w:val="00E148FC"/>
    <w:rsid w:val="00E14B07"/>
    <w:rsid w:val="00E14E62"/>
    <w:rsid w:val="00E14E89"/>
    <w:rsid w:val="00E156C6"/>
    <w:rsid w:val="00E15945"/>
    <w:rsid w:val="00E16197"/>
    <w:rsid w:val="00E16356"/>
    <w:rsid w:val="00E16503"/>
    <w:rsid w:val="00E16772"/>
    <w:rsid w:val="00E16A8E"/>
    <w:rsid w:val="00E16AA7"/>
    <w:rsid w:val="00E16D9A"/>
    <w:rsid w:val="00E16F08"/>
    <w:rsid w:val="00E173C9"/>
    <w:rsid w:val="00E17709"/>
    <w:rsid w:val="00E17B57"/>
    <w:rsid w:val="00E17D3C"/>
    <w:rsid w:val="00E17E05"/>
    <w:rsid w:val="00E17E47"/>
    <w:rsid w:val="00E206EF"/>
    <w:rsid w:val="00E20BC7"/>
    <w:rsid w:val="00E20FE0"/>
    <w:rsid w:val="00E219A7"/>
    <w:rsid w:val="00E21A01"/>
    <w:rsid w:val="00E21A1A"/>
    <w:rsid w:val="00E21A56"/>
    <w:rsid w:val="00E21C26"/>
    <w:rsid w:val="00E21FAE"/>
    <w:rsid w:val="00E220C9"/>
    <w:rsid w:val="00E222F7"/>
    <w:rsid w:val="00E22D50"/>
    <w:rsid w:val="00E23A09"/>
    <w:rsid w:val="00E23BD5"/>
    <w:rsid w:val="00E23FDE"/>
    <w:rsid w:val="00E240FC"/>
    <w:rsid w:val="00E241FC"/>
    <w:rsid w:val="00E2428F"/>
    <w:rsid w:val="00E2434B"/>
    <w:rsid w:val="00E248CB"/>
    <w:rsid w:val="00E250D2"/>
    <w:rsid w:val="00E2573D"/>
    <w:rsid w:val="00E26B3A"/>
    <w:rsid w:val="00E27443"/>
    <w:rsid w:val="00E2755D"/>
    <w:rsid w:val="00E27644"/>
    <w:rsid w:val="00E27720"/>
    <w:rsid w:val="00E2787F"/>
    <w:rsid w:val="00E2795E"/>
    <w:rsid w:val="00E27FF2"/>
    <w:rsid w:val="00E30115"/>
    <w:rsid w:val="00E305B0"/>
    <w:rsid w:val="00E306CD"/>
    <w:rsid w:val="00E30D7C"/>
    <w:rsid w:val="00E30F46"/>
    <w:rsid w:val="00E31082"/>
    <w:rsid w:val="00E31471"/>
    <w:rsid w:val="00E31CE3"/>
    <w:rsid w:val="00E31D6F"/>
    <w:rsid w:val="00E3221F"/>
    <w:rsid w:val="00E3296C"/>
    <w:rsid w:val="00E32B48"/>
    <w:rsid w:val="00E330FD"/>
    <w:rsid w:val="00E33BF9"/>
    <w:rsid w:val="00E341B3"/>
    <w:rsid w:val="00E345F3"/>
    <w:rsid w:val="00E34AD0"/>
    <w:rsid w:val="00E35016"/>
    <w:rsid w:val="00E35396"/>
    <w:rsid w:val="00E35A07"/>
    <w:rsid w:val="00E35C93"/>
    <w:rsid w:val="00E35ECB"/>
    <w:rsid w:val="00E35FA3"/>
    <w:rsid w:val="00E368EA"/>
    <w:rsid w:val="00E36B72"/>
    <w:rsid w:val="00E36B97"/>
    <w:rsid w:val="00E36E2C"/>
    <w:rsid w:val="00E36E42"/>
    <w:rsid w:val="00E36F4D"/>
    <w:rsid w:val="00E37434"/>
    <w:rsid w:val="00E37A8E"/>
    <w:rsid w:val="00E37BA9"/>
    <w:rsid w:val="00E402F0"/>
    <w:rsid w:val="00E40681"/>
    <w:rsid w:val="00E40BDA"/>
    <w:rsid w:val="00E41146"/>
    <w:rsid w:val="00E419B7"/>
    <w:rsid w:val="00E421A1"/>
    <w:rsid w:val="00E42618"/>
    <w:rsid w:val="00E4272A"/>
    <w:rsid w:val="00E42F27"/>
    <w:rsid w:val="00E43B1D"/>
    <w:rsid w:val="00E43F30"/>
    <w:rsid w:val="00E43F87"/>
    <w:rsid w:val="00E441A8"/>
    <w:rsid w:val="00E44899"/>
    <w:rsid w:val="00E44D61"/>
    <w:rsid w:val="00E44F96"/>
    <w:rsid w:val="00E45AFB"/>
    <w:rsid w:val="00E46213"/>
    <w:rsid w:val="00E466E4"/>
    <w:rsid w:val="00E4679F"/>
    <w:rsid w:val="00E46AA4"/>
    <w:rsid w:val="00E47404"/>
    <w:rsid w:val="00E477AA"/>
    <w:rsid w:val="00E477B8"/>
    <w:rsid w:val="00E47E1A"/>
    <w:rsid w:val="00E47F5C"/>
    <w:rsid w:val="00E50252"/>
    <w:rsid w:val="00E50335"/>
    <w:rsid w:val="00E50634"/>
    <w:rsid w:val="00E506AC"/>
    <w:rsid w:val="00E50F2A"/>
    <w:rsid w:val="00E50FA1"/>
    <w:rsid w:val="00E5119C"/>
    <w:rsid w:val="00E51D6F"/>
    <w:rsid w:val="00E51E1E"/>
    <w:rsid w:val="00E52148"/>
    <w:rsid w:val="00E52BA8"/>
    <w:rsid w:val="00E53110"/>
    <w:rsid w:val="00E53299"/>
    <w:rsid w:val="00E53C20"/>
    <w:rsid w:val="00E53E39"/>
    <w:rsid w:val="00E54020"/>
    <w:rsid w:val="00E541C0"/>
    <w:rsid w:val="00E54941"/>
    <w:rsid w:val="00E5498B"/>
    <w:rsid w:val="00E5512E"/>
    <w:rsid w:val="00E55463"/>
    <w:rsid w:val="00E55643"/>
    <w:rsid w:val="00E55650"/>
    <w:rsid w:val="00E558D7"/>
    <w:rsid w:val="00E55EBD"/>
    <w:rsid w:val="00E55FAA"/>
    <w:rsid w:val="00E56038"/>
    <w:rsid w:val="00E56388"/>
    <w:rsid w:val="00E56531"/>
    <w:rsid w:val="00E56A8A"/>
    <w:rsid w:val="00E57667"/>
    <w:rsid w:val="00E57C0B"/>
    <w:rsid w:val="00E603D8"/>
    <w:rsid w:val="00E60716"/>
    <w:rsid w:val="00E60892"/>
    <w:rsid w:val="00E60C50"/>
    <w:rsid w:val="00E612B2"/>
    <w:rsid w:val="00E624A5"/>
    <w:rsid w:val="00E625CA"/>
    <w:rsid w:val="00E626ED"/>
    <w:rsid w:val="00E62884"/>
    <w:rsid w:val="00E63378"/>
    <w:rsid w:val="00E63395"/>
    <w:rsid w:val="00E635A3"/>
    <w:rsid w:val="00E6376E"/>
    <w:rsid w:val="00E63B28"/>
    <w:rsid w:val="00E64020"/>
    <w:rsid w:val="00E641CC"/>
    <w:rsid w:val="00E644DA"/>
    <w:rsid w:val="00E64B69"/>
    <w:rsid w:val="00E64D97"/>
    <w:rsid w:val="00E64E83"/>
    <w:rsid w:val="00E65F25"/>
    <w:rsid w:val="00E661EE"/>
    <w:rsid w:val="00E6754A"/>
    <w:rsid w:val="00E677EF"/>
    <w:rsid w:val="00E67E3A"/>
    <w:rsid w:val="00E701F8"/>
    <w:rsid w:val="00E7066B"/>
    <w:rsid w:val="00E70A3C"/>
    <w:rsid w:val="00E70BE5"/>
    <w:rsid w:val="00E70D48"/>
    <w:rsid w:val="00E73213"/>
    <w:rsid w:val="00E73730"/>
    <w:rsid w:val="00E73C9E"/>
    <w:rsid w:val="00E74864"/>
    <w:rsid w:val="00E74D37"/>
    <w:rsid w:val="00E74E28"/>
    <w:rsid w:val="00E754A6"/>
    <w:rsid w:val="00E75647"/>
    <w:rsid w:val="00E7595E"/>
    <w:rsid w:val="00E75AED"/>
    <w:rsid w:val="00E75CD6"/>
    <w:rsid w:val="00E76191"/>
    <w:rsid w:val="00E77389"/>
    <w:rsid w:val="00E77602"/>
    <w:rsid w:val="00E77A4A"/>
    <w:rsid w:val="00E77B3A"/>
    <w:rsid w:val="00E77B63"/>
    <w:rsid w:val="00E80382"/>
    <w:rsid w:val="00E8041C"/>
    <w:rsid w:val="00E80507"/>
    <w:rsid w:val="00E82047"/>
    <w:rsid w:val="00E821F5"/>
    <w:rsid w:val="00E82C7E"/>
    <w:rsid w:val="00E82D30"/>
    <w:rsid w:val="00E83343"/>
    <w:rsid w:val="00E83B41"/>
    <w:rsid w:val="00E84093"/>
    <w:rsid w:val="00E841A6"/>
    <w:rsid w:val="00E842D7"/>
    <w:rsid w:val="00E84D70"/>
    <w:rsid w:val="00E84FB7"/>
    <w:rsid w:val="00E85ED5"/>
    <w:rsid w:val="00E85FC9"/>
    <w:rsid w:val="00E86017"/>
    <w:rsid w:val="00E861E6"/>
    <w:rsid w:val="00E86DED"/>
    <w:rsid w:val="00E87513"/>
    <w:rsid w:val="00E87937"/>
    <w:rsid w:val="00E906EF"/>
    <w:rsid w:val="00E90947"/>
    <w:rsid w:val="00E90B35"/>
    <w:rsid w:val="00E90E7A"/>
    <w:rsid w:val="00E91135"/>
    <w:rsid w:val="00E911EC"/>
    <w:rsid w:val="00E913B9"/>
    <w:rsid w:val="00E91498"/>
    <w:rsid w:val="00E916B1"/>
    <w:rsid w:val="00E91ADE"/>
    <w:rsid w:val="00E92725"/>
    <w:rsid w:val="00E9362C"/>
    <w:rsid w:val="00E937BF"/>
    <w:rsid w:val="00E9394E"/>
    <w:rsid w:val="00E93E37"/>
    <w:rsid w:val="00E94512"/>
    <w:rsid w:val="00E94BFE"/>
    <w:rsid w:val="00E9554F"/>
    <w:rsid w:val="00E955B1"/>
    <w:rsid w:val="00E958E9"/>
    <w:rsid w:val="00E959E2"/>
    <w:rsid w:val="00E9603A"/>
    <w:rsid w:val="00E960AD"/>
    <w:rsid w:val="00E9616B"/>
    <w:rsid w:val="00E962F7"/>
    <w:rsid w:val="00E967A0"/>
    <w:rsid w:val="00E96B0B"/>
    <w:rsid w:val="00E96E0C"/>
    <w:rsid w:val="00E97AD0"/>
    <w:rsid w:val="00E97C46"/>
    <w:rsid w:val="00E97FE1"/>
    <w:rsid w:val="00EA0179"/>
    <w:rsid w:val="00EA0F95"/>
    <w:rsid w:val="00EA1166"/>
    <w:rsid w:val="00EA1341"/>
    <w:rsid w:val="00EA139B"/>
    <w:rsid w:val="00EA1BFD"/>
    <w:rsid w:val="00EA1CB1"/>
    <w:rsid w:val="00EA23BB"/>
    <w:rsid w:val="00EA2498"/>
    <w:rsid w:val="00EA24F2"/>
    <w:rsid w:val="00EA2E09"/>
    <w:rsid w:val="00EA40AC"/>
    <w:rsid w:val="00EA41CB"/>
    <w:rsid w:val="00EA41D5"/>
    <w:rsid w:val="00EA42F2"/>
    <w:rsid w:val="00EA4D12"/>
    <w:rsid w:val="00EA4EF3"/>
    <w:rsid w:val="00EA500E"/>
    <w:rsid w:val="00EA5F17"/>
    <w:rsid w:val="00EA601B"/>
    <w:rsid w:val="00EA63C0"/>
    <w:rsid w:val="00EA653E"/>
    <w:rsid w:val="00EA7619"/>
    <w:rsid w:val="00EB1523"/>
    <w:rsid w:val="00EB20EF"/>
    <w:rsid w:val="00EB2883"/>
    <w:rsid w:val="00EB298F"/>
    <w:rsid w:val="00EB3362"/>
    <w:rsid w:val="00EB37AB"/>
    <w:rsid w:val="00EB3B4E"/>
    <w:rsid w:val="00EB3BC7"/>
    <w:rsid w:val="00EB400D"/>
    <w:rsid w:val="00EB48AE"/>
    <w:rsid w:val="00EB494D"/>
    <w:rsid w:val="00EB4FC9"/>
    <w:rsid w:val="00EB4FDB"/>
    <w:rsid w:val="00EB575B"/>
    <w:rsid w:val="00EB5797"/>
    <w:rsid w:val="00EB5C64"/>
    <w:rsid w:val="00EB5E37"/>
    <w:rsid w:val="00EB6332"/>
    <w:rsid w:val="00EB63AF"/>
    <w:rsid w:val="00EB6418"/>
    <w:rsid w:val="00EB7290"/>
    <w:rsid w:val="00EB7A1E"/>
    <w:rsid w:val="00EC057F"/>
    <w:rsid w:val="00EC07E8"/>
    <w:rsid w:val="00EC1283"/>
    <w:rsid w:val="00EC12A7"/>
    <w:rsid w:val="00EC163C"/>
    <w:rsid w:val="00EC17CD"/>
    <w:rsid w:val="00EC2ADF"/>
    <w:rsid w:val="00EC3FD2"/>
    <w:rsid w:val="00EC45E4"/>
    <w:rsid w:val="00EC4A13"/>
    <w:rsid w:val="00EC4B3D"/>
    <w:rsid w:val="00EC5C54"/>
    <w:rsid w:val="00EC5CF4"/>
    <w:rsid w:val="00EC5E21"/>
    <w:rsid w:val="00EC6ABB"/>
    <w:rsid w:val="00EC6E7A"/>
    <w:rsid w:val="00EC70AF"/>
    <w:rsid w:val="00EC7230"/>
    <w:rsid w:val="00EC7A83"/>
    <w:rsid w:val="00ED0311"/>
    <w:rsid w:val="00ED059C"/>
    <w:rsid w:val="00ED06C1"/>
    <w:rsid w:val="00ED13A2"/>
    <w:rsid w:val="00ED1514"/>
    <w:rsid w:val="00ED195A"/>
    <w:rsid w:val="00ED1E41"/>
    <w:rsid w:val="00ED29E6"/>
    <w:rsid w:val="00ED365B"/>
    <w:rsid w:val="00ED3AE2"/>
    <w:rsid w:val="00ED3D9B"/>
    <w:rsid w:val="00ED3FBA"/>
    <w:rsid w:val="00ED4744"/>
    <w:rsid w:val="00ED479E"/>
    <w:rsid w:val="00ED53F1"/>
    <w:rsid w:val="00ED5C17"/>
    <w:rsid w:val="00ED5FE3"/>
    <w:rsid w:val="00ED62DF"/>
    <w:rsid w:val="00ED62F8"/>
    <w:rsid w:val="00ED702E"/>
    <w:rsid w:val="00ED72B0"/>
    <w:rsid w:val="00ED7378"/>
    <w:rsid w:val="00ED79BD"/>
    <w:rsid w:val="00EE0207"/>
    <w:rsid w:val="00EE0357"/>
    <w:rsid w:val="00EE0620"/>
    <w:rsid w:val="00EE071C"/>
    <w:rsid w:val="00EE0F29"/>
    <w:rsid w:val="00EE10B7"/>
    <w:rsid w:val="00EE1A1F"/>
    <w:rsid w:val="00EE2450"/>
    <w:rsid w:val="00EE2690"/>
    <w:rsid w:val="00EE2CAC"/>
    <w:rsid w:val="00EE311A"/>
    <w:rsid w:val="00EE32FA"/>
    <w:rsid w:val="00EE3AB4"/>
    <w:rsid w:val="00EE4125"/>
    <w:rsid w:val="00EE44F1"/>
    <w:rsid w:val="00EE4A6A"/>
    <w:rsid w:val="00EE527F"/>
    <w:rsid w:val="00EE563B"/>
    <w:rsid w:val="00EE5999"/>
    <w:rsid w:val="00EE64B1"/>
    <w:rsid w:val="00EE65C7"/>
    <w:rsid w:val="00EE6842"/>
    <w:rsid w:val="00EE749D"/>
    <w:rsid w:val="00EE7A47"/>
    <w:rsid w:val="00EE7C48"/>
    <w:rsid w:val="00EE7E3E"/>
    <w:rsid w:val="00EE7EA5"/>
    <w:rsid w:val="00EF02D9"/>
    <w:rsid w:val="00EF06B5"/>
    <w:rsid w:val="00EF07E1"/>
    <w:rsid w:val="00EF0803"/>
    <w:rsid w:val="00EF0907"/>
    <w:rsid w:val="00EF130E"/>
    <w:rsid w:val="00EF14E9"/>
    <w:rsid w:val="00EF162C"/>
    <w:rsid w:val="00EF1837"/>
    <w:rsid w:val="00EF190B"/>
    <w:rsid w:val="00EF1AD1"/>
    <w:rsid w:val="00EF23AE"/>
    <w:rsid w:val="00EF302F"/>
    <w:rsid w:val="00EF3BBF"/>
    <w:rsid w:val="00EF3DB9"/>
    <w:rsid w:val="00EF3F18"/>
    <w:rsid w:val="00EF4D30"/>
    <w:rsid w:val="00EF4E77"/>
    <w:rsid w:val="00EF56B1"/>
    <w:rsid w:val="00EF5A3F"/>
    <w:rsid w:val="00EF6092"/>
    <w:rsid w:val="00EF6725"/>
    <w:rsid w:val="00EF688D"/>
    <w:rsid w:val="00EF694C"/>
    <w:rsid w:val="00EF6C44"/>
    <w:rsid w:val="00EF6DC8"/>
    <w:rsid w:val="00EF7120"/>
    <w:rsid w:val="00EF77B1"/>
    <w:rsid w:val="00EF78EC"/>
    <w:rsid w:val="00F00162"/>
    <w:rsid w:val="00F002DA"/>
    <w:rsid w:val="00F00904"/>
    <w:rsid w:val="00F00FDA"/>
    <w:rsid w:val="00F0131C"/>
    <w:rsid w:val="00F01CD3"/>
    <w:rsid w:val="00F01F60"/>
    <w:rsid w:val="00F021D9"/>
    <w:rsid w:val="00F024DD"/>
    <w:rsid w:val="00F026BE"/>
    <w:rsid w:val="00F0315E"/>
    <w:rsid w:val="00F0319A"/>
    <w:rsid w:val="00F03480"/>
    <w:rsid w:val="00F034E5"/>
    <w:rsid w:val="00F0350C"/>
    <w:rsid w:val="00F037AE"/>
    <w:rsid w:val="00F03AB7"/>
    <w:rsid w:val="00F04069"/>
    <w:rsid w:val="00F04A4C"/>
    <w:rsid w:val="00F04B08"/>
    <w:rsid w:val="00F04F4A"/>
    <w:rsid w:val="00F04FB2"/>
    <w:rsid w:val="00F0559F"/>
    <w:rsid w:val="00F055D1"/>
    <w:rsid w:val="00F05842"/>
    <w:rsid w:val="00F059FA"/>
    <w:rsid w:val="00F06CE3"/>
    <w:rsid w:val="00F06F14"/>
    <w:rsid w:val="00F0707F"/>
    <w:rsid w:val="00F07727"/>
    <w:rsid w:val="00F07963"/>
    <w:rsid w:val="00F10065"/>
    <w:rsid w:val="00F10BDF"/>
    <w:rsid w:val="00F1181F"/>
    <w:rsid w:val="00F12BD5"/>
    <w:rsid w:val="00F135F1"/>
    <w:rsid w:val="00F13931"/>
    <w:rsid w:val="00F13F29"/>
    <w:rsid w:val="00F13F53"/>
    <w:rsid w:val="00F144E1"/>
    <w:rsid w:val="00F1509A"/>
    <w:rsid w:val="00F161C2"/>
    <w:rsid w:val="00F16544"/>
    <w:rsid w:val="00F1666E"/>
    <w:rsid w:val="00F167B3"/>
    <w:rsid w:val="00F16F58"/>
    <w:rsid w:val="00F17E0E"/>
    <w:rsid w:val="00F17ED1"/>
    <w:rsid w:val="00F20346"/>
    <w:rsid w:val="00F20D9A"/>
    <w:rsid w:val="00F2139E"/>
    <w:rsid w:val="00F21896"/>
    <w:rsid w:val="00F21AED"/>
    <w:rsid w:val="00F2251F"/>
    <w:rsid w:val="00F22624"/>
    <w:rsid w:val="00F2262A"/>
    <w:rsid w:val="00F22DD0"/>
    <w:rsid w:val="00F23196"/>
    <w:rsid w:val="00F2342B"/>
    <w:rsid w:val="00F23638"/>
    <w:rsid w:val="00F23EE3"/>
    <w:rsid w:val="00F24309"/>
    <w:rsid w:val="00F24908"/>
    <w:rsid w:val="00F26885"/>
    <w:rsid w:val="00F26D52"/>
    <w:rsid w:val="00F26FAF"/>
    <w:rsid w:val="00F271A0"/>
    <w:rsid w:val="00F3010B"/>
    <w:rsid w:val="00F3041A"/>
    <w:rsid w:val="00F3094E"/>
    <w:rsid w:val="00F30A75"/>
    <w:rsid w:val="00F3113E"/>
    <w:rsid w:val="00F31151"/>
    <w:rsid w:val="00F3158E"/>
    <w:rsid w:val="00F31C36"/>
    <w:rsid w:val="00F3221E"/>
    <w:rsid w:val="00F32B81"/>
    <w:rsid w:val="00F32E31"/>
    <w:rsid w:val="00F331A6"/>
    <w:rsid w:val="00F334C2"/>
    <w:rsid w:val="00F33E43"/>
    <w:rsid w:val="00F33E44"/>
    <w:rsid w:val="00F34C67"/>
    <w:rsid w:val="00F3506C"/>
    <w:rsid w:val="00F35336"/>
    <w:rsid w:val="00F355E5"/>
    <w:rsid w:val="00F365F1"/>
    <w:rsid w:val="00F3683A"/>
    <w:rsid w:val="00F36B15"/>
    <w:rsid w:val="00F36C12"/>
    <w:rsid w:val="00F36D14"/>
    <w:rsid w:val="00F36D2F"/>
    <w:rsid w:val="00F37AC7"/>
    <w:rsid w:val="00F37C1C"/>
    <w:rsid w:val="00F4009B"/>
    <w:rsid w:val="00F405A3"/>
    <w:rsid w:val="00F40739"/>
    <w:rsid w:val="00F41177"/>
    <w:rsid w:val="00F41721"/>
    <w:rsid w:val="00F41879"/>
    <w:rsid w:val="00F419A6"/>
    <w:rsid w:val="00F419C1"/>
    <w:rsid w:val="00F41BAE"/>
    <w:rsid w:val="00F41E2E"/>
    <w:rsid w:val="00F42093"/>
    <w:rsid w:val="00F423DF"/>
    <w:rsid w:val="00F4287D"/>
    <w:rsid w:val="00F42F1B"/>
    <w:rsid w:val="00F439A7"/>
    <w:rsid w:val="00F4415E"/>
    <w:rsid w:val="00F4429F"/>
    <w:rsid w:val="00F44760"/>
    <w:rsid w:val="00F448C0"/>
    <w:rsid w:val="00F44DB3"/>
    <w:rsid w:val="00F4569C"/>
    <w:rsid w:val="00F45E79"/>
    <w:rsid w:val="00F46C0C"/>
    <w:rsid w:val="00F4748F"/>
    <w:rsid w:val="00F476B6"/>
    <w:rsid w:val="00F47F25"/>
    <w:rsid w:val="00F47FCD"/>
    <w:rsid w:val="00F50219"/>
    <w:rsid w:val="00F507E4"/>
    <w:rsid w:val="00F50F84"/>
    <w:rsid w:val="00F5104F"/>
    <w:rsid w:val="00F512BB"/>
    <w:rsid w:val="00F51663"/>
    <w:rsid w:val="00F51695"/>
    <w:rsid w:val="00F519D0"/>
    <w:rsid w:val="00F524EF"/>
    <w:rsid w:val="00F52A8B"/>
    <w:rsid w:val="00F52B68"/>
    <w:rsid w:val="00F52F34"/>
    <w:rsid w:val="00F533A6"/>
    <w:rsid w:val="00F53483"/>
    <w:rsid w:val="00F5378C"/>
    <w:rsid w:val="00F537FA"/>
    <w:rsid w:val="00F54414"/>
    <w:rsid w:val="00F54525"/>
    <w:rsid w:val="00F548E9"/>
    <w:rsid w:val="00F54E2E"/>
    <w:rsid w:val="00F54ED6"/>
    <w:rsid w:val="00F553F9"/>
    <w:rsid w:val="00F55949"/>
    <w:rsid w:val="00F55C86"/>
    <w:rsid w:val="00F567F1"/>
    <w:rsid w:val="00F56BD6"/>
    <w:rsid w:val="00F56BDB"/>
    <w:rsid w:val="00F574B3"/>
    <w:rsid w:val="00F57DE0"/>
    <w:rsid w:val="00F62375"/>
    <w:rsid w:val="00F6246D"/>
    <w:rsid w:val="00F62D16"/>
    <w:rsid w:val="00F633AE"/>
    <w:rsid w:val="00F633B3"/>
    <w:rsid w:val="00F635D3"/>
    <w:rsid w:val="00F63D28"/>
    <w:rsid w:val="00F6442D"/>
    <w:rsid w:val="00F644A8"/>
    <w:rsid w:val="00F64522"/>
    <w:rsid w:val="00F64607"/>
    <w:rsid w:val="00F64670"/>
    <w:rsid w:val="00F652B3"/>
    <w:rsid w:val="00F656E1"/>
    <w:rsid w:val="00F66045"/>
    <w:rsid w:val="00F6613A"/>
    <w:rsid w:val="00F66297"/>
    <w:rsid w:val="00F66780"/>
    <w:rsid w:val="00F669F1"/>
    <w:rsid w:val="00F6703F"/>
    <w:rsid w:val="00F6745D"/>
    <w:rsid w:val="00F67643"/>
    <w:rsid w:val="00F7005D"/>
    <w:rsid w:val="00F70167"/>
    <w:rsid w:val="00F713A4"/>
    <w:rsid w:val="00F71A5C"/>
    <w:rsid w:val="00F71D85"/>
    <w:rsid w:val="00F724A2"/>
    <w:rsid w:val="00F72E98"/>
    <w:rsid w:val="00F7333C"/>
    <w:rsid w:val="00F733DB"/>
    <w:rsid w:val="00F7392D"/>
    <w:rsid w:val="00F73ABB"/>
    <w:rsid w:val="00F73B5E"/>
    <w:rsid w:val="00F73C72"/>
    <w:rsid w:val="00F7410D"/>
    <w:rsid w:val="00F74205"/>
    <w:rsid w:val="00F74959"/>
    <w:rsid w:val="00F75ACE"/>
    <w:rsid w:val="00F7638E"/>
    <w:rsid w:val="00F76658"/>
    <w:rsid w:val="00F76685"/>
    <w:rsid w:val="00F767B2"/>
    <w:rsid w:val="00F76A8F"/>
    <w:rsid w:val="00F76DE7"/>
    <w:rsid w:val="00F773A4"/>
    <w:rsid w:val="00F7768C"/>
    <w:rsid w:val="00F777E9"/>
    <w:rsid w:val="00F77C38"/>
    <w:rsid w:val="00F77D9A"/>
    <w:rsid w:val="00F808BC"/>
    <w:rsid w:val="00F81662"/>
    <w:rsid w:val="00F816A0"/>
    <w:rsid w:val="00F81899"/>
    <w:rsid w:val="00F81931"/>
    <w:rsid w:val="00F819BB"/>
    <w:rsid w:val="00F81B92"/>
    <w:rsid w:val="00F81E8D"/>
    <w:rsid w:val="00F81FD4"/>
    <w:rsid w:val="00F82354"/>
    <w:rsid w:val="00F82798"/>
    <w:rsid w:val="00F83260"/>
    <w:rsid w:val="00F83548"/>
    <w:rsid w:val="00F8476C"/>
    <w:rsid w:val="00F848F2"/>
    <w:rsid w:val="00F84C96"/>
    <w:rsid w:val="00F85093"/>
    <w:rsid w:val="00F85268"/>
    <w:rsid w:val="00F85571"/>
    <w:rsid w:val="00F85D81"/>
    <w:rsid w:val="00F8617F"/>
    <w:rsid w:val="00F86207"/>
    <w:rsid w:val="00F8687B"/>
    <w:rsid w:val="00F86BB0"/>
    <w:rsid w:val="00F873D0"/>
    <w:rsid w:val="00F87419"/>
    <w:rsid w:val="00F8744F"/>
    <w:rsid w:val="00F87B85"/>
    <w:rsid w:val="00F87BF1"/>
    <w:rsid w:val="00F87F2F"/>
    <w:rsid w:val="00F87F59"/>
    <w:rsid w:val="00F90646"/>
    <w:rsid w:val="00F907B1"/>
    <w:rsid w:val="00F90A64"/>
    <w:rsid w:val="00F9114B"/>
    <w:rsid w:val="00F9155A"/>
    <w:rsid w:val="00F918A1"/>
    <w:rsid w:val="00F91BCC"/>
    <w:rsid w:val="00F91ED5"/>
    <w:rsid w:val="00F924E7"/>
    <w:rsid w:val="00F927D7"/>
    <w:rsid w:val="00F931CD"/>
    <w:rsid w:val="00F94F2A"/>
    <w:rsid w:val="00F956B3"/>
    <w:rsid w:val="00F958DE"/>
    <w:rsid w:val="00F9627B"/>
    <w:rsid w:val="00F964D8"/>
    <w:rsid w:val="00F96BE0"/>
    <w:rsid w:val="00F96CCB"/>
    <w:rsid w:val="00F9727D"/>
    <w:rsid w:val="00F97370"/>
    <w:rsid w:val="00F97385"/>
    <w:rsid w:val="00F9781E"/>
    <w:rsid w:val="00F97DEE"/>
    <w:rsid w:val="00FA016D"/>
    <w:rsid w:val="00FA0B04"/>
    <w:rsid w:val="00FA159F"/>
    <w:rsid w:val="00FA1CB3"/>
    <w:rsid w:val="00FA2489"/>
    <w:rsid w:val="00FA267D"/>
    <w:rsid w:val="00FA27CF"/>
    <w:rsid w:val="00FA2C08"/>
    <w:rsid w:val="00FA309A"/>
    <w:rsid w:val="00FA3BBD"/>
    <w:rsid w:val="00FA48ED"/>
    <w:rsid w:val="00FA4DED"/>
    <w:rsid w:val="00FA5C3D"/>
    <w:rsid w:val="00FA5D6D"/>
    <w:rsid w:val="00FA5EE5"/>
    <w:rsid w:val="00FA61D6"/>
    <w:rsid w:val="00FA6CB0"/>
    <w:rsid w:val="00FA6D85"/>
    <w:rsid w:val="00FA6F6D"/>
    <w:rsid w:val="00FA77C8"/>
    <w:rsid w:val="00FA7A8B"/>
    <w:rsid w:val="00FA7DD0"/>
    <w:rsid w:val="00FA7E45"/>
    <w:rsid w:val="00FA7F47"/>
    <w:rsid w:val="00FB0314"/>
    <w:rsid w:val="00FB08D4"/>
    <w:rsid w:val="00FB0A0F"/>
    <w:rsid w:val="00FB0CEB"/>
    <w:rsid w:val="00FB0DE9"/>
    <w:rsid w:val="00FB22A8"/>
    <w:rsid w:val="00FB2490"/>
    <w:rsid w:val="00FB2528"/>
    <w:rsid w:val="00FB25AD"/>
    <w:rsid w:val="00FB25AE"/>
    <w:rsid w:val="00FB31B1"/>
    <w:rsid w:val="00FB3573"/>
    <w:rsid w:val="00FB403F"/>
    <w:rsid w:val="00FB4DC3"/>
    <w:rsid w:val="00FB52CC"/>
    <w:rsid w:val="00FB54D8"/>
    <w:rsid w:val="00FB60E3"/>
    <w:rsid w:val="00FB61C6"/>
    <w:rsid w:val="00FB631D"/>
    <w:rsid w:val="00FB672C"/>
    <w:rsid w:val="00FB6B5E"/>
    <w:rsid w:val="00FB6BFD"/>
    <w:rsid w:val="00FB7090"/>
    <w:rsid w:val="00FB76C1"/>
    <w:rsid w:val="00FB7855"/>
    <w:rsid w:val="00FB7A2B"/>
    <w:rsid w:val="00FB7C18"/>
    <w:rsid w:val="00FC0760"/>
    <w:rsid w:val="00FC0EA2"/>
    <w:rsid w:val="00FC13AF"/>
    <w:rsid w:val="00FC15BA"/>
    <w:rsid w:val="00FC17B0"/>
    <w:rsid w:val="00FC1CBB"/>
    <w:rsid w:val="00FC26B7"/>
    <w:rsid w:val="00FC2750"/>
    <w:rsid w:val="00FC294B"/>
    <w:rsid w:val="00FC38FC"/>
    <w:rsid w:val="00FC3A4A"/>
    <w:rsid w:val="00FC452B"/>
    <w:rsid w:val="00FC4C83"/>
    <w:rsid w:val="00FC4CD3"/>
    <w:rsid w:val="00FC577C"/>
    <w:rsid w:val="00FC584A"/>
    <w:rsid w:val="00FC5AEF"/>
    <w:rsid w:val="00FC5CC4"/>
    <w:rsid w:val="00FC6010"/>
    <w:rsid w:val="00FC6115"/>
    <w:rsid w:val="00FC6681"/>
    <w:rsid w:val="00FC68E6"/>
    <w:rsid w:val="00FC6AE5"/>
    <w:rsid w:val="00FC6F36"/>
    <w:rsid w:val="00FC739D"/>
    <w:rsid w:val="00FC77D2"/>
    <w:rsid w:val="00FD0440"/>
    <w:rsid w:val="00FD049B"/>
    <w:rsid w:val="00FD0576"/>
    <w:rsid w:val="00FD0654"/>
    <w:rsid w:val="00FD0A39"/>
    <w:rsid w:val="00FD0EEC"/>
    <w:rsid w:val="00FD1183"/>
    <w:rsid w:val="00FD2A68"/>
    <w:rsid w:val="00FD3993"/>
    <w:rsid w:val="00FD3A68"/>
    <w:rsid w:val="00FD3C32"/>
    <w:rsid w:val="00FD4213"/>
    <w:rsid w:val="00FD4867"/>
    <w:rsid w:val="00FD4A8C"/>
    <w:rsid w:val="00FD4E97"/>
    <w:rsid w:val="00FD561A"/>
    <w:rsid w:val="00FD5780"/>
    <w:rsid w:val="00FD5B28"/>
    <w:rsid w:val="00FD6463"/>
    <w:rsid w:val="00FD688B"/>
    <w:rsid w:val="00FD6CC7"/>
    <w:rsid w:val="00FD76CF"/>
    <w:rsid w:val="00FD7A8E"/>
    <w:rsid w:val="00FD7D59"/>
    <w:rsid w:val="00FE044A"/>
    <w:rsid w:val="00FE09CA"/>
    <w:rsid w:val="00FE09F9"/>
    <w:rsid w:val="00FE0A79"/>
    <w:rsid w:val="00FE0CF6"/>
    <w:rsid w:val="00FE10D7"/>
    <w:rsid w:val="00FE1FCF"/>
    <w:rsid w:val="00FE2322"/>
    <w:rsid w:val="00FE32B4"/>
    <w:rsid w:val="00FE378B"/>
    <w:rsid w:val="00FE40DA"/>
    <w:rsid w:val="00FE41BB"/>
    <w:rsid w:val="00FE4650"/>
    <w:rsid w:val="00FE5769"/>
    <w:rsid w:val="00FE57C6"/>
    <w:rsid w:val="00FE5BB9"/>
    <w:rsid w:val="00FE66FE"/>
    <w:rsid w:val="00FE6EAD"/>
    <w:rsid w:val="00FE7676"/>
    <w:rsid w:val="00FF009C"/>
    <w:rsid w:val="00FF0758"/>
    <w:rsid w:val="00FF0D06"/>
    <w:rsid w:val="00FF0F58"/>
    <w:rsid w:val="00FF136B"/>
    <w:rsid w:val="00FF1865"/>
    <w:rsid w:val="00FF1946"/>
    <w:rsid w:val="00FF2234"/>
    <w:rsid w:val="00FF2917"/>
    <w:rsid w:val="00FF2A37"/>
    <w:rsid w:val="00FF2D6D"/>
    <w:rsid w:val="00FF2F0E"/>
    <w:rsid w:val="00FF2F6F"/>
    <w:rsid w:val="00FF3022"/>
    <w:rsid w:val="00FF3867"/>
    <w:rsid w:val="00FF3F5E"/>
    <w:rsid w:val="00FF417C"/>
    <w:rsid w:val="00FF4511"/>
    <w:rsid w:val="00FF4BA2"/>
    <w:rsid w:val="00FF4CA8"/>
    <w:rsid w:val="00FF56CE"/>
    <w:rsid w:val="00FF578F"/>
    <w:rsid w:val="00FF661F"/>
    <w:rsid w:val="00FF68AB"/>
    <w:rsid w:val="00FF6979"/>
    <w:rsid w:val="00FF6B55"/>
    <w:rsid w:val="00FF6B6D"/>
    <w:rsid w:val="00FF782D"/>
    <w:rsid w:val="00FF79DE"/>
    <w:rsid w:val="00FF7AFE"/>
    <w:rsid w:val="00FF7DDF"/>
    <w:rsid w:val="0318FCC4"/>
    <w:rsid w:val="04AA9B63"/>
    <w:rsid w:val="07629796"/>
    <w:rsid w:val="0763F36B"/>
    <w:rsid w:val="08128573"/>
    <w:rsid w:val="0C54E1D7"/>
    <w:rsid w:val="0EEFD7B1"/>
    <w:rsid w:val="0F784BA5"/>
    <w:rsid w:val="15A289D3"/>
    <w:rsid w:val="1804AD18"/>
    <w:rsid w:val="18B46B2F"/>
    <w:rsid w:val="1F3D7067"/>
    <w:rsid w:val="24CC0276"/>
    <w:rsid w:val="2629872A"/>
    <w:rsid w:val="293C3A44"/>
    <w:rsid w:val="2A7BD630"/>
    <w:rsid w:val="2B7F587E"/>
    <w:rsid w:val="2CD00E46"/>
    <w:rsid w:val="2FBE1ADD"/>
    <w:rsid w:val="3DD87D53"/>
    <w:rsid w:val="3EC0F3E9"/>
    <w:rsid w:val="3F4FB650"/>
    <w:rsid w:val="46840A43"/>
    <w:rsid w:val="4684673D"/>
    <w:rsid w:val="48B466A4"/>
    <w:rsid w:val="4BF672D9"/>
    <w:rsid w:val="4C2ED621"/>
    <w:rsid w:val="52A39499"/>
    <w:rsid w:val="54464B33"/>
    <w:rsid w:val="5A7DFBEB"/>
    <w:rsid w:val="5BCC83B6"/>
    <w:rsid w:val="61E9618F"/>
    <w:rsid w:val="6375E68C"/>
    <w:rsid w:val="6A6F9740"/>
    <w:rsid w:val="6F98E05C"/>
    <w:rsid w:val="6FD570F8"/>
    <w:rsid w:val="7D2256E2"/>
    <w:rsid w:val="7D481D26"/>
  </w:rsids>
  <m:mathPr>
    <m:mathFont m:val="Cambria Math"/>
    <m:brkBin m:val="before"/>
    <m:brkBinSub m:val="--"/>
    <m:smallFrac/>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E6DDD"/>
  <w15:docId w15:val="{6329DDA5-8774-462B-8C5D-2489F2DA9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Calibri" w:hAnsi="Roboto" w:cs="Arial"/>
        <w:sz w:val="22"/>
        <w:szCs w:val="22"/>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30E"/>
    <w:pPr>
      <w:spacing w:after="120" w:line="276" w:lineRule="auto"/>
      <w:jc w:val="both"/>
    </w:pPr>
    <w:rPr>
      <w:rFonts w:cs="Roboto"/>
    </w:rPr>
  </w:style>
  <w:style w:type="paragraph" w:styleId="Naslov1">
    <w:name w:val="heading 1"/>
    <w:basedOn w:val="Normal"/>
    <w:next w:val="Normal"/>
    <w:link w:val="Naslov1Char"/>
    <w:autoRedefine/>
    <w:qFormat/>
    <w:rsid w:val="007B4CE1"/>
    <w:pPr>
      <w:keepNext/>
      <w:numPr>
        <w:numId w:val="1"/>
      </w:numPr>
      <w:tabs>
        <w:tab w:val="left" w:pos="426"/>
      </w:tabs>
      <w:spacing w:before="600" w:after="480"/>
      <w:jc w:val="left"/>
      <w:outlineLvl w:val="0"/>
    </w:pPr>
    <w:rPr>
      <w:b/>
      <w:bCs/>
      <w:kern w:val="32"/>
      <w:sz w:val="28"/>
      <w:szCs w:val="28"/>
    </w:rPr>
  </w:style>
  <w:style w:type="paragraph" w:styleId="Naslov2">
    <w:name w:val="heading 2"/>
    <w:basedOn w:val="Normal"/>
    <w:next w:val="Normal"/>
    <w:link w:val="Naslov2Char"/>
    <w:autoRedefine/>
    <w:uiPriority w:val="9"/>
    <w:unhideWhenUsed/>
    <w:qFormat/>
    <w:rsid w:val="00811052"/>
    <w:pPr>
      <w:keepNext/>
      <w:numPr>
        <w:ilvl w:val="1"/>
        <w:numId w:val="1"/>
      </w:numPr>
      <w:spacing w:before="480" w:after="360"/>
      <w:jc w:val="left"/>
      <w:outlineLvl w:val="1"/>
    </w:pPr>
    <w:rPr>
      <w:b/>
      <w:bCs/>
      <w:iCs/>
      <w:sz w:val="24"/>
      <w:szCs w:val="24"/>
    </w:rPr>
  </w:style>
  <w:style w:type="paragraph" w:styleId="Naslov3">
    <w:name w:val="heading 3"/>
    <w:basedOn w:val="Normal"/>
    <w:next w:val="Normal"/>
    <w:link w:val="Naslov3Char"/>
    <w:uiPriority w:val="9"/>
    <w:unhideWhenUsed/>
    <w:qFormat/>
    <w:rsid w:val="00E677EF"/>
    <w:pPr>
      <w:numPr>
        <w:ilvl w:val="2"/>
        <w:numId w:val="1"/>
      </w:numPr>
      <w:spacing w:before="360" w:after="240"/>
      <w:outlineLvl w:val="2"/>
    </w:pPr>
    <w:rPr>
      <w:b/>
      <w:bCs/>
      <w:sz w:val="23"/>
      <w:szCs w:val="23"/>
    </w:rPr>
  </w:style>
  <w:style w:type="paragraph" w:styleId="Naslov4">
    <w:name w:val="heading 4"/>
    <w:basedOn w:val="Naslov3"/>
    <w:next w:val="Normal"/>
    <w:link w:val="Naslov4Char"/>
    <w:uiPriority w:val="9"/>
    <w:unhideWhenUsed/>
    <w:qFormat/>
    <w:rsid w:val="00CC6BC1"/>
    <w:pPr>
      <w:numPr>
        <w:ilvl w:val="3"/>
      </w:numPr>
      <w:spacing w:before="240" w:after="120"/>
      <w:ind w:left="1713" w:hanging="862"/>
      <w:outlineLvl w:val="3"/>
    </w:pPr>
    <w:rPr>
      <w:bCs w:val="0"/>
      <w:szCs w:val="28"/>
    </w:rPr>
  </w:style>
  <w:style w:type="paragraph" w:styleId="Naslov5">
    <w:name w:val="heading 5"/>
    <w:basedOn w:val="Normal"/>
    <w:next w:val="Normal"/>
    <w:link w:val="Naslov5Char"/>
    <w:uiPriority w:val="9"/>
    <w:unhideWhenUsed/>
    <w:qFormat/>
    <w:rsid w:val="005D3181"/>
    <w:pPr>
      <w:numPr>
        <w:ilvl w:val="4"/>
        <w:numId w:val="1"/>
      </w:numPr>
      <w:spacing w:before="240" w:after="60"/>
      <w:outlineLvl w:val="4"/>
    </w:pPr>
    <w:rPr>
      <w:rFonts w:ascii="Calibri" w:hAnsi="Calibri"/>
      <w:b/>
      <w:bCs/>
      <w:i/>
      <w:iCs/>
      <w:sz w:val="26"/>
      <w:szCs w:val="26"/>
    </w:rPr>
  </w:style>
  <w:style w:type="paragraph" w:styleId="Naslov6">
    <w:name w:val="heading 6"/>
    <w:basedOn w:val="Normal"/>
    <w:next w:val="Normal"/>
    <w:link w:val="Naslov6Char"/>
    <w:uiPriority w:val="9"/>
    <w:unhideWhenUsed/>
    <w:qFormat/>
    <w:rsid w:val="007157A5"/>
    <w:pPr>
      <w:spacing w:before="240" w:after="60"/>
      <w:outlineLvl w:val="5"/>
    </w:pPr>
    <w:rPr>
      <w:b/>
      <w:bCs/>
      <w:sz w:val="28"/>
    </w:rPr>
  </w:style>
  <w:style w:type="paragraph" w:styleId="Naslov7">
    <w:name w:val="heading 7"/>
    <w:basedOn w:val="Normal"/>
    <w:next w:val="Normal"/>
    <w:link w:val="Naslov7Char"/>
    <w:uiPriority w:val="9"/>
    <w:semiHidden/>
    <w:unhideWhenUsed/>
    <w:qFormat/>
    <w:rsid w:val="005D3181"/>
    <w:pPr>
      <w:numPr>
        <w:ilvl w:val="6"/>
        <w:numId w:val="1"/>
      </w:numPr>
      <w:spacing w:before="240" w:after="60"/>
      <w:outlineLvl w:val="6"/>
    </w:pPr>
    <w:rPr>
      <w:rFonts w:ascii="Calibri" w:hAnsi="Calibri"/>
    </w:rPr>
  </w:style>
  <w:style w:type="paragraph" w:styleId="Naslov8">
    <w:name w:val="heading 8"/>
    <w:basedOn w:val="Normal"/>
    <w:next w:val="Normal"/>
    <w:link w:val="Naslov8Char"/>
    <w:uiPriority w:val="9"/>
    <w:semiHidden/>
    <w:unhideWhenUsed/>
    <w:qFormat/>
    <w:rsid w:val="005D3181"/>
    <w:pPr>
      <w:numPr>
        <w:ilvl w:val="7"/>
        <w:numId w:val="1"/>
      </w:numPr>
      <w:spacing w:before="240" w:after="60"/>
      <w:outlineLvl w:val="7"/>
    </w:pPr>
    <w:rPr>
      <w:rFonts w:ascii="Calibri" w:hAnsi="Calibri"/>
      <w:i/>
      <w:iCs/>
    </w:rPr>
  </w:style>
  <w:style w:type="paragraph" w:styleId="Naslov9">
    <w:name w:val="heading 9"/>
    <w:basedOn w:val="Normal"/>
    <w:next w:val="Normal"/>
    <w:link w:val="Naslov9Char"/>
    <w:uiPriority w:val="9"/>
    <w:semiHidden/>
    <w:unhideWhenUsed/>
    <w:qFormat/>
    <w:rsid w:val="005D3181"/>
    <w:pPr>
      <w:numPr>
        <w:ilvl w:val="8"/>
        <w:numId w:val="1"/>
      </w:numPr>
      <w:spacing w:before="240" w:after="60"/>
      <w:outlineLvl w:val="8"/>
    </w:pPr>
    <w:rPr>
      <w:rFonts w:ascii="Cambria" w:hAnsi="Cambri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7B4CE1"/>
    <w:rPr>
      <w:rFonts w:cs="Roboto"/>
      <w:b/>
      <w:bCs/>
      <w:kern w:val="32"/>
      <w:sz w:val="28"/>
      <w:szCs w:val="28"/>
    </w:rPr>
  </w:style>
  <w:style w:type="character" w:customStyle="1" w:styleId="Naslov2Char">
    <w:name w:val="Naslov 2 Char"/>
    <w:link w:val="Naslov2"/>
    <w:uiPriority w:val="9"/>
    <w:rsid w:val="00811052"/>
    <w:rPr>
      <w:rFonts w:cs="Roboto"/>
      <w:b/>
      <w:bCs/>
      <w:iCs/>
      <w:sz w:val="24"/>
      <w:szCs w:val="24"/>
    </w:rPr>
  </w:style>
  <w:style w:type="character" w:customStyle="1" w:styleId="Naslov3Char">
    <w:name w:val="Naslov 3 Char"/>
    <w:link w:val="Naslov3"/>
    <w:uiPriority w:val="9"/>
    <w:rsid w:val="00E677EF"/>
    <w:rPr>
      <w:rFonts w:cs="Roboto"/>
      <w:b/>
      <w:bCs/>
      <w:sz w:val="23"/>
      <w:szCs w:val="23"/>
    </w:rPr>
  </w:style>
  <w:style w:type="character" w:customStyle="1" w:styleId="Naslov4Char">
    <w:name w:val="Naslov 4 Char"/>
    <w:link w:val="Naslov4"/>
    <w:uiPriority w:val="9"/>
    <w:rsid w:val="00CC6BC1"/>
    <w:rPr>
      <w:rFonts w:cs="Roboto"/>
      <w:b/>
      <w:sz w:val="23"/>
      <w:szCs w:val="28"/>
    </w:rPr>
  </w:style>
  <w:style w:type="character" w:customStyle="1" w:styleId="Naslov5Char">
    <w:name w:val="Naslov 5 Char"/>
    <w:link w:val="Naslov5"/>
    <w:uiPriority w:val="9"/>
    <w:rsid w:val="005D3181"/>
    <w:rPr>
      <w:rFonts w:ascii="Calibri" w:hAnsi="Calibri" w:cs="Roboto"/>
      <w:b/>
      <w:bCs/>
      <w:i/>
      <w:iCs/>
      <w:sz w:val="26"/>
      <w:szCs w:val="26"/>
    </w:rPr>
  </w:style>
  <w:style w:type="character" w:styleId="Hiperveza">
    <w:name w:val="Hyperlink"/>
    <w:basedOn w:val="Zadanifontodlomka"/>
    <w:uiPriority w:val="99"/>
    <w:unhideWhenUsed/>
    <w:rsid w:val="00AF0CAC"/>
    <w:rPr>
      <w:color w:val="0563C1" w:themeColor="hyperlink"/>
      <w:u w:val="single"/>
    </w:rPr>
  </w:style>
  <w:style w:type="paragraph" w:styleId="Zaglavlje">
    <w:name w:val="header"/>
    <w:basedOn w:val="Normal"/>
    <w:link w:val="ZaglavljeChar"/>
    <w:uiPriority w:val="99"/>
    <w:unhideWhenUsed/>
    <w:rsid w:val="00AF0CAC"/>
    <w:pPr>
      <w:tabs>
        <w:tab w:val="center" w:pos="4513"/>
        <w:tab w:val="right" w:pos="9026"/>
      </w:tabs>
      <w:spacing w:after="0" w:line="240" w:lineRule="auto"/>
    </w:pPr>
  </w:style>
  <w:style w:type="character" w:customStyle="1" w:styleId="Naslov6Char">
    <w:name w:val="Naslov 6 Char"/>
    <w:link w:val="Naslov6"/>
    <w:uiPriority w:val="9"/>
    <w:rsid w:val="007157A5"/>
    <w:rPr>
      <w:rFonts w:ascii="Gill Sans MT" w:eastAsia="Times New Roman" w:hAnsi="Gill Sans MT"/>
      <w:b/>
      <w:bCs/>
      <w:sz w:val="28"/>
      <w:szCs w:val="22"/>
    </w:rPr>
  </w:style>
  <w:style w:type="character" w:customStyle="1" w:styleId="Naslov7Char">
    <w:name w:val="Naslov 7 Char"/>
    <w:link w:val="Naslov7"/>
    <w:uiPriority w:val="9"/>
    <w:semiHidden/>
    <w:rsid w:val="005D3181"/>
    <w:rPr>
      <w:rFonts w:ascii="Calibri" w:hAnsi="Calibri" w:cs="Roboto"/>
    </w:rPr>
  </w:style>
  <w:style w:type="character" w:customStyle="1" w:styleId="Naslov8Char">
    <w:name w:val="Naslov 8 Char"/>
    <w:link w:val="Naslov8"/>
    <w:uiPriority w:val="9"/>
    <w:semiHidden/>
    <w:rsid w:val="005D3181"/>
    <w:rPr>
      <w:rFonts w:ascii="Calibri" w:hAnsi="Calibri" w:cs="Roboto"/>
      <w:i/>
      <w:iCs/>
    </w:rPr>
  </w:style>
  <w:style w:type="character" w:customStyle="1" w:styleId="Naslov9Char">
    <w:name w:val="Naslov 9 Char"/>
    <w:link w:val="Naslov9"/>
    <w:uiPriority w:val="9"/>
    <w:semiHidden/>
    <w:rsid w:val="005D3181"/>
    <w:rPr>
      <w:rFonts w:ascii="Cambria" w:hAnsi="Cambria" w:cs="Roboto"/>
    </w:rPr>
  </w:style>
  <w:style w:type="character" w:customStyle="1" w:styleId="ZaglavljeChar">
    <w:name w:val="Zaglavlje Char"/>
    <w:basedOn w:val="Zadanifontodlomka"/>
    <w:link w:val="Zaglavlje"/>
    <w:uiPriority w:val="99"/>
    <w:rsid w:val="00AF0CAC"/>
    <w:rPr>
      <w:rFonts w:cs="Roboto"/>
    </w:rPr>
  </w:style>
  <w:style w:type="paragraph" w:styleId="Podnoje">
    <w:name w:val="footer"/>
    <w:basedOn w:val="Normal"/>
    <w:link w:val="PodnojeChar"/>
    <w:uiPriority w:val="99"/>
    <w:unhideWhenUsed/>
    <w:rsid w:val="00AF0CAC"/>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AF0CAC"/>
    <w:rPr>
      <w:rFonts w:cs="Roboto"/>
    </w:rPr>
  </w:style>
  <w:style w:type="paragraph" w:customStyle="1" w:styleId="TablicaSlikanaslov">
    <w:name w:val="Tablica / Slika naslov"/>
    <w:basedOn w:val="Normal"/>
    <w:link w:val="TablicaSlikanaslovChar"/>
    <w:qFormat/>
    <w:rsid w:val="00440AFC"/>
    <w:pPr>
      <w:keepNext/>
      <w:widowControl w:val="0"/>
      <w:spacing w:before="240"/>
    </w:pPr>
    <w:rPr>
      <w:rFonts w:cs="Arial"/>
      <w:sz w:val="18"/>
      <w:szCs w:val="18"/>
    </w:rPr>
  </w:style>
  <w:style w:type="character" w:customStyle="1" w:styleId="TablicaSlikanaslovChar">
    <w:name w:val="Tablica / Slika naslov Char"/>
    <w:basedOn w:val="Zadanifontodlomka"/>
    <w:link w:val="TablicaSlikanaslov"/>
    <w:rsid w:val="00440AFC"/>
    <w:rPr>
      <w:sz w:val="18"/>
      <w:szCs w:val="18"/>
    </w:rPr>
  </w:style>
  <w:style w:type="table" w:styleId="Obinatablica1">
    <w:name w:val="Plain Table 1"/>
    <w:basedOn w:val="Obinatablica"/>
    <w:uiPriority w:val="41"/>
    <w:rsid w:val="005E1F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dlomakpopisa">
    <w:name w:val="List Paragraph"/>
    <w:basedOn w:val="Normal"/>
    <w:link w:val="OdlomakpopisaChar"/>
    <w:uiPriority w:val="34"/>
    <w:qFormat/>
    <w:rsid w:val="005D3181"/>
    <w:pPr>
      <w:ind w:left="708"/>
    </w:pPr>
    <w:rPr>
      <w:rFonts w:ascii="Arial Narrow" w:hAnsi="Arial Narrow"/>
    </w:rPr>
  </w:style>
  <w:style w:type="paragraph" w:styleId="Sadraj1">
    <w:name w:val="toc 1"/>
    <w:basedOn w:val="Normal"/>
    <w:next w:val="Normal"/>
    <w:link w:val="Sadraj1Char"/>
    <w:autoRedefine/>
    <w:uiPriority w:val="39"/>
    <w:unhideWhenUsed/>
    <w:qFormat/>
    <w:rsid w:val="00251878"/>
    <w:pPr>
      <w:keepLines/>
      <w:tabs>
        <w:tab w:val="right" w:leader="dot" w:pos="9072"/>
      </w:tabs>
      <w:spacing w:before="120" w:line="240" w:lineRule="auto"/>
      <w:ind w:left="284" w:hanging="284"/>
      <w:jc w:val="left"/>
    </w:pPr>
    <w:rPr>
      <w:b/>
      <w:noProof/>
      <w:sz w:val="20"/>
      <w:szCs w:val="20"/>
    </w:rPr>
  </w:style>
  <w:style w:type="paragraph" w:styleId="Sadraj2">
    <w:name w:val="toc 2"/>
    <w:basedOn w:val="Sadraj1"/>
    <w:next w:val="Normal"/>
    <w:link w:val="Sadraj2Char"/>
    <w:autoRedefine/>
    <w:uiPriority w:val="39"/>
    <w:unhideWhenUsed/>
    <w:qFormat/>
    <w:rsid w:val="003A41D6"/>
    <w:pPr>
      <w:tabs>
        <w:tab w:val="left" w:pos="794"/>
      </w:tabs>
      <w:spacing w:after="0"/>
      <w:ind w:left="709" w:hanging="425"/>
    </w:pPr>
    <w:rPr>
      <w:rFonts w:cs="Arial"/>
      <w:b w:val="0"/>
    </w:rPr>
  </w:style>
  <w:style w:type="paragraph" w:customStyle="1" w:styleId="PODNASLOV">
    <w:name w:val="PODNASLOV"/>
    <w:basedOn w:val="Normal"/>
    <w:rsid w:val="005D3181"/>
    <w:rPr>
      <w:rFonts w:cs="Arial"/>
      <w:b/>
      <w:szCs w:val="20"/>
      <w:lang w:eastAsia="en-US"/>
    </w:rPr>
  </w:style>
  <w:style w:type="paragraph" w:customStyle="1" w:styleId="TekstNaslovnice">
    <w:name w:val="TekstNaslovnice"/>
    <w:basedOn w:val="Normal"/>
    <w:qFormat/>
    <w:rsid w:val="00104DD0"/>
    <w:pPr>
      <w:shd w:val="clear" w:color="auto" w:fill="FFFFFF"/>
      <w:spacing w:after="0" w:line="240" w:lineRule="auto"/>
      <w:jc w:val="center"/>
    </w:pPr>
    <w:rPr>
      <w:rFonts w:cs="Arial"/>
      <w:b/>
      <w:color w:val="404040"/>
      <w:sz w:val="28"/>
      <w:szCs w:val="23"/>
    </w:rPr>
  </w:style>
  <w:style w:type="character" w:customStyle="1" w:styleId="KartadokumentaChar">
    <w:name w:val="Karta dokumenta Char"/>
    <w:link w:val="Kartadokumenta"/>
    <w:semiHidden/>
    <w:rsid w:val="005D3181"/>
    <w:rPr>
      <w:rFonts w:ascii="Tahoma" w:eastAsia="Times New Roman" w:hAnsi="Tahoma" w:cs="Tahoma"/>
      <w:sz w:val="20"/>
      <w:szCs w:val="20"/>
      <w:shd w:val="clear" w:color="auto" w:fill="000080"/>
    </w:rPr>
  </w:style>
  <w:style w:type="paragraph" w:styleId="Kartadokumenta">
    <w:name w:val="Document Map"/>
    <w:basedOn w:val="Normal"/>
    <w:link w:val="KartadokumentaChar"/>
    <w:semiHidden/>
    <w:rsid w:val="005D3181"/>
    <w:pPr>
      <w:shd w:val="clear" w:color="auto" w:fill="000080"/>
    </w:pPr>
    <w:rPr>
      <w:rFonts w:ascii="Tahoma" w:hAnsi="Tahoma"/>
      <w:sz w:val="20"/>
      <w:szCs w:val="20"/>
    </w:rPr>
  </w:style>
  <w:style w:type="table" w:styleId="Svijetlosjenanje-Isticanje4">
    <w:name w:val="Light Shading Accent 4"/>
    <w:basedOn w:val="Obinatablica"/>
    <w:uiPriority w:val="60"/>
    <w:rsid w:val="005D3181"/>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vijetlareetka-Isticanje4">
    <w:name w:val="Light Grid Accent 4"/>
    <w:basedOn w:val="Obinatablica"/>
    <w:uiPriority w:val="62"/>
    <w:rsid w:val="005D318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etkatablice">
    <w:name w:val="Table Grid"/>
    <w:basedOn w:val="Obinatablica"/>
    <w:uiPriority w:val="39"/>
    <w:rsid w:val="000D29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Sadraj2"/>
    <w:next w:val="Normal"/>
    <w:link w:val="Sadraj3Char"/>
    <w:autoRedefine/>
    <w:uiPriority w:val="39"/>
    <w:unhideWhenUsed/>
    <w:qFormat/>
    <w:rsid w:val="001061B0"/>
    <w:pPr>
      <w:tabs>
        <w:tab w:val="left" w:pos="1389"/>
      </w:tabs>
      <w:ind w:left="993" w:hanging="284"/>
    </w:pPr>
  </w:style>
  <w:style w:type="table" w:styleId="Srednjesjenanje2-Isticanje3">
    <w:name w:val="Medium Shading 2 Accent 3"/>
    <w:basedOn w:val="Obinatablica"/>
    <w:uiPriority w:val="64"/>
    <w:rsid w:val="0095022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1-Isticanje6">
    <w:name w:val="Medium Shading 1 Accent 6"/>
    <w:basedOn w:val="Obinatablica"/>
    <w:uiPriority w:val="63"/>
    <w:rsid w:val="0095022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11">
    <w:name w:val="Light List - Accent 11"/>
    <w:basedOn w:val="Obinatablica"/>
    <w:uiPriority w:val="61"/>
    <w:rsid w:val="0095022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Obinatablica"/>
    <w:uiPriority w:val="63"/>
    <w:rsid w:val="00EB152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Obinitekst">
    <w:name w:val="Plain Text"/>
    <w:basedOn w:val="Normal"/>
    <w:link w:val="ObinitekstChar"/>
    <w:uiPriority w:val="99"/>
    <w:semiHidden/>
    <w:unhideWhenUsed/>
    <w:rsid w:val="00EB1523"/>
    <w:rPr>
      <w:rFonts w:ascii="Consolas" w:hAnsi="Consolas"/>
      <w:sz w:val="21"/>
      <w:szCs w:val="21"/>
      <w:lang w:eastAsia="en-US"/>
    </w:rPr>
  </w:style>
  <w:style w:type="character" w:customStyle="1" w:styleId="ObinitekstChar">
    <w:name w:val="Obični tekst Char"/>
    <w:link w:val="Obinitekst"/>
    <w:uiPriority w:val="99"/>
    <w:semiHidden/>
    <w:rsid w:val="00EB1523"/>
    <w:rPr>
      <w:rFonts w:ascii="Consolas" w:eastAsia="Calibri" w:hAnsi="Consolas" w:cs="Times New Roman"/>
      <w:sz w:val="21"/>
      <w:szCs w:val="21"/>
      <w:lang w:eastAsia="en-US"/>
    </w:rPr>
  </w:style>
  <w:style w:type="table" w:customStyle="1" w:styleId="LightShading-Accent11">
    <w:name w:val="Light Shading - Accent 11"/>
    <w:basedOn w:val="Obinatablica"/>
    <w:uiPriority w:val="60"/>
    <w:rsid w:val="00816B8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ijetlosjenanje-Isticanje2">
    <w:name w:val="Light Shading Accent 2"/>
    <w:basedOn w:val="Obinatablica"/>
    <w:uiPriority w:val="60"/>
    <w:rsid w:val="0029019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11">
    <w:name w:val="Light Grid - Accent 11"/>
    <w:basedOn w:val="Obinatablica"/>
    <w:uiPriority w:val="62"/>
    <w:rsid w:val="00A70D6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Condensed" w:eastAsia="Times New Roman" w:hAnsi="Bahnschrift SemiBold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Condensed" w:eastAsia="Times New Roman" w:hAnsi="Bahnschrift SemiBold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Condensed" w:eastAsia="Times New Roman" w:hAnsi="Bahnschrift SemiBold Condensed" w:cs="Times New Roman"/>
        <w:b/>
        <w:bCs/>
      </w:rPr>
    </w:tblStylePr>
    <w:tblStylePr w:type="lastCol">
      <w:rPr>
        <w:rFonts w:ascii="Bahnschrift SemiBold Condensed" w:eastAsia="Times New Roman" w:hAnsi="Bahnschrift SemiBold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rednjareetka1-Isticanje5">
    <w:name w:val="Medium Grid 1 Accent 5"/>
    <w:basedOn w:val="Obinatablica"/>
    <w:uiPriority w:val="67"/>
    <w:rsid w:val="000744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Shading-Accent12">
    <w:name w:val="Light Shading - Accent 12"/>
    <w:basedOn w:val="Obinatablica"/>
    <w:uiPriority w:val="60"/>
    <w:rsid w:val="00BA69FB"/>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Obinatablica"/>
    <w:uiPriority w:val="60"/>
    <w:rsid w:val="00127251"/>
    <w:rPr>
      <w:color w:val="2E74B5"/>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14">
    <w:name w:val="Light Shading - Accent 14"/>
    <w:basedOn w:val="Obinatablica"/>
    <w:uiPriority w:val="60"/>
    <w:rsid w:val="00DA13F9"/>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15">
    <w:name w:val="Light Shading - Accent 15"/>
    <w:basedOn w:val="Obinatablica"/>
    <w:uiPriority w:val="60"/>
    <w:rsid w:val="00A85AEF"/>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16">
    <w:name w:val="Light Shading - Accent 16"/>
    <w:basedOn w:val="Obinatablica"/>
    <w:uiPriority w:val="60"/>
    <w:rsid w:val="00AA7DB2"/>
    <w:rPr>
      <w:rFonts w:eastAsia="Malgun Gothic"/>
      <w:color w:val="2E74B5"/>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111">
    <w:name w:val="Light Shading - Accent 111"/>
    <w:basedOn w:val="Obinatablica"/>
    <w:uiPriority w:val="60"/>
    <w:rsid w:val="003D6845"/>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ijetlosjenanje-Isticanje11">
    <w:name w:val="Svijetlo sjenčanje - Isticanje 11"/>
    <w:basedOn w:val="Obinatablica"/>
    <w:uiPriority w:val="60"/>
    <w:rsid w:val="00466D46"/>
    <w:rPr>
      <w:rFonts w:asciiTheme="minorHAnsi" w:eastAsiaTheme="minorHAnsi" w:hAnsiTheme="minorHAnsi" w:cstheme="minorBidi"/>
      <w:color w:val="2F5496" w:themeColor="accent1" w:themeShade="BF"/>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PlainTable11">
    <w:name w:val="Plain Table 11"/>
    <w:basedOn w:val="Obinatablica"/>
    <w:uiPriority w:val="41"/>
    <w:rsid w:val="00B52FF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11">
    <w:name w:val="List Table 2 - Accent 11"/>
    <w:basedOn w:val="Obinatablica"/>
    <w:uiPriority w:val="47"/>
    <w:rsid w:val="00595F32"/>
    <w:rPr>
      <w:rFonts w:asciiTheme="minorHAnsi" w:eastAsiaTheme="minorEastAsia" w:hAnsiTheme="minorHAnsi" w:cstheme="minorBidi"/>
      <w:lang w:eastAsia="ko-KR"/>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Obinatablica"/>
    <w:uiPriority w:val="49"/>
    <w:rsid w:val="00595F32"/>
    <w:rPr>
      <w:lang w:val="en-US"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rednjareetka-Isticanje6">
    <w:name w:val="Light Grid Accent 6"/>
    <w:basedOn w:val="Obinatablica"/>
    <w:uiPriority w:val="62"/>
    <w:rsid w:val="00651724"/>
    <w:rPr>
      <w:rFonts w:asciiTheme="minorHAnsi" w:eastAsiaTheme="minorHAnsi" w:hAnsiTheme="minorHAnsi" w:cstheme="minorBidi"/>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Shading-Accent17">
    <w:name w:val="Light Shading - Accent 17"/>
    <w:basedOn w:val="Obinatablica"/>
    <w:uiPriority w:val="60"/>
    <w:rsid w:val="00651724"/>
    <w:rPr>
      <w:rFonts w:asciiTheme="minorHAnsi" w:eastAsiaTheme="minorHAnsi" w:hAnsiTheme="minorHAnsi" w:cstheme="minorBidi"/>
      <w:color w:val="2F5496" w:themeColor="accent1" w:themeShade="BF"/>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numbering" w:customStyle="1" w:styleId="Bezpopisa1">
    <w:name w:val="Bez popisa1"/>
    <w:next w:val="Bezpopisa"/>
    <w:uiPriority w:val="99"/>
    <w:semiHidden/>
    <w:unhideWhenUsed/>
    <w:rsid w:val="00651724"/>
  </w:style>
  <w:style w:type="table" w:customStyle="1" w:styleId="TableGridLight1">
    <w:name w:val="Table Grid Light1"/>
    <w:basedOn w:val="Obinatablica"/>
    <w:uiPriority w:val="40"/>
    <w:rsid w:val="00651724"/>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ijetlosjenanje-Isticanje5">
    <w:name w:val="Light Shading Accent 5"/>
    <w:basedOn w:val="Obinatablica"/>
    <w:uiPriority w:val="60"/>
    <w:rsid w:val="00651724"/>
    <w:rPr>
      <w:rFonts w:asciiTheme="minorHAnsi" w:eastAsiaTheme="minorHAnsi" w:hAnsiTheme="minorHAnsi" w:cstheme="minorBidi"/>
      <w:color w:val="2E74B5" w:themeColor="accent5" w:themeShade="BF"/>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Revizija">
    <w:name w:val="Revision"/>
    <w:hidden/>
    <w:uiPriority w:val="99"/>
    <w:semiHidden/>
    <w:rsid w:val="00651724"/>
    <w:rPr>
      <w:rFonts w:ascii="Times New Roman" w:eastAsia="Times New Roman" w:hAnsi="Times New Roman"/>
      <w:sz w:val="24"/>
      <w:szCs w:val="24"/>
    </w:rPr>
  </w:style>
  <w:style w:type="table" w:customStyle="1" w:styleId="TableGridLight2">
    <w:name w:val="Table Grid Light2"/>
    <w:basedOn w:val="Obinatablica"/>
    <w:uiPriority w:val="40"/>
    <w:rsid w:val="00651724"/>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1">
    <w:name w:val="Grid Table 2 - Accent 11"/>
    <w:basedOn w:val="Obinatablica"/>
    <w:uiPriority w:val="47"/>
    <w:rsid w:val="00651724"/>
    <w:rPr>
      <w:rFonts w:asciiTheme="minorHAnsi" w:eastAsiaTheme="minorHAnsi" w:hAnsiTheme="minorHAnsi" w:cstheme="minorBidi"/>
      <w:lang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1">
    <w:name w:val="Grid Table 1 Light1"/>
    <w:basedOn w:val="Obinatablica"/>
    <w:uiPriority w:val="46"/>
    <w:rsid w:val="00651724"/>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Bezpopisa2">
    <w:name w:val="Bez popisa2"/>
    <w:next w:val="Bezpopisa"/>
    <w:uiPriority w:val="99"/>
    <w:semiHidden/>
    <w:unhideWhenUsed/>
    <w:rsid w:val="00651724"/>
  </w:style>
  <w:style w:type="character" w:customStyle="1" w:styleId="Nerijeenospominjanje1">
    <w:name w:val="Neriješeno spominjanje1"/>
    <w:basedOn w:val="Zadanifontodlomka"/>
    <w:uiPriority w:val="99"/>
    <w:semiHidden/>
    <w:unhideWhenUsed/>
    <w:rsid w:val="00651724"/>
    <w:rPr>
      <w:color w:val="605E5C"/>
      <w:shd w:val="clear" w:color="auto" w:fill="E1DFDD"/>
    </w:rPr>
  </w:style>
  <w:style w:type="table" w:customStyle="1" w:styleId="Tablicareetke4-isticanje11">
    <w:name w:val="Tablica rešetke 4 - isticanje 11"/>
    <w:basedOn w:val="Obinatablica"/>
    <w:uiPriority w:val="49"/>
    <w:rsid w:val="00651724"/>
    <w:rPr>
      <w:rFonts w:asciiTheme="minorHAnsi" w:eastAsia="Malgun Gothic" w:hAnsiTheme="minorHAnsi" w:cstheme="minorBidi"/>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1">
    <w:name w:val="Unresolved Mention1"/>
    <w:basedOn w:val="Zadanifontodlomka"/>
    <w:uiPriority w:val="99"/>
    <w:semiHidden/>
    <w:unhideWhenUsed/>
    <w:rsid w:val="00651724"/>
    <w:rPr>
      <w:color w:val="605E5C"/>
      <w:shd w:val="clear" w:color="auto" w:fill="E1DFDD"/>
    </w:rPr>
  </w:style>
  <w:style w:type="table" w:customStyle="1" w:styleId="ListTable2-Accent111">
    <w:name w:val="List Table 2 - Accent 111"/>
    <w:basedOn w:val="Obinatablica"/>
    <w:uiPriority w:val="47"/>
    <w:rsid w:val="00651724"/>
    <w:rPr>
      <w:rFonts w:asciiTheme="minorHAnsi" w:eastAsia="Malgun Gothic" w:hAnsiTheme="minorHAnsi" w:cstheme="minorBidi"/>
      <w:lang w:eastAsia="ko-KR"/>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2">
    <w:name w:val="Unresolved Mention2"/>
    <w:basedOn w:val="Zadanifontodlomka"/>
    <w:uiPriority w:val="99"/>
    <w:semiHidden/>
    <w:unhideWhenUsed/>
    <w:rsid w:val="005B7527"/>
    <w:rPr>
      <w:color w:val="605E5C"/>
      <w:shd w:val="clear" w:color="auto" w:fill="E1DFDD"/>
    </w:rPr>
  </w:style>
  <w:style w:type="character" w:customStyle="1" w:styleId="Sadraj2Char">
    <w:name w:val="Sadržaj 2 Char"/>
    <w:basedOn w:val="Zadanifontodlomka"/>
    <w:link w:val="Sadraj2"/>
    <w:uiPriority w:val="39"/>
    <w:rsid w:val="003A41D6"/>
    <w:rPr>
      <w:noProof/>
      <w:sz w:val="20"/>
      <w:szCs w:val="20"/>
    </w:rPr>
  </w:style>
  <w:style w:type="character" w:customStyle="1" w:styleId="Sadraj1Char">
    <w:name w:val="Sadržaj 1 Char"/>
    <w:basedOn w:val="Zadanifontodlomka"/>
    <w:link w:val="Sadraj1"/>
    <w:uiPriority w:val="39"/>
    <w:rsid w:val="00251878"/>
    <w:rPr>
      <w:rFonts w:cs="Roboto"/>
      <w:b/>
      <w:noProof/>
      <w:sz w:val="20"/>
      <w:szCs w:val="20"/>
    </w:rPr>
  </w:style>
  <w:style w:type="character" w:customStyle="1" w:styleId="Sadraj3Char">
    <w:name w:val="Sadržaj 3 Char"/>
    <w:basedOn w:val="Sadraj2Char"/>
    <w:link w:val="Sadraj3"/>
    <w:uiPriority w:val="39"/>
    <w:rsid w:val="001061B0"/>
    <w:rPr>
      <w:noProof/>
      <w:sz w:val="20"/>
      <w:szCs w:val="20"/>
    </w:rPr>
  </w:style>
  <w:style w:type="paragraph" w:styleId="Sadraj4">
    <w:name w:val="toc 4"/>
    <w:basedOn w:val="Sadraj3"/>
    <w:next w:val="Normal"/>
    <w:autoRedefine/>
    <w:uiPriority w:val="39"/>
    <w:unhideWhenUsed/>
    <w:rsid w:val="002C4261"/>
    <w:pPr>
      <w:tabs>
        <w:tab w:val="clear" w:pos="9072"/>
        <w:tab w:val="left" w:pos="1928"/>
        <w:tab w:val="right" w:leader="dot" w:pos="9061"/>
      </w:tabs>
      <w:ind w:left="1757" w:hanging="481"/>
    </w:pPr>
  </w:style>
  <w:style w:type="character" w:customStyle="1" w:styleId="UnresolvedMention3">
    <w:name w:val="Unresolved Mention3"/>
    <w:basedOn w:val="Zadanifontodlomka"/>
    <w:uiPriority w:val="99"/>
    <w:semiHidden/>
    <w:unhideWhenUsed/>
    <w:rsid w:val="00C02C9E"/>
    <w:rPr>
      <w:color w:val="605E5C"/>
      <w:shd w:val="clear" w:color="auto" w:fill="E1DFDD"/>
    </w:rPr>
  </w:style>
  <w:style w:type="character" w:customStyle="1" w:styleId="KartadokumentaChar1">
    <w:name w:val="Karta dokumenta Char1"/>
    <w:basedOn w:val="Zadanifontodlomka"/>
    <w:uiPriority w:val="99"/>
    <w:semiHidden/>
    <w:rsid w:val="005307B5"/>
    <w:rPr>
      <w:rFonts w:ascii="Segoe UI" w:eastAsia="Times New Roman" w:hAnsi="Segoe UI" w:cs="Segoe UI"/>
      <w:sz w:val="16"/>
      <w:szCs w:val="16"/>
      <w:lang w:eastAsia="hr-HR"/>
    </w:rPr>
  </w:style>
  <w:style w:type="character" w:customStyle="1" w:styleId="DocumentMapChar1">
    <w:name w:val="Document Map Char1"/>
    <w:basedOn w:val="Zadanifontodlomka"/>
    <w:uiPriority w:val="99"/>
    <w:semiHidden/>
    <w:rsid w:val="005307B5"/>
    <w:rPr>
      <w:rFonts w:ascii="Segoe UI" w:eastAsia="Times New Roman" w:hAnsi="Segoe UI" w:cs="Segoe UI"/>
      <w:sz w:val="16"/>
      <w:szCs w:val="16"/>
      <w:lang w:eastAsia="hr-HR"/>
    </w:rPr>
  </w:style>
  <w:style w:type="character" w:customStyle="1" w:styleId="PredmetkomentaraChar1">
    <w:name w:val="Predmet komentara Char1"/>
    <w:basedOn w:val="Zadanifontodlomka"/>
    <w:uiPriority w:val="99"/>
    <w:semiHidden/>
    <w:rsid w:val="00AF0CAC"/>
    <w:rPr>
      <w:rFonts w:ascii="Times New Roman" w:eastAsia="Times New Roman" w:hAnsi="Times New Roman"/>
      <w:b/>
      <w:bCs/>
      <w:sz w:val="20"/>
      <w:szCs w:val="20"/>
      <w:lang w:eastAsia="hr-HR"/>
    </w:rPr>
  </w:style>
  <w:style w:type="character" w:customStyle="1" w:styleId="CommentSubjectChar1">
    <w:name w:val="Comment Subject Char1"/>
    <w:basedOn w:val="Zadanifontodlomka"/>
    <w:uiPriority w:val="99"/>
    <w:semiHidden/>
    <w:rsid w:val="00AF0CAC"/>
    <w:rPr>
      <w:rFonts w:ascii="Times New Roman" w:eastAsia="Times New Roman" w:hAnsi="Times New Roman" w:cs="Times New Roman"/>
      <w:b/>
      <w:bCs/>
      <w:sz w:val="20"/>
      <w:szCs w:val="20"/>
      <w:lang w:eastAsia="hr-HR"/>
    </w:rPr>
  </w:style>
  <w:style w:type="character" w:customStyle="1" w:styleId="Nerijeenospominjanje2">
    <w:name w:val="Neriješeno spominjanje2"/>
    <w:basedOn w:val="Zadanifontodlomka"/>
    <w:uiPriority w:val="99"/>
    <w:semiHidden/>
    <w:unhideWhenUsed/>
    <w:rsid w:val="005307B5"/>
    <w:rPr>
      <w:color w:val="605E5C"/>
      <w:shd w:val="clear" w:color="auto" w:fill="E1DFDD"/>
    </w:rPr>
  </w:style>
  <w:style w:type="character" w:customStyle="1" w:styleId="OdlomakpopisaChar">
    <w:name w:val="Odlomak popisa Char"/>
    <w:link w:val="Odlomakpopisa"/>
    <w:uiPriority w:val="34"/>
    <w:locked/>
    <w:rsid w:val="005307B5"/>
    <w:rPr>
      <w:rFonts w:ascii="Arial Narrow" w:eastAsia="Times New Roman" w:hAnsi="Arial Narrow"/>
      <w:sz w:val="22"/>
      <w:szCs w:val="24"/>
    </w:rPr>
  </w:style>
  <w:style w:type="table" w:styleId="Svijetlosjenanje-Isticanje1">
    <w:name w:val="Light Shading Accent 1"/>
    <w:basedOn w:val="Obinatablica"/>
    <w:uiPriority w:val="60"/>
    <w:rsid w:val="005307B5"/>
    <w:rPr>
      <w:rFonts w:asciiTheme="minorHAnsi" w:eastAsiaTheme="minorHAnsi" w:hAnsiTheme="minorHAnsi" w:cstheme="minorBidi"/>
      <w:color w:val="2F5496" w:themeColor="accent1" w:themeShade="BF"/>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icareetke4-isticanje12">
    <w:name w:val="Tablica rešetke 4 - isticanje 12"/>
    <w:basedOn w:val="Obinatablica"/>
    <w:uiPriority w:val="49"/>
    <w:rsid w:val="005307B5"/>
    <w:rPr>
      <w:rFonts w:asciiTheme="minorHAnsi" w:eastAsiaTheme="minorHAnsi" w:hAnsiTheme="minorHAnsi" w:cstheme="minorBid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icareetke4-isticanje111">
    <w:name w:val="Tablica rešetke 4 - isticanje 111"/>
    <w:basedOn w:val="Obinatablica"/>
    <w:uiPriority w:val="49"/>
    <w:rsid w:val="005307B5"/>
    <w:rPr>
      <w:rFonts w:asciiTheme="minorHAnsi" w:eastAsiaTheme="minorHAnsi" w:hAnsiTheme="minorHAnsi" w:cstheme="minorBid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erijeenospominjanje3">
    <w:name w:val="Neriješeno spominjanje3"/>
    <w:basedOn w:val="Zadanifontodlomka"/>
    <w:uiPriority w:val="99"/>
    <w:semiHidden/>
    <w:unhideWhenUsed/>
    <w:rsid w:val="005307B5"/>
    <w:rPr>
      <w:color w:val="605E5C"/>
      <w:shd w:val="clear" w:color="auto" w:fill="E1DFDD"/>
    </w:rPr>
  </w:style>
  <w:style w:type="character" w:customStyle="1" w:styleId="Nerijeenospominjanje4">
    <w:name w:val="Neriješeno spominjanje4"/>
    <w:basedOn w:val="Zadanifontodlomka"/>
    <w:uiPriority w:val="99"/>
    <w:semiHidden/>
    <w:unhideWhenUsed/>
    <w:rsid w:val="005307B5"/>
    <w:rPr>
      <w:color w:val="605E5C"/>
      <w:shd w:val="clear" w:color="auto" w:fill="E1DFDD"/>
    </w:rPr>
  </w:style>
  <w:style w:type="paragraph" w:styleId="Sadraj5">
    <w:name w:val="toc 5"/>
    <w:basedOn w:val="Normal"/>
    <w:next w:val="Normal"/>
    <w:autoRedefine/>
    <w:uiPriority w:val="39"/>
    <w:unhideWhenUsed/>
    <w:rsid w:val="00721250"/>
    <w:pPr>
      <w:spacing w:after="100" w:line="259" w:lineRule="auto"/>
      <w:ind w:left="880"/>
    </w:pPr>
    <w:rPr>
      <w:rFonts w:asciiTheme="minorHAnsi" w:eastAsiaTheme="minorEastAsia" w:hAnsiTheme="minorHAnsi" w:cstheme="minorBidi"/>
    </w:rPr>
  </w:style>
  <w:style w:type="paragraph" w:styleId="Sadraj6">
    <w:name w:val="toc 6"/>
    <w:basedOn w:val="Normal"/>
    <w:next w:val="Normal"/>
    <w:autoRedefine/>
    <w:uiPriority w:val="39"/>
    <w:unhideWhenUsed/>
    <w:rsid w:val="00721250"/>
    <w:pPr>
      <w:spacing w:after="100" w:line="259" w:lineRule="auto"/>
      <w:ind w:left="1100"/>
    </w:pPr>
    <w:rPr>
      <w:rFonts w:asciiTheme="minorHAnsi" w:eastAsiaTheme="minorEastAsia" w:hAnsiTheme="minorHAnsi" w:cstheme="minorBidi"/>
    </w:rPr>
  </w:style>
  <w:style w:type="paragraph" w:styleId="Sadraj7">
    <w:name w:val="toc 7"/>
    <w:basedOn w:val="Normal"/>
    <w:next w:val="Normal"/>
    <w:autoRedefine/>
    <w:uiPriority w:val="39"/>
    <w:unhideWhenUsed/>
    <w:rsid w:val="00721250"/>
    <w:pPr>
      <w:spacing w:after="100" w:line="259" w:lineRule="auto"/>
      <w:ind w:left="1320"/>
    </w:pPr>
    <w:rPr>
      <w:rFonts w:asciiTheme="minorHAnsi" w:eastAsiaTheme="minorEastAsia" w:hAnsiTheme="minorHAnsi" w:cstheme="minorBidi"/>
    </w:rPr>
  </w:style>
  <w:style w:type="paragraph" w:styleId="Sadraj8">
    <w:name w:val="toc 8"/>
    <w:basedOn w:val="Normal"/>
    <w:next w:val="Normal"/>
    <w:autoRedefine/>
    <w:uiPriority w:val="39"/>
    <w:unhideWhenUsed/>
    <w:rsid w:val="00721250"/>
    <w:pPr>
      <w:spacing w:after="100" w:line="259" w:lineRule="auto"/>
      <w:ind w:left="1540"/>
    </w:pPr>
    <w:rPr>
      <w:rFonts w:asciiTheme="minorHAnsi" w:eastAsiaTheme="minorEastAsia" w:hAnsiTheme="minorHAnsi" w:cstheme="minorBidi"/>
    </w:rPr>
  </w:style>
  <w:style w:type="paragraph" w:styleId="Sadraj9">
    <w:name w:val="toc 9"/>
    <w:basedOn w:val="Normal"/>
    <w:next w:val="Normal"/>
    <w:autoRedefine/>
    <w:uiPriority w:val="39"/>
    <w:unhideWhenUsed/>
    <w:rsid w:val="00721250"/>
    <w:pPr>
      <w:spacing w:after="100" w:line="259" w:lineRule="auto"/>
      <w:ind w:left="1760"/>
    </w:pPr>
    <w:rPr>
      <w:rFonts w:asciiTheme="minorHAnsi" w:eastAsiaTheme="minorEastAsia" w:hAnsiTheme="minorHAnsi" w:cstheme="minorBidi"/>
    </w:rPr>
  </w:style>
  <w:style w:type="character" w:customStyle="1" w:styleId="Nerijeenospominjanje5">
    <w:name w:val="Neriješeno spominjanje5"/>
    <w:basedOn w:val="Zadanifontodlomka"/>
    <w:uiPriority w:val="99"/>
    <w:semiHidden/>
    <w:unhideWhenUsed/>
    <w:rsid w:val="00721250"/>
    <w:rPr>
      <w:color w:val="605E5C"/>
      <w:shd w:val="clear" w:color="auto" w:fill="E1DFDD"/>
    </w:rPr>
  </w:style>
  <w:style w:type="table" w:customStyle="1" w:styleId="Tablicareetke4-isticanje13">
    <w:name w:val="Tablica rešetke 4 - isticanje 13"/>
    <w:basedOn w:val="Obinatablica"/>
    <w:uiPriority w:val="49"/>
    <w:rsid w:val="00E56388"/>
    <w:rPr>
      <w:rFonts w:asciiTheme="minorHAnsi" w:eastAsiaTheme="minorHAnsi" w:hAnsiTheme="minorHAnsi" w:cstheme="minorBid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erijeenospominjanje">
    <w:name w:val="Unresolved Mention"/>
    <w:basedOn w:val="Zadanifontodlomka"/>
    <w:uiPriority w:val="99"/>
    <w:semiHidden/>
    <w:unhideWhenUsed/>
    <w:rsid w:val="00C26B2C"/>
    <w:rPr>
      <w:color w:val="605E5C"/>
      <w:shd w:val="clear" w:color="auto" w:fill="E1DFDD"/>
    </w:rPr>
  </w:style>
  <w:style w:type="table" w:customStyle="1" w:styleId="LightShading-Accent1111">
    <w:name w:val="Light Shading - Accent 1111"/>
    <w:basedOn w:val="Obinatablica"/>
    <w:uiPriority w:val="60"/>
    <w:rsid w:val="009D32F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icareetke2-isticanje11">
    <w:name w:val="Tablica rešetke 2 - isticanje 11"/>
    <w:basedOn w:val="Obinatablica"/>
    <w:next w:val="Tablicareetke2-isticanje1"/>
    <w:uiPriority w:val="47"/>
    <w:rsid w:val="00E47E1A"/>
    <w:rPr>
      <w:rFonts w:asciiTheme="minorHAnsi" w:eastAsiaTheme="minorHAnsi" w:hAnsiTheme="minorHAnsi" w:cstheme="minorBidi"/>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icareetke2-isticanje1">
    <w:name w:val="Grid Table 2 Accent 1"/>
    <w:basedOn w:val="Obinatablica"/>
    <w:uiPriority w:val="47"/>
    <w:rsid w:val="00E47E1A"/>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ghtShading-Accent114">
    <w:name w:val="Light Shading - Accent 114"/>
    <w:basedOn w:val="Obinatablica"/>
    <w:uiPriority w:val="60"/>
    <w:rsid w:val="00A623E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Table2-Accent112">
    <w:name w:val="List Table 2 - Accent 112"/>
    <w:basedOn w:val="Obinatablica"/>
    <w:uiPriority w:val="47"/>
    <w:rsid w:val="001973E8"/>
    <w:rPr>
      <w:rFonts w:asciiTheme="minorHAnsi" w:eastAsiaTheme="minorEastAsia" w:hAnsiTheme="minorHAnsi" w:cstheme="minorBidi"/>
      <w:lang w:eastAsia="ko-KR"/>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Obinatablica51">
    <w:name w:val="Obična tablica 51"/>
    <w:basedOn w:val="Obinatablica"/>
    <w:next w:val="Obinatablica5"/>
    <w:uiPriority w:val="45"/>
    <w:rsid w:val="006833AF"/>
    <w:pPr>
      <w:jc w:val="both"/>
    </w:pPr>
    <w:rPr>
      <w:rFonts w:asciiTheme="minorHAnsi" w:eastAsiaTheme="minorHAnsi" w:hAnsiTheme="minorHAnsi" w:cstheme="minorBidi"/>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binatablica41">
    <w:name w:val="Obična tablica 41"/>
    <w:basedOn w:val="Obinatablica"/>
    <w:next w:val="Obinatablica4"/>
    <w:uiPriority w:val="44"/>
    <w:rsid w:val="006833AF"/>
    <w:pPr>
      <w:jc w:val="both"/>
    </w:pPr>
    <w:rPr>
      <w:rFonts w:asciiTheme="minorHAnsi" w:eastAsiaTheme="minorHAnsi" w:hAnsi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31">
    <w:name w:val="Obična tablica 31"/>
    <w:basedOn w:val="Obinatablica"/>
    <w:next w:val="Obinatablica3"/>
    <w:uiPriority w:val="43"/>
    <w:rsid w:val="006833AF"/>
    <w:pPr>
      <w:jc w:val="both"/>
    </w:pPr>
    <w:rPr>
      <w:rFonts w:asciiTheme="minorHAnsi" w:eastAsiaTheme="minorHAnsi" w:hAnsiTheme="minorHAnsi" w:cstheme="minorBid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icareetke4-isticanje51">
    <w:name w:val="Tablica rešetke 4 - isticanje 51"/>
    <w:basedOn w:val="Obinatablica"/>
    <w:next w:val="Tablicareetke4-isticanje5"/>
    <w:uiPriority w:val="49"/>
    <w:rsid w:val="006833AF"/>
    <w:pPr>
      <w:jc w:val="both"/>
    </w:pPr>
    <w:rPr>
      <w:rFonts w:asciiTheme="minorHAnsi" w:eastAsiaTheme="minorHAnsi" w:hAnsiTheme="minorHAnsi" w:cstheme="minorBid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binatablica5">
    <w:name w:val="Plain Table 5"/>
    <w:basedOn w:val="Obinatablica"/>
    <w:uiPriority w:val="45"/>
    <w:rsid w:val="006833AF"/>
    <w:pPr>
      <w:jc w:val="both"/>
    </w:pPr>
    <w:rPr>
      <w:rFonts w:asciiTheme="minorHAnsi" w:eastAsiaTheme="minorHAnsi" w:hAnsiTheme="minorHAnsi" w:cstheme="minorBidi"/>
      <w:sz w:val="24"/>
      <w:szCs w:val="24"/>
      <w:lang w:val="en-GB"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4">
    <w:name w:val="Plain Table 4"/>
    <w:basedOn w:val="Obinatablica"/>
    <w:uiPriority w:val="44"/>
    <w:rsid w:val="006833AF"/>
    <w:pPr>
      <w:jc w:val="both"/>
    </w:pPr>
    <w:rPr>
      <w:rFonts w:asciiTheme="minorHAnsi" w:eastAsiaTheme="minorHAnsi" w:hAnsiTheme="minorHAnsi" w:cstheme="minorBidi"/>
      <w:sz w:val="24"/>
      <w:szCs w:val="24"/>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3">
    <w:name w:val="Plain Table 3"/>
    <w:basedOn w:val="Obinatablica"/>
    <w:uiPriority w:val="43"/>
    <w:rsid w:val="006833AF"/>
    <w:pPr>
      <w:jc w:val="both"/>
    </w:pPr>
    <w:rPr>
      <w:rFonts w:asciiTheme="minorHAnsi" w:eastAsiaTheme="minorHAnsi" w:hAnsiTheme="minorHAnsi" w:cstheme="minorBidi"/>
      <w:sz w:val="24"/>
      <w:szCs w:val="24"/>
      <w:lang w:val="en-GB"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icareetke4-isticanje5">
    <w:name w:val="Grid Table 4 Accent 5"/>
    <w:basedOn w:val="Obinatablica"/>
    <w:uiPriority w:val="49"/>
    <w:rsid w:val="006833AF"/>
    <w:pPr>
      <w:jc w:val="both"/>
    </w:pPr>
    <w:rPr>
      <w:rFonts w:asciiTheme="minorHAnsi" w:eastAsiaTheme="minorHAnsi" w:hAnsiTheme="minorHAnsi" w:cstheme="minorBidi"/>
      <w:sz w:val="24"/>
      <w:szCs w:val="24"/>
      <w:lang w:val="en-GB"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ghtShading-Accent112">
    <w:name w:val="Light Shading - Accent 112"/>
    <w:basedOn w:val="Obinatablica"/>
    <w:uiPriority w:val="60"/>
    <w:rsid w:val="006833A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Obinatablica"/>
    <w:uiPriority w:val="60"/>
    <w:rsid w:val="006833A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ijetlosjenanje-Isticanje51">
    <w:name w:val="Svijetlo sjenčanje - Isticanje 51"/>
    <w:basedOn w:val="Obinatablica"/>
    <w:next w:val="Svijetlosjenanje-Isticanje5"/>
    <w:uiPriority w:val="60"/>
    <w:semiHidden/>
    <w:unhideWhenUsed/>
    <w:rsid w:val="006833AF"/>
    <w:rPr>
      <w:color w:val="2E74B5"/>
      <w:lang w:val="en-GB" w:eastAsia="en-US"/>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etkatablice1">
    <w:name w:val="Rešetka tablice1"/>
    <w:basedOn w:val="Obinatablica"/>
    <w:next w:val="Reetkatablice"/>
    <w:uiPriority w:val="59"/>
    <w:rsid w:val="00683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Obinatablica"/>
    <w:uiPriority w:val="60"/>
    <w:rsid w:val="006833A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rednjareetka-Isticanje61">
    <w:name w:val="Srednja rešetka - Isticanje 61"/>
    <w:basedOn w:val="Obinatablica"/>
    <w:next w:val="Srednjareetka-Isticanje6"/>
    <w:uiPriority w:val="62"/>
    <w:rsid w:val="006833AF"/>
    <w:rPr>
      <w:rFonts w:asciiTheme="minorHAnsi" w:eastAsiaTheme="minorHAnsi" w:hAnsiTheme="minorHAnsi" w:cstheme="minorBidi"/>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Bezpopisa11">
    <w:name w:val="Bez popisa11"/>
    <w:next w:val="Bezpopisa"/>
    <w:uiPriority w:val="99"/>
    <w:semiHidden/>
    <w:unhideWhenUsed/>
    <w:rsid w:val="006833AF"/>
  </w:style>
  <w:style w:type="table" w:customStyle="1" w:styleId="Svijetlosjenanje-Isticanje52">
    <w:name w:val="Svijetlo sjenčanje - Isticanje 52"/>
    <w:basedOn w:val="Obinatablica"/>
    <w:next w:val="Svijetlosjenanje-Isticanje5"/>
    <w:uiPriority w:val="60"/>
    <w:rsid w:val="006833AF"/>
    <w:rPr>
      <w:rFonts w:asciiTheme="minorHAnsi" w:eastAsiaTheme="minorHAnsi" w:hAnsiTheme="minorHAnsi" w:cstheme="minorBidi"/>
      <w:color w:val="2E74B5"/>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Bezpopisa21">
    <w:name w:val="Bez popisa21"/>
    <w:next w:val="Bezpopisa"/>
    <w:uiPriority w:val="99"/>
    <w:semiHidden/>
    <w:unhideWhenUsed/>
    <w:rsid w:val="006833AF"/>
  </w:style>
  <w:style w:type="table" w:customStyle="1" w:styleId="ListTable2-Accent1111">
    <w:name w:val="List Table 2 - Accent 1111"/>
    <w:basedOn w:val="Obinatablica"/>
    <w:uiPriority w:val="47"/>
    <w:rsid w:val="006833AF"/>
    <w:rPr>
      <w:rFonts w:asciiTheme="minorHAnsi" w:eastAsia="Malgun Gothic" w:hAnsiTheme="minorHAnsi" w:cstheme="minorBidi"/>
      <w:lang w:eastAsia="ko-KR"/>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vijetlosjenanje-Isticanje12">
    <w:name w:val="Svijetlo sjenčanje - Isticanje 12"/>
    <w:basedOn w:val="Obinatablica"/>
    <w:next w:val="Svijetlosjenanje-Isticanje1"/>
    <w:uiPriority w:val="60"/>
    <w:rsid w:val="006833AF"/>
    <w:rPr>
      <w:rFonts w:asciiTheme="minorHAnsi" w:eastAsiaTheme="minorHAnsi" w:hAnsiTheme="minorHAnsi" w:cstheme="minorBidi"/>
      <w:color w:val="2F5496"/>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Table2-Accent113">
    <w:name w:val="List Table 2 - Accent 113"/>
    <w:basedOn w:val="Obinatablica"/>
    <w:uiPriority w:val="47"/>
    <w:rsid w:val="006833AF"/>
    <w:rPr>
      <w:rFonts w:asciiTheme="minorHAnsi" w:eastAsiaTheme="minorEastAsia" w:hAnsiTheme="minorHAnsi" w:cstheme="minorBidi"/>
      <w:lang w:eastAsia="ko-KR"/>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ghtShading-Accent116">
    <w:name w:val="Light Shading - Accent 116"/>
    <w:basedOn w:val="Obinatablica"/>
    <w:uiPriority w:val="60"/>
    <w:rsid w:val="006833A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popisa3">
    <w:name w:val="Bez popisa3"/>
    <w:next w:val="Bezpopisa"/>
    <w:uiPriority w:val="99"/>
    <w:semiHidden/>
    <w:unhideWhenUsed/>
    <w:rsid w:val="006833AF"/>
  </w:style>
  <w:style w:type="table" w:customStyle="1" w:styleId="ListTable2-Accent114">
    <w:name w:val="List Table 2 - Accent 114"/>
    <w:basedOn w:val="Obinatablica"/>
    <w:uiPriority w:val="47"/>
    <w:rsid w:val="006833AF"/>
    <w:rPr>
      <w:rFonts w:asciiTheme="minorHAnsi" w:eastAsia="Times New Roman" w:hAnsiTheme="minorHAnsi" w:cstheme="minorBidi"/>
      <w:lang w:eastAsia="ko-KR"/>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115">
    <w:name w:val="List Table 2 - Accent 115"/>
    <w:basedOn w:val="Obinatablica"/>
    <w:uiPriority w:val="47"/>
    <w:rsid w:val="006833AF"/>
    <w:rPr>
      <w:rFonts w:asciiTheme="minorHAnsi" w:eastAsia="Times New Roman" w:hAnsiTheme="minorHAnsi" w:cstheme="minorBidi"/>
      <w:lang w:eastAsia="ko-KR"/>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1121">
    <w:name w:val="List Table 2 - Accent 1121"/>
    <w:basedOn w:val="Obinatablica"/>
    <w:uiPriority w:val="47"/>
    <w:rsid w:val="005325D8"/>
    <w:rPr>
      <w:rFonts w:asciiTheme="minorHAnsi" w:eastAsia="Times New Roman" w:hAnsiTheme="minorHAnsi" w:cstheme="minorBidi"/>
      <w:lang w:eastAsia="ko-KR"/>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Bezpopisa4">
    <w:name w:val="Bez popisa4"/>
    <w:next w:val="Bezpopisa"/>
    <w:uiPriority w:val="99"/>
    <w:semiHidden/>
    <w:unhideWhenUsed/>
    <w:rsid w:val="004158A8"/>
  </w:style>
  <w:style w:type="table" w:customStyle="1" w:styleId="Tablicareetke3-isticanje11">
    <w:name w:val="Tablica rešetke 3 - isticanje 11"/>
    <w:basedOn w:val="Obinatablica"/>
    <w:next w:val="Tablicareetke3-isticanje1"/>
    <w:uiPriority w:val="48"/>
    <w:rsid w:val="00FD3A68"/>
    <w:rPr>
      <w:rFonts w:ascii="Aptos" w:eastAsia="Aptos" w:hAnsi="Aptos" w:cs="Times New Roman"/>
      <w:kern w:val="2"/>
      <w:lang w:eastAsia="en-US"/>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4F5"/>
      </w:tcPr>
    </w:tblStylePr>
    <w:tblStylePr w:type="band1Horz">
      <w:tblPr/>
      <w:tcPr>
        <w:shd w:val="clear" w:color="auto" w:fill="C1E4F5"/>
      </w:tcPr>
    </w:tblStylePr>
    <w:tblStylePr w:type="neCell">
      <w:tblPr/>
      <w:tcPr>
        <w:tcBorders>
          <w:bottom w:val="single" w:sz="4" w:space="0" w:color="45B0E1"/>
        </w:tcBorders>
      </w:tcPr>
    </w:tblStylePr>
    <w:tblStylePr w:type="nwCell">
      <w:tblPr/>
      <w:tcPr>
        <w:tcBorders>
          <w:bottom w:val="single" w:sz="4" w:space="0" w:color="45B0E1"/>
        </w:tcBorders>
      </w:tcPr>
    </w:tblStylePr>
    <w:tblStylePr w:type="seCell">
      <w:tblPr/>
      <w:tcPr>
        <w:tcBorders>
          <w:top w:val="single" w:sz="4" w:space="0" w:color="45B0E1"/>
        </w:tcBorders>
      </w:tcPr>
    </w:tblStylePr>
    <w:tblStylePr w:type="swCell">
      <w:tblPr/>
      <w:tcPr>
        <w:tcBorders>
          <w:top w:val="single" w:sz="4" w:space="0" w:color="45B0E1"/>
        </w:tcBorders>
      </w:tcPr>
    </w:tblStylePr>
  </w:style>
  <w:style w:type="table" w:styleId="Tablicareetke3-isticanje1">
    <w:name w:val="Grid Table 3 Accent 1"/>
    <w:basedOn w:val="Obinatablica"/>
    <w:uiPriority w:val="48"/>
    <w:rsid w:val="00FD3A6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ListTable2-Accent116">
    <w:name w:val="List Table 2 - Accent 116"/>
    <w:basedOn w:val="Obinatablica"/>
    <w:uiPriority w:val="47"/>
    <w:rsid w:val="00F24309"/>
    <w:rPr>
      <w:rFonts w:ascii="Calibri" w:eastAsia="Times New Roman" w:hAnsi="Calibri" w:cs="Times New Roman"/>
      <w:lang w:eastAsia="ko-KR"/>
    </w:rPr>
    <w:tblPr>
      <w:tblStyleRowBandSize w:val="1"/>
      <w:tblStyleColBandSize w:val="1"/>
      <w:tblInd w:w="0" w:type="nil"/>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2-isticanje12">
    <w:name w:val="Tablica rešetke 2 - isticanje 12"/>
    <w:basedOn w:val="Obinatablica"/>
    <w:next w:val="Tablicareetke2-isticanje1"/>
    <w:uiPriority w:val="47"/>
    <w:rsid w:val="00360C77"/>
    <w:rPr>
      <w:rFonts w:asciiTheme="minorHAnsi" w:eastAsiaTheme="minorHAnsi" w:hAnsiTheme="minorHAnsi" w:cstheme="minorBidi"/>
      <w:lang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Reetkatablice2">
    <w:name w:val="Rešetka tablice2"/>
    <w:basedOn w:val="Obinatablica"/>
    <w:next w:val="Reetkatablice"/>
    <w:uiPriority w:val="39"/>
    <w:rsid w:val="00D55042"/>
    <w:rPr>
      <w:rFonts w:ascii="Aptos" w:eastAsia="Times New Roman" w:hAnsi="Apto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s">
    <w:name w:val="infos"/>
    <w:basedOn w:val="Zadanifontodlomka"/>
    <w:rsid w:val="00A062E1"/>
  </w:style>
  <w:style w:type="paragraph" w:styleId="Bezproreda">
    <w:name w:val="No Spacing"/>
    <w:uiPriority w:val="1"/>
    <w:qFormat/>
    <w:rsid w:val="24CC0276"/>
  </w:style>
  <w:style w:type="character" w:customStyle="1" w:styleId="CommentReference1">
    <w:name w:val="Comment Reference1"/>
    <w:basedOn w:val="Zadanifontodlomka"/>
    <w:uiPriority w:val="99"/>
    <w:semiHidden/>
    <w:unhideWhenUsed/>
    <w:rsid w:val="00963C6C"/>
    <w:rPr>
      <w:sz w:val="16"/>
      <w:szCs w:val="16"/>
    </w:rPr>
  </w:style>
  <w:style w:type="table" w:customStyle="1" w:styleId="LightShading-Accent1151">
    <w:name w:val="Light Shading - Accent 1151"/>
    <w:basedOn w:val="Obinatablica"/>
    <w:uiPriority w:val="60"/>
    <w:rsid w:val="001B6C2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628">
      <w:bodyDiv w:val="1"/>
      <w:marLeft w:val="0"/>
      <w:marRight w:val="0"/>
      <w:marTop w:val="0"/>
      <w:marBottom w:val="0"/>
      <w:divBdr>
        <w:top w:val="none" w:sz="0" w:space="0" w:color="auto"/>
        <w:left w:val="none" w:sz="0" w:space="0" w:color="auto"/>
        <w:bottom w:val="none" w:sz="0" w:space="0" w:color="auto"/>
        <w:right w:val="none" w:sz="0" w:space="0" w:color="auto"/>
      </w:divBdr>
    </w:div>
    <w:div w:id="55125302">
      <w:bodyDiv w:val="1"/>
      <w:marLeft w:val="0"/>
      <w:marRight w:val="0"/>
      <w:marTop w:val="0"/>
      <w:marBottom w:val="0"/>
      <w:divBdr>
        <w:top w:val="none" w:sz="0" w:space="0" w:color="auto"/>
        <w:left w:val="none" w:sz="0" w:space="0" w:color="auto"/>
        <w:bottom w:val="none" w:sz="0" w:space="0" w:color="auto"/>
        <w:right w:val="none" w:sz="0" w:space="0" w:color="auto"/>
      </w:divBdr>
    </w:div>
    <w:div w:id="56978394">
      <w:bodyDiv w:val="1"/>
      <w:marLeft w:val="0"/>
      <w:marRight w:val="0"/>
      <w:marTop w:val="0"/>
      <w:marBottom w:val="0"/>
      <w:divBdr>
        <w:top w:val="none" w:sz="0" w:space="0" w:color="auto"/>
        <w:left w:val="none" w:sz="0" w:space="0" w:color="auto"/>
        <w:bottom w:val="none" w:sz="0" w:space="0" w:color="auto"/>
        <w:right w:val="none" w:sz="0" w:space="0" w:color="auto"/>
      </w:divBdr>
    </w:div>
    <w:div w:id="82535856">
      <w:bodyDiv w:val="1"/>
      <w:marLeft w:val="0"/>
      <w:marRight w:val="0"/>
      <w:marTop w:val="0"/>
      <w:marBottom w:val="0"/>
      <w:divBdr>
        <w:top w:val="none" w:sz="0" w:space="0" w:color="auto"/>
        <w:left w:val="none" w:sz="0" w:space="0" w:color="auto"/>
        <w:bottom w:val="none" w:sz="0" w:space="0" w:color="auto"/>
        <w:right w:val="none" w:sz="0" w:space="0" w:color="auto"/>
      </w:divBdr>
    </w:div>
    <w:div w:id="91826121">
      <w:bodyDiv w:val="1"/>
      <w:marLeft w:val="0"/>
      <w:marRight w:val="0"/>
      <w:marTop w:val="0"/>
      <w:marBottom w:val="0"/>
      <w:divBdr>
        <w:top w:val="none" w:sz="0" w:space="0" w:color="auto"/>
        <w:left w:val="none" w:sz="0" w:space="0" w:color="auto"/>
        <w:bottom w:val="none" w:sz="0" w:space="0" w:color="auto"/>
        <w:right w:val="none" w:sz="0" w:space="0" w:color="auto"/>
      </w:divBdr>
    </w:div>
    <w:div w:id="120273671">
      <w:bodyDiv w:val="1"/>
      <w:marLeft w:val="0"/>
      <w:marRight w:val="0"/>
      <w:marTop w:val="0"/>
      <w:marBottom w:val="0"/>
      <w:divBdr>
        <w:top w:val="none" w:sz="0" w:space="0" w:color="auto"/>
        <w:left w:val="none" w:sz="0" w:space="0" w:color="auto"/>
        <w:bottom w:val="none" w:sz="0" w:space="0" w:color="auto"/>
        <w:right w:val="none" w:sz="0" w:space="0" w:color="auto"/>
      </w:divBdr>
    </w:div>
    <w:div w:id="126901562">
      <w:bodyDiv w:val="1"/>
      <w:marLeft w:val="0"/>
      <w:marRight w:val="0"/>
      <w:marTop w:val="0"/>
      <w:marBottom w:val="0"/>
      <w:divBdr>
        <w:top w:val="none" w:sz="0" w:space="0" w:color="auto"/>
        <w:left w:val="none" w:sz="0" w:space="0" w:color="auto"/>
        <w:bottom w:val="none" w:sz="0" w:space="0" w:color="auto"/>
        <w:right w:val="none" w:sz="0" w:space="0" w:color="auto"/>
      </w:divBdr>
    </w:div>
    <w:div w:id="153229827">
      <w:bodyDiv w:val="1"/>
      <w:marLeft w:val="0"/>
      <w:marRight w:val="0"/>
      <w:marTop w:val="0"/>
      <w:marBottom w:val="0"/>
      <w:divBdr>
        <w:top w:val="none" w:sz="0" w:space="0" w:color="auto"/>
        <w:left w:val="none" w:sz="0" w:space="0" w:color="auto"/>
        <w:bottom w:val="none" w:sz="0" w:space="0" w:color="auto"/>
        <w:right w:val="none" w:sz="0" w:space="0" w:color="auto"/>
      </w:divBdr>
    </w:div>
    <w:div w:id="177544097">
      <w:bodyDiv w:val="1"/>
      <w:marLeft w:val="0"/>
      <w:marRight w:val="0"/>
      <w:marTop w:val="0"/>
      <w:marBottom w:val="0"/>
      <w:divBdr>
        <w:top w:val="none" w:sz="0" w:space="0" w:color="auto"/>
        <w:left w:val="none" w:sz="0" w:space="0" w:color="auto"/>
        <w:bottom w:val="none" w:sz="0" w:space="0" w:color="auto"/>
        <w:right w:val="none" w:sz="0" w:space="0" w:color="auto"/>
      </w:divBdr>
    </w:div>
    <w:div w:id="239143258">
      <w:bodyDiv w:val="1"/>
      <w:marLeft w:val="0"/>
      <w:marRight w:val="0"/>
      <w:marTop w:val="0"/>
      <w:marBottom w:val="0"/>
      <w:divBdr>
        <w:top w:val="none" w:sz="0" w:space="0" w:color="auto"/>
        <w:left w:val="none" w:sz="0" w:space="0" w:color="auto"/>
        <w:bottom w:val="none" w:sz="0" w:space="0" w:color="auto"/>
        <w:right w:val="none" w:sz="0" w:space="0" w:color="auto"/>
      </w:divBdr>
    </w:div>
    <w:div w:id="267129303">
      <w:bodyDiv w:val="1"/>
      <w:marLeft w:val="0"/>
      <w:marRight w:val="0"/>
      <w:marTop w:val="0"/>
      <w:marBottom w:val="0"/>
      <w:divBdr>
        <w:top w:val="none" w:sz="0" w:space="0" w:color="auto"/>
        <w:left w:val="none" w:sz="0" w:space="0" w:color="auto"/>
        <w:bottom w:val="none" w:sz="0" w:space="0" w:color="auto"/>
        <w:right w:val="none" w:sz="0" w:space="0" w:color="auto"/>
      </w:divBdr>
    </w:div>
    <w:div w:id="284312270">
      <w:bodyDiv w:val="1"/>
      <w:marLeft w:val="0"/>
      <w:marRight w:val="0"/>
      <w:marTop w:val="0"/>
      <w:marBottom w:val="0"/>
      <w:divBdr>
        <w:top w:val="none" w:sz="0" w:space="0" w:color="auto"/>
        <w:left w:val="none" w:sz="0" w:space="0" w:color="auto"/>
        <w:bottom w:val="none" w:sz="0" w:space="0" w:color="auto"/>
        <w:right w:val="none" w:sz="0" w:space="0" w:color="auto"/>
      </w:divBdr>
    </w:div>
    <w:div w:id="304816472">
      <w:bodyDiv w:val="1"/>
      <w:marLeft w:val="0"/>
      <w:marRight w:val="0"/>
      <w:marTop w:val="0"/>
      <w:marBottom w:val="0"/>
      <w:divBdr>
        <w:top w:val="none" w:sz="0" w:space="0" w:color="auto"/>
        <w:left w:val="none" w:sz="0" w:space="0" w:color="auto"/>
        <w:bottom w:val="none" w:sz="0" w:space="0" w:color="auto"/>
        <w:right w:val="none" w:sz="0" w:space="0" w:color="auto"/>
      </w:divBdr>
    </w:div>
    <w:div w:id="337580648">
      <w:bodyDiv w:val="1"/>
      <w:marLeft w:val="0"/>
      <w:marRight w:val="0"/>
      <w:marTop w:val="0"/>
      <w:marBottom w:val="0"/>
      <w:divBdr>
        <w:top w:val="none" w:sz="0" w:space="0" w:color="auto"/>
        <w:left w:val="none" w:sz="0" w:space="0" w:color="auto"/>
        <w:bottom w:val="none" w:sz="0" w:space="0" w:color="auto"/>
        <w:right w:val="none" w:sz="0" w:space="0" w:color="auto"/>
      </w:divBdr>
    </w:div>
    <w:div w:id="342048040">
      <w:bodyDiv w:val="1"/>
      <w:marLeft w:val="0"/>
      <w:marRight w:val="0"/>
      <w:marTop w:val="0"/>
      <w:marBottom w:val="0"/>
      <w:divBdr>
        <w:top w:val="none" w:sz="0" w:space="0" w:color="auto"/>
        <w:left w:val="none" w:sz="0" w:space="0" w:color="auto"/>
        <w:bottom w:val="none" w:sz="0" w:space="0" w:color="auto"/>
        <w:right w:val="none" w:sz="0" w:space="0" w:color="auto"/>
      </w:divBdr>
    </w:div>
    <w:div w:id="352341289">
      <w:bodyDiv w:val="1"/>
      <w:marLeft w:val="0"/>
      <w:marRight w:val="0"/>
      <w:marTop w:val="0"/>
      <w:marBottom w:val="0"/>
      <w:divBdr>
        <w:top w:val="none" w:sz="0" w:space="0" w:color="auto"/>
        <w:left w:val="none" w:sz="0" w:space="0" w:color="auto"/>
        <w:bottom w:val="none" w:sz="0" w:space="0" w:color="auto"/>
        <w:right w:val="none" w:sz="0" w:space="0" w:color="auto"/>
      </w:divBdr>
    </w:div>
    <w:div w:id="367997869">
      <w:bodyDiv w:val="1"/>
      <w:marLeft w:val="0"/>
      <w:marRight w:val="0"/>
      <w:marTop w:val="0"/>
      <w:marBottom w:val="0"/>
      <w:divBdr>
        <w:top w:val="none" w:sz="0" w:space="0" w:color="auto"/>
        <w:left w:val="none" w:sz="0" w:space="0" w:color="auto"/>
        <w:bottom w:val="none" w:sz="0" w:space="0" w:color="auto"/>
        <w:right w:val="none" w:sz="0" w:space="0" w:color="auto"/>
      </w:divBdr>
    </w:div>
    <w:div w:id="372390229">
      <w:bodyDiv w:val="1"/>
      <w:marLeft w:val="0"/>
      <w:marRight w:val="0"/>
      <w:marTop w:val="0"/>
      <w:marBottom w:val="0"/>
      <w:divBdr>
        <w:top w:val="none" w:sz="0" w:space="0" w:color="auto"/>
        <w:left w:val="none" w:sz="0" w:space="0" w:color="auto"/>
        <w:bottom w:val="none" w:sz="0" w:space="0" w:color="auto"/>
        <w:right w:val="none" w:sz="0" w:space="0" w:color="auto"/>
      </w:divBdr>
    </w:div>
    <w:div w:id="375280668">
      <w:bodyDiv w:val="1"/>
      <w:marLeft w:val="0"/>
      <w:marRight w:val="0"/>
      <w:marTop w:val="0"/>
      <w:marBottom w:val="0"/>
      <w:divBdr>
        <w:top w:val="none" w:sz="0" w:space="0" w:color="auto"/>
        <w:left w:val="none" w:sz="0" w:space="0" w:color="auto"/>
        <w:bottom w:val="none" w:sz="0" w:space="0" w:color="auto"/>
        <w:right w:val="none" w:sz="0" w:space="0" w:color="auto"/>
      </w:divBdr>
    </w:div>
    <w:div w:id="379403530">
      <w:bodyDiv w:val="1"/>
      <w:marLeft w:val="0"/>
      <w:marRight w:val="0"/>
      <w:marTop w:val="0"/>
      <w:marBottom w:val="0"/>
      <w:divBdr>
        <w:top w:val="none" w:sz="0" w:space="0" w:color="auto"/>
        <w:left w:val="none" w:sz="0" w:space="0" w:color="auto"/>
        <w:bottom w:val="none" w:sz="0" w:space="0" w:color="auto"/>
        <w:right w:val="none" w:sz="0" w:space="0" w:color="auto"/>
      </w:divBdr>
    </w:div>
    <w:div w:id="454447673">
      <w:bodyDiv w:val="1"/>
      <w:marLeft w:val="0"/>
      <w:marRight w:val="0"/>
      <w:marTop w:val="0"/>
      <w:marBottom w:val="0"/>
      <w:divBdr>
        <w:top w:val="none" w:sz="0" w:space="0" w:color="auto"/>
        <w:left w:val="none" w:sz="0" w:space="0" w:color="auto"/>
        <w:bottom w:val="none" w:sz="0" w:space="0" w:color="auto"/>
        <w:right w:val="none" w:sz="0" w:space="0" w:color="auto"/>
      </w:divBdr>
    </w:div>
    <w:div w:id="480539643">
      <w:bodyDiv w:val="1"/>
      <w:marLeft w:val="0"/>
      <w:marRight w:val="0"/>
      <w:marTop w:val="0"/>
      <w:marBottom w:val="0"/>
      <w:divBdr>
        <w:top w:val="none" w:sz="0" w:space="0" w:color="auto"/>
        <w:left w:val="none" w:sz="0" w:space="0" w:color="auto"/>
        <w:bottom w:val="none" w:sz="0" w:space="0" w:color="auto"/>
        <w:right w:val="none" w:sz="0" w:space="0" w:color="auto"/>
      </w:divBdr>
    </w:div>
    <w:div w:id="501743887">
      <w:bodyDiv w:val="1"/>
      <w:marLeft w:val="0"/>
      <w:marRight w:val="0"/>
      <w:marTop w:val="0"/>
      <w:marBottom w:val="0"/>
      <w:divBdr>
        <w:top w:val="none" w:sz="0" w:space="0" w:color="auto"/>
        <w:left w:val="none" w:sz="0" w:space="0" w:color="auto"/>
        <w:bottom w:val="none" w:sz="0" w:space="0" w:color="auto"/>
        <w:right w:val="none" w:sz="0" w:space="0" w:color="auto"/>
      </w:divBdr>
    </w:div>
    <w:div w:id="507334661">
      <w:bodyDiv w:val="1"/>
      <w:marLeft w:val="0"/>
      <w:marRight w:val="0"/>
      <w:marTop w:val="0"/>
      <w:marBottom w:val="0"/>
      <w:divBdr>
        <w:top w:val="none" w:sz="0" w:space="0" w:color="auto"/>
        <w:left w:val="none" w:sz="0" w:space="0" w:color="auto"/>
        <w:bottom w:val="none" w:sz="0" w:space="0" w:color="auto"/>
        <w:right w:val="none" w:sz="0" w:space="0" w:color="auto"/>
      </w:divBdr>
    </w:div>
    <w:div w:id="521629709">
      <w:bodyDiv w:val="1"/>
      <w:marLeft w:val="0"/>
      <w:marRight w:val="0"/>
      <w:marTop w:val="0"/>
      <w:marBottom w:val="0"/>
      <w:divBdr>
        <w:top w:val="none" w:sz="0" w:space="0" w:color="auto"/>
        <w:left w:val="none" w:sz="0" w:space="0" w:color="auto"/>
        <w:bottom w:val="none" w:sz="0" w:space="0" w:color="auto"/>
        <w:right w:val="none" w:sz="0" w:space="0" w:color="auto"/>
      </w:divBdr>
    </w:div>
    <w:div w:id="552156174">
      <w:bodyDiv w:val="1"/>
      <w:marLeft w:val="0"/>
      <w:marRight w:val="0"/>
      <w:marTop w:val="0"/>
      <w:marBottom w:val="0"/>
      <w:divBdr>
        <w:top w:val="none" w:sz="0" w:space="0" w:color="auto"/>
        <w:left w:val="none" w:sz="0" w:space="0" w:color="auto"/>
        <w:bottom w:val="none" w:sz="0" w:space="0" w:color="auto"/>
        <w:right w:val="none" w:sz="0" w:space="0" w:color="auto"/>
      </w:divBdr>
    </w:div>
    <w:div w:id="597524446">
      <w:bodyDiv w:val="1"/>
      <w:marLeft w:val="0"/>
      <w:marRight w:val="0"/>
      <w:marTop w:val="0"/>
      <w:marBottom w:val="0"/>
      <w:divBdr>
        <w:top w:val="none" w:sz="0" w:space="0" w:color="auto"/>
        <w:left w:val="none" w:sz="0" w:space="0" w:color="auto"/>
        <w:bottom w:val="none" w:sz="0" w:space="0" w:color="auto"/>
        <w:right w:val="none" w:sz="0" w:space="0" w:color="auto"/>
      </w:divBdr>
    </w:div>
    <w:div w:id="617756147">
      <w:bodyDiv w:val="1"/>
      <w:marLeft w:val="0"/>
      <w:marRight w:val="0"/>
      <w:marTop w:val="0"/>
      <w:marBottom w:val="0"/>
      <w:divBdr>
        <w:top w:val="none" w:sz="0" w:space="0" w:color="auto"/>
        <w:left w:val="none" w:sz="0" w:space="0" w:color="auto"/>
        <w:bottom w:val="none" w:sz="0" w:space="0" w:color="auto"/>
        <w:right w:val="none" w:sz="0" w:space="0" w:color="auto"/>
      </w:divBdr>
    </w:div>
    <w:div w:id="624428345">
      <w:bodyDiv w:val="1"/>
      <w:marLeft w:val="0"/>
      <w:marRight w:val="0"/>
      <w:marTop w:val="0"/>
      <w:marBottom w:val="0"/>
      <w:divBdr>
        <w:top w:val="none" w:sz="0" w:space="0" w:color="auto"/>
        <w:left w:val="none" w:sz="0" w:space="0" w:color="auto"/>
        <w:bottom w:val="none" w:sz="0" w:space="0" w:color="auto"/>
        <w:right w:val="none" w:sz="0" w:space="0" w:color="auto"/>
      </w:divBdr>
    </w:div>
    <w:div w:id="633677067">
      <w:bodyDiv w:val="1"/>
      <w:marLeft w:val="0"/>
      <w:marRight w:val="0"/>
      <w:marTop w:val="0"/>
      <w:marBottom w:val="0"/>
      <w:divBdr>
        <w:top w:val="none" w:sz="0" w:space="0" w:color="auto"/>
        <w:left w:val="none" w:sz="0" w:space="0" w:color="auto"/>
        <w:bottom w:val="none" w:sz="0" w:space="0" w:color="auto"/>
        <w:right w:val="none" w:sz="0" w:space="0" w:color="auto"/>
      </w:divBdr>
    </w:div>
    <w:div w:id="646127150">
      <w:bodyDiv w:val="1"/>
      <w:marLeft w:val="0"/>
      <w:marRight w:val="0"/>
      <w:marTop w:val="0"/>
      <w:marBottom w:val="0"/>
      <w:divBdr>
        <w:top w:val="none" w:sz="0" w:space="0" w:color="auto"/>
        <w:left w:val="none" w:sz="0" w:space="0" w:color="auto"/>
        <w:bottom w:val="none" w:sz="0" w:space="0" w:color="auto"/>
        <w:right w:val="none" w:sz="0" w:space="0" w:color="auto"/>
      </w:divBdr>
    </w:div>
    <w:div w:id="677662483">
      <w:bodyDiv w:val="1"/>
      <w:marLeft w:val="0"/>
      <w:marRight w:val="0"/>
      <w:marTop w:val="0"/>
      <w:marBottom w:val="0"/>
      <w:divBdr>
        <w:top w:val="none" w:sz="0" w:space="0" w:color="auto"/>
        <w:left w:val="none" w:sz="0" w:space="0" w:color="auto"/>
        <w:bottom w:val="none" w:sz="0" w:space="0" w:color="auto"/>
        <w:right w:val="none" w:sz="0" w:space="0" w:color="auto"/>
      </w:divBdr>
    </w:div>
    <w:div w:id="689143406">
      <w:bodyDiv w:val="1"/>
      <w:marLeft w:val="0"/>
      <w:marRight w:val="0"/>
      <w:marTop w:val="0"/>
      <w:marBottom w:val="0"/>
      <w:divBdr>
        <w:top w:val="none" w:sz="0" w:space="0" w:color="auto"/>
        <w:left w:val="none" w:sz="0" w:space="0" w:color="auto"/>
        <w:bottom w:val="none" w:sz="0" w:space="0" w:color="auto"/>
        <w:right w:val="none" w:sz="0" w:space="0" w:color="auto"/>
      </w:divBdr>
    </w:div>
    <w:div w:id="703285363">
      <w:bodyDiv w:val="1"/>
      <w:marLeft w:val="0"/>
      <w:marRight w:val="0"/>
      <w:marTop w:val="0"/>
      <w:marBottom w:val="0"/>
      <w:divBdr>
        <w:top w:val="none" w:sz="0" w:space="0" w:color="auto"/>
        <w:left w:val="none" w:sz="0" w:space="0" w:color="auto"/>
        <w:bottom w:val="none" w:sz="0" w:space="0" w:color="auto"/>
        <w:right w:val="none" w:sz="0" w:space="0" w:color="auto"/>
      </w:divBdr>
    </w:div>
    <w:div w:id="704598109">
      <w:bodyDiv w:val="1"/>
      <w:marLeft w:val="0"/>
      <w:marRight w:val="0"/>
      <w:marTop w:val="0"/>
      <w:marBottom w:val="0"/>
      <w:divBdr>
        <w:top w:val="none" w:sz="0" w:space="0" w:color="auto"/>
        <w:left w:val="none" w:sz="0" w:space="0" w:color="auto"/>
        <w:bottom w:val="none" w:sz="0" w:space="0" w:color="auto"/>
        <w:right w:val="none" w:sz="0" w:space="0" w:color="auto"/>
      </w:divBdr>
    </w:div>
    <w:div w:id="737436169">
      <w:bodyDiv w:val="1"/>
      <w:marLeft w:val="0"/>
      <w:marRight w:val="0"/>
      <w:marTop w:val="0"/>
      <w:marBottom w:val="0"/>
      <w:divBdr>
        <w:top w:val="none" w:sz="0" w:space="0" w:color="auto"/>
        <w:left w:val="none" w:sz="0" w:space="0" w:color="auto"/>
        <w:bottom w:val="none" w:sz="0" w:space="0" w:color="auto"/>
        <w:right w:val="none" w:sz="0" w:space="0" w:color="auto"/>
      </w:divBdr>
    </w:div>
    <w:div w:id="750128899">
      <w:bodyDiv w:val="1"/>
      <w:marLeft w:val="0"/>
      <w:marRight w:val="0"/>
      <w:marTop w:val="0"/>
      <w:marBottom w:val="0"/>
      <w:divBdr>
        <w:top w:val="none" w:sz="0" w:space="0" w:color="auto"/>
        <w:left w:val="none" w:sz="0" w:space="0" w:color="auto"/>
        <w:bottom w:val="none" w:sz="0" w:space="0" w:color="auto"/>
        <w:right w:val="none" w:sz="0" w:space="0" w:color="auto"/>
      </w:divBdr>
      <w:divsChild>
        <w:div w:id="1517647454">
          <w:marLeft w:val="0"/>
          <w:marRight w:val="0"/>
          <w:marTop w:val="0"/>
          <w:marBottom w:val="0"/>
          <w:divBdr>
            <w:top w:val="none" w:sz="0" w:space="0" w:color="auto"/>
            <w:left w:val="none" w:sz="0" w:space="0" w:color="auto"/>
            <w:bottom w:val="none" w:sz="0" w:space="0" w:color="auto"/>
            <w:right w:val="none" w:sz="0" w:space="0" w:color="auto"/>
          </w:divBdr>
          <w:divsChild>
            <w:div w:id="2049259286">
              <w:marLeft w:val="0"/>
              <w:marRight w:val="0"/>
              <w:marTop w:val="0"/>
              <w:marBottom w:val="0"/>
              <w:divBdr>
                <w:top w:val="none" w:sz="0" w:space="0" w:color="auto"/>
                <w:left w:val="none" w:sz="0" w:space="0" w:color="auto"/>
                <w:bottom w:val="none" w:sz="0" w:space="0" w:color="auto"/>
                <w:right w:val="none" w:sz="0" w:space="0" w:color="auto"/>
              </w:divBdr>
              <w:divsChild>
                <w:div w:id="751974977">
                  <w:marLeft w:val="0"/>
                  <w:marRight w:val="0"/>
                  <w:marTop w:val="0"/>
                  <w:marBottom w:val="0"/>
                  <w:divBdr>
                    <w:top w:val="none" w:sz="0" w:space="0" w:color="auto"/>
                    <w:left w:val="none" w:sz="0" w:space="0" w:color="auto"/>
                    <w:bottom w:val="none" w:sz="0" w:space="0" w:color="auto"/>
                    <w:right w:val="none" w:sz="0" w:space="0" w:color="auto"/>
                  </w:divBdr>
                  <w:divsChild>
                    <w:div w:id="468786753">
                      <w:marLeft w:val="0"/>
                      <w:marRight w:val="0"/>
                      <w:marTop w:val="0"/>
                      <w:marBottom w:val="0"/>
                      <w:divBdr>
                        <w:top w:val="none" w:sz="0" w:space="0" w:color="auto"/>
                        <w:left w:val="none" w:sz="0" w:space="0" w:color="auto"/>
                        <w:bottom w:val="none" w:sz="0" w:space="0" w:color="auto"/>
                        <w:right w:val="none" w:sz="0" w:space="0" w:color="auto"/>
                      </w:divBdr>
                      <w:divsChild>
                        <w:div w:id="1152332714">
                          <w:marLeft w:val="0"/>
                          <w:marRight w:val="0"/>
                          <w:marTop w:val="0"/>
                          <w:marBottom w:val="0"/>
                          <w:divBdr>
                            <w:top w:val="none" w:sz="0" w:space="0" w:color="auto"/>
                            <w:left w:val="none" w:sz="0" w:space="0" w:color="auto"/>
                            <w:bottom w:val="none" w:sz="0" w:space="0" w:color="auto"/>
                            <w:right w:val="none" w:sz="0" w:space="0" w:color="auto"/>
                          </w:divBdr>
                          <w:divsChild>
                            <w:div w:id="1076169160">
                              <w:marLeft w:val="0"/>
                              <w:marRight w:val="0"/>
                              <w:marTop w:val="0"/>
                              <w:marBottom w:val="0"/>
                              <w:divBdr>
                                <w:top w:val="none" w:sz="0" w:space="0" w:color="auto"/>
                                <w:left w:val="none" w:sz="0" w:space="0" w:color="auto"/>
                                <w:bottom w:val="none" w:sz="0" w:space="0" w:color="auto"/>
                                <w:right w:val="none" w:sz="0" w:space="0" w:color="auto"/>
                              </w:divBdr>
                              <w:divsChild>
                                <w:div w:id="2037610349">
                                  <w:marLeft w:val="0"/>
                                  <w:marRight w:val="0"/>
                                  <w:marTop w:val="0"/>
                                  <w:marBottom w:val="0"/>
                                  <w:divBdr>
                                    <w:top w:val="none" w:sz="0" w:space="0" w:color="auto"/>
                                    <w:left w:val="none" w:sz="0" w:space="0" w:color="auto"/>
                                    <w:bottom w:val="none" w:sz="0" w:space="0" w:color="auto"/>
                                    <w:right w:val="none" w:sz="0" w:space="0" w:color="auto"/>
                                  </w:divBdr>
                                  <w:divsChild>
                                    <w:div w:id="27797420">
                                      <w:marLeft w:val="0"/>
                                      <w:marRight w:val="0"/>
                                      <w:marTop w:val="0"/>
                                      <w:marBottom w:val="0"/>
                                      <w:divBdr>
                                        <w:top w:val="none" w:sz="0" w:space="0" w:color="auto"/>
                                        <w:left w:val="none" w:sz="0" w:space="0" w:color="auto"/>
                                        <w:bottom w:val="none" w:sz="0" w:space="0" w:color="auto"/>
                                        <w:right w:val="none" w:sz="0" w:space="0" w:color="auto"/>
                                      </w:divBdr>
                                      <w:divsChild>
                                        <w:div w:id="587155444">
                                          <w:marLeft w:val="0"/>
                                          <w:marRight w:val="0"/>
                                          <w:marTop w:val="0"/>
                                          <w:marBottom w:val="0"/>
                                          <w:divBdr>
                                            <w:top w:val="none" w:sz="0" w:space="0" w:color="auto"/>
                                            <w:left w:val="none" w:sz="0" w:space="0" w:color="auto"/>
                                            <w:bottom w:val="none" w:sz="0" w:space="0" w:color="auto"/>
                                            <w:right w:val="none" w:sz="0" w:space="0" w:color="auto"/>
                                          </w:divBdr>
                                          <w:divsChild>
                                            <w:div w:id="219630555">
                                              <w:marLeft w:val="0"/>
                                              <w:marRight w:val="0"/>
                                              <w:marTop w:val="0"/>
                                              <w:marBottom w:val="0"/>
                                              <w:divBdr>
                                                <w:top w:val="none" w:sz="0" w:space="0" w:color="auto"/>
                                                <w:left w:val="none" w:sz="0" w:space="0" w:color="auto"/>
                                                <w:bottom w:val="none" w:sz="0" w:space="0" w:color="auto"/>
                                                <w:right w:val="none" w:sz="0" w:space="0" w:color="auto"/>
                                              </w:divBdr>
                                              <w:divsChild>
                                                <w:div w:id="1676574512">
                                                  <w:marLeft w:val="0"/>
                                                  <w:marRight w:val="0"/>
                                                  <w:marTop w:val="0"/>
                                                  <w:marBottom w:val="0"/>
                                                  <w:divBdr>
                                                    <w:top w:val="none" w:sz="0" w:space="0" w:color="auto"/>
                                                    <w:left w:val="none" w:sz="0" w:space="0" w:color="auto"/>
                                                    <w:bottom w:val="none" w:sz="0" w:space="0" w:color="auto"/>
                                                    <w:right w:val="none" w:sz="0" w:space="0" w:color="auto"/>
                                                  </w:divBdr>
                                                  <w:divsChild>
                                                    <w:div w:id="1887057786">
                                                      <w:marLeft w:val="0"/>
                                                      <w:marRight w:val="0"/>
                                                      <w:marTop w:val="0"/>
                                                      <w:marBottom w:val="0"/>
                                                      <w:divBdr>
                                                        <w:top w:val="none" w:sz="0" w:space="0" w:color="auto"/>
                                                        <w:left w:val="none" w:sz="0" w:space="0" w:color="auto"/>
                                                        <w:bottom w:val="none" w:sz="0" w:space="0" w:color="auto"/>
                                                        <w:right w:val="none" w:sz="0" w:space="0" w:color="auto"/>
                                                      </w:divBdr>
                                                      <w:divsChild>
                                                        <w:div w:id="1178231321">
                                                          <w:marLeft w:val="0"/>
                                                          <w:marRight w:val="0"/>
                                                          <w:marTop w:val="0"/>
                                                          <w:marBottom w:val="0"/>
                                                          <w:divBdr>
                                                            <w:top w:val="none" w:sz="0" w:space="0" w:color="auto"/>
                                                            <w:left w:val="none" w:sz="0" w:space="0" w:color="auto"/>
                                                            <w:bottom w:val="none" w:sz="0" w:space="0" w:color="auto"/>
                                                            <w:right w:val="none" w:sz="0" w:space="0" w:color="auto"/>
                                                          </w:divBdr>
                                                          <w:divsChild>
                                                            <w:div w:id="17323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9595478">
      <w:bodyDiv w:val="1"/>
      <w:marLeft w:val="0"/>
      <w:marRight w:val="0"/>
      <w:marTop w:val="0"/>
      <w:marBottom w:val="0"/>
      <w:divBdr>
        <w:top w:val="none" w:sz="0" w:space="0" w:color="auto"/>
        <w:left w:val="none" w:sz="0" w:space="0" w:color="auto"/>
        <w:bottom w:val="none" w:sz="0" w:space="0" w:color="auto"/>
        <w:right w:val="none" w:sz="0" w:space="0" w:color="auto"/>
      </w:divBdr>
    </w:div>
    <w:div w:id="797525399">
      <w:bodyDiv w:val="1"/>
      <w:marLeft w:val="0"/>
      <w:marRight w:val="0"/>
      <w:marTop w:val="0"/>
      <w:marBottom w:val="0"/>
      <w:divBdr>
        <w:top w:val="none" w:sz="0" w:space="0" w:color="auto"/>
        <w:left w:val="none" w:sz="0" w:space="0" w:color="auto"/>
        <w:bottom w:val="none" w:sz="0" w:space="0" w:color="auto"/>
        <w:right w:val="none" w:sz="0" w:space="0" w:color="auto"/>
      </w:divBdr>
    </w:div>
    <w:div w:id="851651815">
      <w:bodyDiv w:val="1"/>
      <w:marLeft w:val="0"/>
      <w:marRight w:val="0"/>
      <w:marTop w:val="0"/>
      <w:marBottom w:val="0"/>
      <w:divBdr>
        <w:top w:val="none" w:sz="0" w:space="0" w:color="auto"/>
        <w:left w:val="none" w:sz="0" w:space="0" w:color="auto"/>
        <w:bottom w:val="none" w:sz="0" w:space="0" w:color="auto"/>
        <w:right w:val="none" w:sz="0" w:space="0" w:color="auto"/>
      </w:divBdr>
    </w:div>
    <w:div w:id="923611822">
      <w:bodyDiv w:val="1"/>
      <w:marLeft w:val="0"/>
      <w:marRight w:val="0"/>
      <w:marTop w:val="0"/>
      <w:marBottom w:val="0"/>
      <w:divBdr>
        <w:top w:val="none" w:sz="0" w:space="0" w:color="auto"/>
        <w:left w:val="none" w:sz="0" w:space="0" w:color="auto"/>
        <w:bottom w:val="none" w:sz="0" w:space="0" w:color="auto"/>
        <w:right w:val="none" w:sz="0" w:space="0" w:color="auto"/>
      </w:divBdr>
    </w:div>
    <w:div w:id="929002861">
      <w:bodyDiv w:val="1"/>
      <w:marLeft w:val="0"/>
      <w:marRight w:val="0"/>
      <w:marTop w:val="0"/>
      <w:marBottom w:val="0"/>
      <w:divBdr>
        <w:top w:val="none" w:sz="0" w:space="0" w:color="auto"/>
        <w:left w:val="none" w:sz="0" w:space="0" w:color="auto"/>
        <w:bottom w:val="none" w:sz="0" w:space="0" w:color="auto"/>
        <w:right w:val="none" w:sz="0" w:space="0" w:color="auto"/>
      </w:divBdr>
    </w:div>
    <w:div w:id="929241362">
      <w:bodyDiv w:val="1"/>
      <w:marLeft w:val="0"/>
      <w:marRight w:val="0"/>
      <w:marTop w:val="0"/>
      <w:marBottom w:val="0"/>
      <w:divBdr>
        <w:top w:val="none" w:sz="0" w:space="0" w:color="auto"/>
        <w:left w:val="none" w:sz="0" w:space="0" w:color="auto"/>
        <w:bottom w:val="none" w:sz="0" w:space="0" w:color="auto"/>
        <w:right w:val="none" w:sz="0" w:space="0" w:color="auto"/>
      </w:divBdr>
    </w:div>
    <w:div w:id="934247485">
      <w:bodyDiv w:val="1"/>
      <w:marLeft w:val="0"/>
      <w:marRight w:val="0"/>
      <w:marTop w:val="0"/>
      <w:marBottom w:val="0"/>
      <w:divBdr>
        <w:top w:val="none" w:sz="0" w:space="0" w:color="auto"/>
        <w:left w:val="none" w:sz="0" w:space="0" w:color="auto"/>
        <w:bottom w:val="none" w:sz="0" w:space="0" w:color="auto"/>
        <w:right w:val="none" w:sz="0" w:space="0" w:color="auto"/>
      </w:divBdr>
    </w:div>
    <w:div w:id="948463549">
      <w:bodyDiv w:val="1"/>
      <w:marLeft w:val="0"/>
      <w:marRight w:val="0"/>
      <w:marTop w:val="0"/>
      <w:marBottom w:val="0"/>
      <w:divBdr>
        <w:top w:val="none" w:sz="0" w:space="0" w:color="auto"/>
        <w:left w:val="none" w:sz="0" w:space="0" w:color="auto"/>
        <w:bottom w:val="none" w:sz="0" w:space="0" w:color="auto"/>
        <w:right w:val="none" w:sz="0" w:space="0" w:color="auto"/>
      </w:divBdr>
    </w:div>
    <w:div w:id="964585733">
      <w:bodyDiv w:val="1"/>
      <w:marLeft w:val="0"/>
      <w:marRight w:val="0"/>
      <w:marTop w:val="0"/>
      <w:marBottom w:val="0"/>
      <w:divBdr>
        <w:top w:val="none" w:sz="0" w:space="0" w:color="auto"/>
        <w:left w:val="none" w:sz="0" w:space="0" w:color="auto"/>
        <w:bottom w:val="none" w:sz="0" w:space="0" w:color="auto"/>
        <w:right w:val="none" w:sz="0" w:space="0" w:color="auto"/>
      </w:divBdr>
    </w:div>
    <w:div w:id="1001395554">
      <w:bodyDiv w:val="1"/>
      <w:marLeft w:val="0"/>
      <w:marRight w:val="0"/>
      <w:marTop w:val="0"/>
      <w:marBottom w:val="0"/>
      <w:divBdr>
        <w:top w:val="none" w:sz="0" w:space="0" w:color="auto"/>
        <w:left w:val="none" w:sz="0" w:space="0" w:color="auto"/>
        <w:bottom w:val="none" w:sz="0" w:space="0" w:color="auto"/>
        <w:right w:val="none" w:sz="0" w:space="0" w:color="auto"/>
      </w:divBdr>
    </w:div>
    <w:div w:id="1024940405">
      <w:bodyDiv w:val="1"/>
      <w:marLeft w:val="0"/>
      <w:marRight w:val="0"/>
      <w:marTop w:val="0"/>
      <w:marBottom w:val="0"/>
      <w:divBdr>
        <w:top w:val="none" w:sz="0" w:space="0" w:color="auto"/>
        <w:left w:val="none" w:sz="0" w:space="0" w:color="auto"/>
        <w:bottom w:val="none" w:sz="0" w:space="0" w:color="auto"/>
        <w:right w:val="none" w:sz="0" w:space="0" w:color="auto"/>
      </w:divBdr>
    </w:div>
    <w:div w:id="1041511818">
      <w:bodyDiv w:val="1"/>
      <w:marLeft w:val="0"/>
      <w:marRight w:val="0"/>
      <w:marTop w:val="0"/>
      <w:marBottom w:val="0"/>
      <w:divBdr>
        <w:top w:val="none" w:sz="0" w:space="0" w:color="auto"/>
        <w:left w:val="none" w:sz="0" w:space="0" w:color="auto"/>
        <w:bottom w:val="none" w:sz="0" w:space="0" w:color="auto"/>
        <w:right w:val="none" w:sz="0" w:space="0" w:color="auto"/>
      </w:divBdr>
    </w:div>
    <w:div w:id="1063523308">
      <w:bodyDiv w:val="1"/>
      <w:marLeft w:val="0"/>
      <w:marRight w:val="0"/>
      <w:marTop w:val="0"/>
      <w:marBottom w:val="0"/>
      <w:divBdr>
        <w:top w:val="none" w:sz="0" w:space="0" w:color="auto"/>
        <w:left w:val="none" w:sz="0" w:space="0" w:color="auto"/>
        <w:bottom w:val="none" w:sz="0" w:space="0" w:color="auto"/>
        <w:right w:val="none" w:sz="0" w:space="0" w:color="auto"/>
      </w:divBdr>
    </w:div>
    <w:div w:id="1084912988">
      <w:bodyDiv w:val="1"/>
      <w:marLeft w:val="0"/>
      <w:marRight w:val="0"/>
      <w:marTop w:val="0"/>
      <w:marBottom w:val="0"/>
      <w:divBdr>
        <w:top w:val="none" w:sz="0" w:space="0" w:color="auto"/>
        <w:left w:val="none" w:sz="0" w:space="0" w:color="auto"/>
        <w:bottom w:val="none" w:sz="0" w:space="0" w:color="auto"/>
        <w:right w:val="none" w:sz="0" w:space="0" w:color="auto"/>
      </w:divBdr>
    </w:div>
    <w:div w:id="1094473253">
      <w:bodyDiv w:val="1"/>
      <w:marLeft w:val="0"/>
      <w:marRight w:val="0"/>
      <w:marTop w:val="0"/>
      <w:marBottom w:val="0"/>
      <w:divBdr>
        <w:top w:val="none" w:sz="0" w:space="0" w:color="auto"/>
        <w:left w:val="none" w:sz="0" w:space="0" w:color="auto"/>
        <w:bottom w:val="none" w:sz="0" w:space="0" w:color="auto"/>
        <w:right w:val="none" w:sz="0" w:space="0" w:color="auto"/>
      </w:divBdr>
    </w:div>
    <w:div w:id="1123690269">
      <w:bodyDiv w:val="1"/>
      <w:marLeft w:val="0"/>
      <w:marRight w:val="0"/>
      <w:marTop w:val="0"/>
      <w:marBottom w:val="0"/>
      <w:divBdr>
        <w:top w:val="none" w:sz="0" w:space="0" w:color="auto"/>
        <w:left w:val="none" w:sz="0" w:space="0" w:color="auto"/>
        <w:bottom w:val="none" w:sz="0" w:space="0" w:color="auto"/>
        <w:right w:val="none" w:sz="0" w:space="0" w:color="auto"/>
      </w:divBdr>
    </w:div>
    <w:div w:id="1146971161">
      <w:bodyDiv w:val="1"/>
      <w:marLeft w:val="0"/>
      <w:marRight w:val="0"/>
      <w:marTop w:val="0"/>
      <w:marBottom w:val="0"/>
      <w:divBdr>
        <w:top w:val="none" w:sz="0" w:space="0" w:color="auto"/>
        <w:left w:val="none" w:sz="0" w:space="0" w:color="auto"/>
        <w:bottom w:val="none" w:sz="0" w:space="0" w:color="auto"/>
        <w:right w:val="none" w:sz="0" w:space="0" w:color="auto"/>
      </w:divBdr>
    </w:div>
    <w:div w:id="1160120131">
      <w:bodyDiv w:val="1"/>
      <w:marLeft w:val="0"/>
      <w:marRight w:val="0"/>
      <w:marTop w:val="0"/>
      <w:marBottom w:val="0"/>
      <w:divBdr>
        <w:top w:val="none" w:sz="0" w:space="0" w:color="auto"/>
        <w:left w:val="none" w:sz="0" w:space="0" w:color="auto"/>
        <w:bottom w:val="none" w:sz="0" w:space="0" w:color="auto"/>
        <w:right w:val="none" w:sz="0" w:space="0" w:color="auto"/>
      </w:divBdr>
    </w:div>
    <w:div w:id="1180125428">
      <w:bodyDiv w:val="1"/>
      <w:marLeft w:val="0"/>
      <w:marRight w:val="0"/>
      <w:marTop w:val="0"/>
      <w:marBottom w:val="0"/>
      <w:divBdr>
        <w:top w:val="none" w:sz="0" w:space="0" w:color="auto"/>
        <w:left w:val="none" w:sz="0" w:space="0" w:color="auto"/>
        <w:bottom w:val="none" w:sz="0" w:space="0" w:color="auto"/>
        <w:right w:val="none" w:sz="0" w:space="0" w:color="auto"/>
      </w:divBdr>
    </w:div>
    <w:div w:id="1189218058">
      <w:bodyDiv w:val="1"/>
      <w:marLeft w:val="0"/>
      <w:marRight w:val="0"/>
      <w:marTop w:val="0"/>
      <w:marBottom w:val="0"/>
      <w:divBdr>
        <w:top w:val="none" w:sz="0" w:space="0" w:color="auto"/>
        <w:left w:val="none" w:sz="0" w:space="0" w:color="auto"/>
        <w:bottom w:val="none" w:sz="0" w:space="0" w:color="auto"/>
        <w:right w:val="none" w:sz="0" w:space="0" w:color="auto"/>
      </w:divBdr>
    </w:div>
    <w:div w:id="1199465502">
      <w:bodyDiv w:val="1"/>
      <w:marLeft w:val="0"/>
      <w:marRight w:val="0"/>
      <w:marTop w:val="0"/>
      <w:marBottom w:val="0"/>
      <w:divBdr>
        <w:top w:val="none" w:sz="0" w:space="0" w:color="auto"/>
        <w:left w:val="none" w:sz="0" w:space="0" w:color="auto"/>
        <w:bottom w:val="none" w:sz="0" w:space="0" w:color="auto"/>
        <w:right w:val="none" w:sz="0" w:space="0" w:color="auto"/>
      </w:divBdr>
    </w:div>
    <w:div w:id="1207377231">
      <w:bodyDiv w:val="1"/>
      <w:marLeft w:val="0"/>
      <w:marRight w:val="0"/>
      <w:marTop w:val="0"/>
      <w:marBottom w:val="0"/>
      <w:divBdr>
        <w:top w:val="none" w:sz="0" w:space="0" w:color="auto"/>
        <w:left w:val="none" w:sz="0" w:space="0" w:color="auto"/>
        <w:bottom w:val="none" w:sz="0" w:space="0" w:color="auto"/>
        <w:right w:val="none" w:sz="0" w:space="0" w:color="auto"/>
      </w:divBdr>
    </w:div>
    <w:div w:id="1250575042">
      <w:bodyDiv w:val="1"/>
      <w:marLeft w:val="0"/>
      <w:marRight w:val="0"/>
      <w:marTop w:val="0"/>
      <w:marBottom w:val="0"/>
      <w:divBdr>
        <w:top w:val="none" w:sz="0" w:space="0" w:color="auto"/>
        <w:left w:val="none" w:sz="0" w:space="0" w:color="auto"/>
        <w:bottom w:val="none" w:sz="0" w:space="0" w:color="auto"/>
        <w:right w:val="none" w:sz="0" w:space="0" w:color="auto"/>
      </w:divBdr>
    </w:div>
    <w:div w:id="1300065287">
      <w:bodyDiv w:val="1"/>
      <w:marLeft w:val="0"/>
      <w:marRight w:val="0"/>
      <w:marTop w:val="0"/>
      <w:marBottom w:val="0"/>
      <w:divBdr>
        <w:top w:val="none" w:sz="0" w:space="0" w:color="auto"/>
        <w:left w:val="none" w:sz="0" w:space="0" w:color="auto"/>
        <w:bottom w:val="none" w:sz="0" w:space="0" w:color="auto"/>
        <w:right w:val="none" w:sz="0" w:space="0" w:color="auto"/>
      </w:divBdr>
    </w:div>
    <w:div w:id="1311446273">
      <w:bodyDiv w:val="1"/>
      <w:marLeft w:val="0"/>
      <w:marRight w:val="0"/>
      <w:marTop w:val="0"/>
      <w:marBottom w:val="0"/>
      <w:divBdr>
        <w:top w:val="none" w:sz="0" w:space="0" w:color="auto"/>
        <w:left w:val="none" w:sz="0" w:space="0" w:color="auto"/>
        <w:bottom w:val="none" w:sz="0" w:space="0" w:color="auto"/>
        <w:right w:val="none" w:sz="0" w:space="0" w:color="auto"/>
      </w:divBdr>
    </w:div>
    <w:div w:id="1348167607">
      <w:bodyDiv w:val="1"/>
      <w:marLeft w:val="0"/>
      <w:marRight w:val="0"/>
      <w:marTop w:val="0"/>
      <w:marBottom w:val="0"/>
      <w:divBdr>
        <w:top w:val="none" w:sz="0" w:space="0" w:color="auto"/>
        <w:left w:val="none" w:sz="0" w:space="0" w:color="auto"/>
        <w:bottom w:val="none" w:sz="0" w:space="0" w:color="auto"/>
        <w:right w:val="none" w:sz="0" w:space="0" w:color="auto"/>
      </w:divBdr>
    </w:div>
    <w:div w:id="1383746989">
      <w:bodyDiv w:val="1"/>
      <w:marLeft w:val="0"/>
      <w:marRight w:val="0"/>
      <w:marTop w:val="0"/>
      <w:marBottom w:val="0"/>
      <w:divBdr>
        <w:top w:val="none" w:sz="0" w:space="0" w:color="auto"/>
        <w:left w:val="none" w:sz="0" w:space="0" w:color="auto"/>
        <w:bottom w:val="none" w:sz="0" w:space="0" w:color="auto"/>
        <w:right w:val="none" w:sz="0" w:space="0" w:color="auto"/>
      </w:divBdr>
    </w:div>
    <w:div w:id="1393655443">
      <w:bodyDiv w:val="1"/>
      <w:marLeft w:val="0"/>
      <w:marRight w:val="0"/>
      <w:marTop w:val="0"/>
      <w:marBottom w:val="0"/>
      <w:divBdr>
        <w:top w:val="none" w:sz="0" w:space="0" w:color="auto"/>
        <w:left w:val="none" w:sz="0" w:space="0" w:color="auto"/>
        <w:bottom w:val="none" w:sz="0" w:space="0" w:color="auto"/>
        <w:right w:val="none" w:sz="0" w:space="0" w:color="auto"/>
      </w:divBdr>
    </w:div>
    <w:div w:id="1406802513">
      <w:bodyDiv w:val="1"/>
      <w:marLeft w:val="0"/>
      <w:marRight w:val="0"/>
      <w:marTop w:val="0"/>
      <w:marBottom w:val="0"/>
      <w:divBdr>
        <w:top w:val="none" w:sz="0" w:space="0" w:color="auto"/>
        <w:left w:val="none" w:sz="0" w:space="0" w:color="auto"/>
        <w:bottom w:val="none" w:sz="0" w:space="0" w:color="auto"/>
        <w:right w:val="none" w:sz="0" w:space="0" w:color="auto"/>
      </w:divBdr>
    </w:div>
    <w:div w:id="1423455485">
      <w:bodyDiv w:val="1"/>
      <w:marLeft w:val="0"/>
      <w:marRight w:val="0"/>
      <w:marTop w:val="0"/>
      <w:marBottom w:val="0"/>
      <w:divBdr>
        <w:top w:val="none" w:sz="0" w:space="0" w:color="auto"/>
        <w:left w:val="none" w:sz="0" w:space="0" w:color="auto"/>
        <w:bottom w:val="none" w:sz="0" w:space="0" w:color="auto"/>
        <w:right w:val="none" w:sz="0" w:space="0" w:color="auto"/>
      </w:divBdr>
    </w:div>
    <w:div w:id="1438796904">
      <w:bodyDiv w:val="1"/>
      <w:marLeft w:val="0"/>
      <w:marRight w:val="0"/>
      <w:marTop w:val="0"/>
      <w:marBottom w:val="0"/>
      <w:divBdr>
        <w:top w:val="none" w:sz="0" w:space="0" w:color="auto"/>
        <w:left w:val="none" w:sz="0" w:space="0" w:color="auto"/>
        <w:bottom w:val="none" w:sz="0" w:space="0" w:color="auto"/>
        <w:right w:val="none" w:sz="0" w:space="0" w:color="auto"/>
      </w:divBdr>
    </w:div>
    <w:div w:id="1463883045">
      <w:bodyDiv w:val="1"/>
      <w:marLeft w:val="0"/>
      <w:marRight w:val="0"/>
      <w:marTop w:val="0"/>
      <w:marBottom w:val="0"/>
      <w:divBdr>
        <w:top w:val="none" w:sz="0" w:space="0" w:color="auto"/>
        <w:left w:val="none" w:sz="0" w:space="0" w:color="auto"/>
        <w:bottom w:val="none" w:sz="0" w:space="0" w:color="auto"/>
        <w:right w:val="none" w:sz="0" w:space="0" w:color="auto"/>
      </w:divBdr>
    </w:div>
    <w:div w:id="1482843433">
      <w:bodyDiv w:val="1"/>
      <w:marLeft w:val="0"/>
      <w:marRight w:val="0"/>
      <w:marTop w:val="0"/>
      <w:marBottom w:val="0"/>
      <w:divBdr>
        <w:top w:val="none" w:sz="0" w:space="0" w:color="auto"/>
        <w:left w:val="none" w:sz="0" w:space="0" w:color="auto"/>
        <w:bottom w:val="none" w:sz="0" w:space="0" w:color="auto"/>
        <w:right w:val="none" w:sz="0" w:space="0" w:color="auto"/>
      </w:divBdr>
    </w:div>
    <w:div w:id="1509978154">
      <w:bodyDiv w:val="1"/>
      <w:marLeft w:val="0"/>
      <w:marRight w:val="0"/>
      <w:marTop w:val="0"/>
      <w:marBottom w:val="0"/>
      <w:divBdr>
        <w:top w:val="none" w:sz="0" w:space="0" w:color="auto"/>
        <w:left w:val="none" w:sz="0" w:space="0" w:color="auto"/>
        <w:bottom w:val="none" w:sz="0" w:space="0" w:color="auto"/>
        <w:right w:val="none" w:sz="0" w:space="0" w:color="auto"/>
      </w:divBdr>
    </w:div>
    <w:div w:id="1551653371">
      <w:bodyDiv w:val="1"/>
      <w:marLeft w:val="0"/>
      <w:marRight w:val="0"/>
      <w:marTop w:val="0"/>
      <w:marBottom w:val="0"/>
      <w:divBdr>
        <w:top w:val="none" w:sz="0" w:space="0" w:color="auto"/>
        <w:left w:val="none" w:sz="0" w:space="0" w:color="auto"/>
        <w:bottom w:val="none" w:sz="0" w:space="0" w:color="auto"/>
        <w:right w:val="none" w:sz="0" w:space="0" w:color="auto"/>
      </w:divBdr>
    </w:div>
    <w:div w:id="1592004247">
      <w:bodyDiv w:val="1"/>
      <w:marLeft w:val="0"/>
      <w:marRight w:val="0"/>
      <w:marTop w:val="0"/>
      <w:marBottom w:val="0"/>
      <w:divBdr>
        <w:top w:val="none" w:sz="0" w:space="0" w:color="auto"/>
        <w:left w:val="none" w:sz="0" w:space="0" w:color="auto"/>
        <w:bottom w:val="none" w:sz="0" w:space="0" w:color="auto"/>
        <w:right w:val="none" w:sz="0" w:space="0" w:color="auto"/>
      </w:divBdr>
    </w:div>
    <w:div w:id="1614357259">
      <w:bodyDiv w:val="1"/>
      <w:marLeft w:val="0"/>
      <w:marRight w:val="0"/>
      <w:marTop w:val="0"/>
      <w:marBottom w:val="0"/>
      <w:divBdr>
        <w:top w:val="none" w:sz="0" w:space="0" w:color="auto"/>
        <w:left w:val="none" w:sz="0" w:space="0" w:color="auto"/>
        <w:bottom w:val="none" w:sz="0" w:space="0" w:color="auto"/>
        <w:right w:val="none" w:sz="0" w:space="0" w:color="auto"/>
      </w:divBdr>
    </w:div>
    <w:div w:id="1627006202">
      <w:bodyDiv w:val="1"/>
      <w:marLeft w:val="0"/>
      <w:marRight w:val="0"/>
      <w:marTop w:val="0"/>
      <w:marBottom w:val="0"/>
      <w:divBdr>
        <w:top w:val="none" w:sz="0" w:space="0" w:color="auto"/>
        <w:left w:val="none" w:sz="0" w:space="0" w:color="auto"/>
        <w:bottom w:val="none" w:sz="0" w:space="0" w:color="auto"/>
        <w:right w:val="none" w:sz="0" w:space="0" w:color="auto"/>
      </w:divBdr>
    </w:div>
    <w:div w:id="1635867683">
      <w:bodyDiv w:val="1"/>
      <w:marLeft w:val="0"/>
      <w:marRight w:val="0"/>
      <w:marTop w:val="0"/>
      <w:marBottom w:val="0"/>
      <w:divBdr>
        <w:top w:val="none" w:sz="0" w:space="0" w:color="auto"/>
        <w:left w:val="none" w:sz="0" w:space="0" w:color="auto"/>
        <w:bottom w:val="none" w:sz="0" w:space="0" w:color="auto"/>
        <w:right w:val="none" w:sz="0" w:space="0" w:color="auto"/>
      </w:divBdr>
    </w:div>
    <w:div w:id="1656564013">
      <w:bodyDiv w:val="1"/>
      <w:marLeft w:val="0"/>
      <w:marRight w:val="0"/>
      <w:marTop w:val="0"/>
      <w:marBottom w:val="0"/>
      <w:divBdr>
        <w:top w:val="none" w:sz="0" w:space="0" w:color="auto"/>
        <w:left w:val="none" w:sz="0" w:space="0" w:color="auto"/>
        <w:bottom w:val="none" w:sz="0" w:space="0" w:color="auto"/>
        <w:right w:val="none" w:sz="0" w:space="0" w:color="auto"/>
      </w:divBdr>
      <w:divsChild>
        <w:div w:id="1849711455">
          <w:marLeft w:val="547"/>
          <w:marRight w:val="0"/>
          <w:marTop w:val="200"/>
          <w:marBottom w:val="0"/>
          <w:divBdr>
            <w:top w:val="none" w:sz="0" w:space="0" w:color="auto"/>
            <w:left w:val="none" w:sz="0" w:space="0" w:color="auto"/>
            <w:bottom w:val="none" w:sz="0" w:space="0" w:color="auto"/>
            <w:right w:val="none" w:sz="0" w:space="0" w:color="auto"/>
          </w:divBdr>
        </w:div>
      </w:divsChild>
    </w:div>
    <w:div w:id="1672176836">
      <w:bodyDiv w:val="1"/>
      <w:marLeft w:val="0"/>
      <w:marRight w:val="0"/>
      <w:marTop w:val="0"/>
      <w:marBottom w:val="0"/>
      <w:divBdr>
        <w:top w:val="none" w:sz="0" w:space="0" w:color="auto"/>
        <w:left w:val="none" w:sz="0" w:space="0" w:color="auto"/>
        <w:bottom w:val="none" w:sz="0" w:space="0" w:color="auto"/>
        <w:right w:val="none" w:sz="0" w:space="0" w:color="auto"/>
      </w:divBdr>
    </w:div>
    <w:div w:id="1687172776">
      <w:bodyDiv w:val="1"/>
      <w:marLeft w:val="0"/>
      <w:marRight w:val="0"/>
      <w:marTop w:val="0"/>
      <w:marBottom w:val="0"/>
      <w:divBdr>
        <w:top w:val="none" w:sz="0" w:space="0" w:color="auto"/>
        <w:left w:val="none" w:sz="0" w:space="0" w:color="auto"/>
        <w:bottom w:val="none" w:sz="0" w:space="0" w:color="auto"/>
        <w:right w:val="none" w:sz="0" w:space="0" w:color="auto"/>
      </w:divBdr>
    </w:div>
    <w:div w:id="1735468368">
      <w:bodyDiv w:val="1"/>
      <w:marLeft w:val="0"/>
      <w:marRight w:val="0"/>
      <w:marTop w:val="0"/>
      <w:marBottom w:val="0"/>
      <w:divBdr>
        <w:top w:val="none" w:sz="0" w:space="0" w:color="auto"/>
        <w:left w:val="none" w:sz="0" w:space="0" w:color="auto"/>
        <w:bottom w:val="none" w:sz="0" w:space="0" w:color="auto"/>
        <w:right w:val="none" w:sz="0" w:space="0" w:color="auto"/>
      </w:divBdr>
    </w:div>
    <w:div w:id="1738286952">
      <w:bodyDiv w:val="1"/>
      <w:marLeft w:val="0"/>
      <w:marRight w:val="0"/>
      <w:marTop w:val="0"/>
      <w:marBottom w:val="0"/>
      <w:divBdr>
        <w:top w:val="none" w:sz="0" w:space="0" w:color="auto"/>
        <w:left w:val="none" w:sz="0" w:space="0" w:color="auto"/>
        <w:bottom w:val="none" w:sz="0" w:space="0" w:color="auto"/>
        <w:right w:val="none" w:sz="0" w:space="0" w:color="auto"/>
      </w:divBdr>
    </w:div>
    <w:div w:id="1781603114">
      <w:bodyDiv w:val="1"/>
      <w:marLeft w:val="0"/>
      <w:marRight w:val="0"/>
      <w:marTop w:val="0"/>
      <w:marBottom w:val="0"/>
      <w:divBdr>
        <w:top w:val="none" w:sz="0" w:space="0" w:color="auto"/>
        <w:left w:val="none" w:sz="0" w:space="0" w:color="auto"/>
        <w:bottom w:val="none" w:sz="0" w:space="0" w:color="auto"/>
        <w:right w:val="none" w:sz="0" w:space="0" w:color="auto"/>
      </w:divBdr>
      <w:divsChild>
        <w:div w:id="2127117219">
          <w:marLeft w:val="0"/>
          <w:marRight w:val="0"/>
          <w:marTop w:val="0"/>
          <w:marBottom w:val="0"/>
          <w:divBdr>
            <w:top w:val="none" w:sz="0" w:space="0" w:color="auto"/>
            <w:left w:val="none" w:sz="0" w:space="0" w:color="auto"/>
            <w:bottom w:val="none" w:sz="0" w:space="0" w:color="auto"/>
            <w:right w:val="none" w:sz="0" w:space="0" w:color="auto"/>
          </w:divBdr>
          <w:divsChild>
            <w:div w:id="8194263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7134857">
      <w:bodyDiv w:val="1"/>
      <w:marLeft w:val="0"/>
      <w:marRight w:val="0"/>
      <w:marTop w:val="0"/>
      <w:marBottom w:val="0"/>
      <w:divBdr>
        <w:top w:val="none" w:sz="0" w:space="0" w:color="auto"/>
        <w:left w:val="none" w:sz="0" w:space="0" w:color="auto"/>
        <w:bottom w:val="none" w:sz="0" w:space="0" w:color="auto"/>
        <w:right w:val="none" w:sz="0" w:space="0" w:color="auto"/>
      </w:divBdr>
    </w:div>
    <w:div w:id="1800300345">
      <w:bodyDiv w:val="1"/>
      <w:marLeft w:val="0"/>
      <w:marRight w:val="0"/>
      <w:marTop w:val="0"/>
      <w:marBottom w:val="0"/>
      <w:divBdr>
        <w:top w:val="none" w:sz="0" w:space="0" w:color="auto"/>
        <w:left w:val="none" w:sz="0" w:space="0" w:color="auto"/>
        <w:bottom w:val="none" w:sz="0" w:space="0" w:color="auto"/>
        <w:right w:val="none" w:sz="0" w:space="0" w:color="auto"/>
      </w:divBdr>
    </w:div>
    <w:div w:id="1809320910">
      <w:bodyDiv w:val="1"/>
      <w:marLeft w:val="0"/>
      <w:marRight w:val="0"/>
      <w:marTop w:val="0"/>
      <w:marBottom w:val="0"/>
      <w:divBdr>
        <w:top w:val="none" w:sz="0" w:space="0" w:color="auto"/>
        <w:left w:val="none" w:sz="0" w:space="0" w:color="auto"/>
        <w:bottom w:val="none" w:sz="0" w:space="0" w:color="auto"/>
        <w:right w:val="none" w:sz="0" w:space="0" w:color="auto"/>
      </w:divBdr>
    </w:div>
    <w:div w:id="1820728389">
      <w:bodyDiv w:val="1"/>
      <w:marLeft w:val="0"/>
      <w:marRight w:val="0"/>
      <w:marTop w:val="0"/>
      <w:marBottom w:val="0"/>
      <w:divBdr>
        <w:top w:val="none" w:sz="0" w:space="0" w:color="auto"/>
        <w:left w:val="none" w:sz="0" w:space="0" w:color="auto"/>
        <w:bottom w:val="none" w:sz="0" w:space="0" w:color="auto"/>
        <w:right w:val="none" w:sz="0" w:space="0" w:color="auto"/>
      </w:divBdr>
    </w:div>
    <w:div w:id="1830444253">
      <w:bodyDiv w:val="1"/>
      <w:marLeft w:val="0"/>
      <w:marRight w:val="0"/>
      <w:marTop w:val="0"/>
      <w:marBottom w:val="0"/>
      <w:divBdr>
        <w:top w:val="none" w:sz="0" w:space="0" w:color="auto"/>
        <w:left w:val="none" w:sz="0" w:space="0" w:color="auto"/>
        <w:bottom w:val="none" w:sz="0" w:space="0" w:color="auto"/>
        <w:right w:val="none" w:sz="0" w:space="0" w:color="auto"/>
      </w:divBdr>
    </w:div>
    <w:div w:id="1831167675">
      <w:bodyDiv w:val="1"/>
      <w:marLeft w:val="0"/>
      <w:marRight w:val="0"/>
      <w:marTop w:val="0"/>
      <w:marBottom w:val="0"/>
      <w:divBdr>
        <w:top w:val="none" w:sz="0" w:space="0" w:color="auto"/>
        <w:left w:val="none" w:sz="0" w:space="0" w:color="auto"/>
        <w:bottom w:val="none" w:sz="0" w:space="0" w:color="auto"/>
        <w:right w:val="none" w:sz="0" w:space="0" w:color="auto"/>
      </w:divBdr>
    </w:div>
    <w:div w:id="1868131533">
      <w:bodyDiv w:val="1"/>
      <w:marLeft w:val="0"/>
      <w:marRight w:val="0"/>
      <w:marTop w:val="0"/>
      <w:marBottom w:val="0"/>
      <w:divBdr>
        <w:top w:val="none" w:sz="0" w:space="0" w:color="auto"/>
        <w:left w:val="none" w:sz="0" w:space="0" w:color="auto"/>
        <w:bottom w:val="none" w:sz="0" w:space="0" w:color="auto"/>
        <w:right w:val="none" w:sz="0" w:space="0" w:color="auto"/>
      </w:divBdr>
    </w:div>
    <w:div w:id="1879509131">
      <w:bodyDiv w:val="1"/>
      <w:marLeft w:val="0"/>
      <w:marRight w:val="0"/>
      <w:marTop w:val="0"/>
      <w:marBottom w:val="0"/>
      <w:divBdr>
        <w:top w:val="none" w:sz="0" w:space="0" w:color="auto"/>
        <w:left w:val="none" w:sz="0" w:space="0" w:color="auto"/>
        <w:bottom w:val="none" w:sz="0" w:space="0" w:color="auto"/>
        <w:right w:val="none" w:sz="0" w:space="0" w:color="auto"/>
      </w:divBdr>
    </w:div>
    <w:div w:id="1884251134">
      <w:bodyDiv w:val="1"/>
      <w:marLeft w:val="0"/>
      <w:marRight w:val="0"/>
      <w:marTop w:val="0"/>
      <w:marBottom w:val="0"/>
      <w:divBdr>
        <w:top w:val="none" w:sz="0" w:space="0" w:color="auto"/>
        <w:left w:val="none" w:sz="0" w:space="0" w:color="auto"/>
        <w:bottom w:val="none" w:sz="0" w:space="0" w:color="auto"/>
        <w:right w:val="none" w:sz="0" w:space="0" w:color="auto"/>
      </w:divBdr>
    </w:div>
    <w:div w:id="1886024601">
      <w:bodyDiv w:val="1"/>
      <w:marLeft w:val="0"/>
      <w:marRight w:val="0"/>
      <w:marTop w:val="0"/>
      <w:marBottom w:val="0"/>
      <w:divBdr>
        <w:top w:val="none" w:sz="0" w:space="0" w:color="auto"/>
        <w:left w:val="none" w:sz="0" w:space="0" w:color="auto"/>
        <w:bottom w:val="none" w:sz="0" w:space="0" w:color="auto"/>
        <w:right w:val="none" w:sz="0" w:space="0" w:color="auto"/>
      </w:divBdr>
    </w:div>
    <w:div w:id="1888373771">
      <w:bodyDiv w:val="1"/>
      <w:marLeft w:val="0"/>
      <w:marRight w:val="0"/>
      <w:marTop w:val="0"/>
      <w:marBottom w:val="0"/>
      <w:divBdr>
        <w:top w:val="none" w:sz="0" w:space="0" w:color="auto"/>
        <w:left w:val="none" w:sz="0" w:space="0" w:color="auto"/>
        <w:bottom w:val="none" w:sz="0" w:space="0" w:color="auto"/>
        <w:right w:val="none" w:sz="0" w:space="0" w:color="auto"/>
      </w:divBdr>
    </w:div>
    <w:div w:id="1902133590">
      <w:bodyDiv w:val="1"/>
      <w:marLeft w:val="0"/>
      <w:marRight w:val="0"/>
      <w:marTop w:val="0"/>
      <w:marBottom w:val="0"/>
      <w:divBdr>
        <w:top w:val="none" w:sz="0" w:space="0" w:color="auto"/>
        <w:left w:val="none" w:sz="0" w:space="0" w:color="auto"/>
        <w:bottom w:val="none" w:sz="0" w:space="0" w:color="auto"/>
        <w:right w:val="none" w:sz="0" w:space="0" w:color="auto"/>
      </w:divBdr>
    </w:div>
    <w:div w:id="1907566807">
      <w:bodyDiv w:val="1"/>
      <w:marLeft w:val="0"/>
      <w:marRight w:val="0"/>
      <w:marTop w:val="0"/>
      <w:marBottom w:val="0"/>
      <w:divBdr>
        <w:top w:val="none" w:sz="0" w:space="0" w:color="auto"/>
        <w:left w:val="none" w:sz="0" w:space="0" w:color="auto"/>
        <w:bottom w:val="none" w:sz="0" w:space="0" w:color="auto"/>
        <w:right w:val="none" w:sz="0" w:space="0" w:color="auto"/>
      </w:divBdr>
    </w:div>
    <w:div w:id="1925914729">
      <w:bodyDiv w:val="1"/>
      <w:marLeft w:val="0"/>
      <w:marRight w:val="0"/>
      <w:marTop w:val="0"/>
      <w:marBottom w:val="0"/>
      <w:divBdr>
        <w:top w:val="none" w:sz="0" w:space="0" w:color="auto"/>
        <w:left w:val="none" w:sz="0" w:space="0" w:color="auto"/>
        <w:bottom w:val="none" w:sz="0" w:space="0" w:color="auto"/>
        <w:right w:val="none" w:sz="0" w:space="0" w:color="auto"/>
      </w:divBdr>
    </w:div>
    <w:div w:id="1940795471">
      <w:bodyDiv w:val="1"/>
      <w:marLeft w:val="0"/>
      <w:marRight w:val="0"/>
      <w:marTop w:val="0"/>
      <w:marBottom w:val="0"/>
      <w:divBdr>
        <w:top w:val="none" w:sz="0" w:space="0" w:color="auto"/>
        <w:left w:val="none" w:sz="0" w:space="0" w:color="auto"/>
        <w:bottom w:val="none" w:sz="0" w:space="0" w:color="auto"/>
        <w:right w:val="none" w:sz="0" w:space="0" w:color="auto"/>
      </w:divBdr>
    </w:div>
    <w:div w:id="1979141917">
      <w:bodyDiv w:val="1"/>
      <w:marLeft w:val="0"/>
      <w:marRight w:val="0"/>
      <w:marTop w:val="0"/>
      <w:marBottom w:val="0"/>
      <w:divBdr>
        <w:top w:val="none" w:sz="0" w:space="0" w:color="auto"/>
        <w:left w:val="none" w:sz="0" w:space="0" w:color="auto"/>
        <w:bottom w:val="none" w:sz="0" w:space="0" w:color="auto"/>
        <w:right w:val="none" w:sz="0" w:space="0" w:color="auto"/>
      </w:divBdr>
    </w:div>
    <w:div w:id="2017146499">
      <w:bodyDiv w:val="1"/>
      <w:marLeft w:val="0"/>
      <w:marRight w:val="0"/>
      <w:marTop w:val="0"/>
      <w:marBottom w:val="0"/>
      <w:divBdr>
        <w:top w:val="none" w:sz="0" w:space="0" w:color="auto"/>
        <w:left w:val="none" w:sz="0" w:space="0" w:color="auto"/>
        <w:bottom w:val="none" w:sz="0" w:space="0" w:color="auto"/>
        <w:right w:val="none" w:sz="0" w:space="0" w:color="auto"/>
      </w:divBdr>
    </w:div>
    <w:div w:id="2044094948">
      <w:bodyDiv w:val="1"/>
      <w:marLeft w:val="0"/>
      <w:marRight w:val="0"/>
      <w:marTop w:val="0"/>
      <w:marBottom w:val="0"/>
      <w:divBdr>
        <w:top w:val="none" w:sz="0" w:space="0" w:color="auto"/>
        <w:left w:val="none" w:sz="0" w:space="0" w:color="auto"/>
        <w:bottom w:val="none" w:sz="0" w:space="0" w:color="auto"/>
        <w:right w:val="none" w:sz="0" w:space="0" w:color="auto"/>
      </w:divBdr>
    </w:div>
    <w:div w:id="2048793809">
      <w:bodyDiv w:val="1"/>
      <w:marLeft w:val="0"/>
      <w:marRight w:val="0"/>
      <w:marTop w:val="0"/>
      <w:marBottom w:val="0"/>
      <w:divBdr>
        <w:top w:val="none" w:sz="0" w:space="0" w:color="auto"/>
        <w:left w:val="none" w:sz="0" w:space="0" w:color="auto"/>
        <w:bottom w:val="none" w:sz="0" w:space="0" w:color="auto"/>
        <w:right w:val="none" w:sz="0" w:space="0" w:color="auto"/>
      </w:divBdr>
    </w:div>
    <w:div w:id="2058507792">
      <w:bodyDiv w:val="1"/>
      <w:marLeft w:val="0"/>
      <w:marRight w:val="0"/>
      <w:marTop w:val="0"/>
      <w:marBottom w:val="0"/>
      <w:divBdr>
        <w:top w:val="none" w:sz="0" w:space="0" w:color="auto"/>
        <w:left w:val="none" w:sz="0" w:space="0" w:color="auto"/>
        <w:bottom w:val="none" w:sz="0" w:space="0" w:color="auto"/>
        <w:right w:val="none" w:sz="0" w:space="0" w:color="auto"/>
      </w:divBdr>
    </w:div>
    <w:div w:id="2081126765">
      <w:bodyDiv w:val="1"/>
      <w:marLeft w:val="0"/>
      <w:marRight w:val="0"/>
      <w:marTop w:val="0"/>
      <w:marBottom w:val="0"/>
      <w:divBdr>
        <w:top w:val="none" w:sz="0" w:space="0" w:color="auto"/>
        <w:left w:val="none" w:sz="0" w:space="0" w:color="auto"/>
        <w:bottom w:val="none" w:sz="0" w:space="0" w:color="auto"/>
        <w:right w:val="none" w:sz="0" w:space="0" w:color="auto"/>
      </w:divBdr>
      <w:divsChild>
        <w:div w:id="1913156019">
          <w:marLeft w:val="547"/>
          <w:marRight w:val="0"/>
          <w:marTop w:val="200"/>
          <w:marBottom w:val="0"/>
          <w:divBdr>
            <w:top w:val="none" w:sz="0" w:space="0" w:color="auto"/>
            <w:left w:val="none" w:sz="0" w:space="0" w:color="auto"/>
            <w:bottom w:val="none" w:sz="0" w:space="0" w:color="auto"/>
            <w:right w:val="none" w:sz="0" w:space="0" w:color="auto"/>
          </w:divBdr>
        </w:div>
      </w:divsChild>
    </w:div>
    <w:div w:id="2086687814">
      <w:bodyDiv w:val="1"/>
      <w:marLeft w:val="0"/>
      <w:marRight w:val="0"/>
      <w:marTop w:val="0"/>
      <w:marBottom w:val="0"/>
      <w:divBdr>
        <w:top w:val="none" w:sz="0" w:space="0" w:color="auto"/>
        <w:left w:val="none" w:sz="0" w:space="0" w:color="auto"/>
        <w:bottom w:val="none" w:sz="0" w:space="0" w:color="auto"/>
        <w:right w:val="none" w:sz="0" w:space="0" w:color="auto"/>
      </w:divBdr>
    </w:div>
    <w:div w:id="2100129105">
      <w:bodyDiv w:val="1"/>
      <w:marLeft w:val="0"/>
      <w:marRight w:val="0"/>
      <w:marTop w:val="0"/>
      <w:marBottom w:val="0"/>
      <w:divBdr>
        <w:top w:val="none" w:sz="0" w:space="0" w:color="auto"/>
        <w:left w:val="none" w:sz="0" w:space="0" w:color="auto"/>
        <w:bottom w:val="none" w:sz="0" w:space="0" w:color="auto"/>
        <w:right w:val="none" w:sz="0" w:space="0" w:color="auto"/>
      </w:divBdr>
    </w:div>
    <w:div w:id="2101489789">
      <w:bodyDiv w:val="1"/>
      <w:marLeft w:val="0"/>
      <w:marRight w:val="0"/>
      <w:marTop w:val="0"/>
      <w:marBottom w:val="0"/>
      <w:divBdr>
        <w:top w:val="none" w:sz="0" w:space="0" w:color="auto"/>
        <w:left w:val="none" w:sz="0" w:space="0" w:color="auto"/>
        <w:bottom w:val="none" w:sz="0" w:space="0" w:color="auto"/>
        <w:right w:val="none" w:sz="0" w:space="0" w:color="auto"/>
      </w:divBdr>
    </w:div>
    <w:div w:id="2109811311">
      <w:bodyDiv w:val="1"/>
      <w:marLeft w:val="0"/>
      <w:marRight w:val="0"/>
      <w:marTop w:val="0"/>
      <w:marBottom w:val="0"/>
      <w:divBdr>
        <w:top w:val="none" w:sz="0" w:space="0" w:color="auto"/>
        <w:left w:val="none" w:sz="0" w:space="0" w:color="auto"/>
        <w:bottom w:val="none" w:sz="0" w:space="0" w:color="auto"/>
        <w:right w:val="none" w:sz="0" w:space="0" w:color="auto"/>
      </w:divBdr>
    </w:div>
    <w:div w:id="2127888873">
      <w:bodyDiv w:val="1"/>
      <w:marLeft w:val="0"/>
      <w:marRight w:val="0"/>
      <w:marTop w:val="0"/>
      <w:marBottom w:val="0"/>
      <w:divBdr>
        <w:top w:val="none" w:sz="0" w:space="0" w:color="auto"/>
        <w:left w:val="none" w:sz="0" w:space="0" w:color="auto"/>
        <w:bottom w:val="none" w:sz="0" w:space="0" w:color="auto"/>
        <w:right w:val="none" w:sz="0" w:space="0" w:color="auto"/>
      </w:divBdr>
    </w:div>
    <w:div w:id="2129469553">
      <w:bodyDiv w:val="1"/>
      <w:marLeft w:val="0"/>
      <w:marRight w:val="0"/>
      <w:marTop w:val="0"/>
      <w:marBottom w:val="0"/>
      <w:divBdr>
        <w:top w:val="none" w:sz="0" w:space="0" w:color="auto"/>
        <w:left w:val="none" w:sz="0" w:space="0" w:color="auto"/>
        <w:bottom w:val="none" w:sz="0" w:space="0" w:color="auto"/>
        <w:right w:val="none" w:sz="0" w:space="0" w:color="auto"/>
      </w:divBdr>
    </w:div>
    <w:div w:id="214230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chart" Target="charts/chart3.xml"/><Relationship Id="rId34" Type="http://schemas.openxmlformats.org/officeDocument/2006/relationships/chart" Target="charts/chart13.xml"/><Relationship Id="rId42" Type="http://schemas.openxmlformats.org/officeDocument/2006/relationships/hyperlink" Target="mailto:ppi@pristupinfo.h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s://pristupinfo.hr/dokumenti-i-publikacije-izvjesca-o-provedbi-zppi/analiticka-izvjes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om.pristupinfo.hr" TargetMode="Externa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8.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chart" Target="charts/chart15.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chart" Target="charts/chart10.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https://sudovi.hr/hr/vusrh/pristup-informacijama/odluke-pravo-na-pristup-informacijama-2024-godina" TargetMode="External"/><Relationship Id="rId33" Type="http://schemas.openxmlformats.org/officeDocument/2006/relationships/chart" Target="charts/chart12.xml"/><Relationship Id="rId38" Type="http://schemas.openxmlformats.org/officeDocument/2006/relationships/hyperlink" Target="https://pristupinfo.hr/dokumenti-i-publikacije/analiticka-izvjesca/" TargetMode="External"/><Relationship Id="rId46"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chart" Target="charts/chart1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ristupinfo.sharepoint.com/sites/JAVNI/00_GI_Radno/Statistika%202025/Statistika%20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pristupinfo.sharepoint.com/sites/JAVNI/00_GI_Radno/Statistika%202025/Statistika%2020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pristupinfo.sharepoint.com/sites/JAVNI/00_GI_Radno/Statistika%202025/Statistika%20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ppi\D\POVINFO_JAVNI\0%20GI%202024\Statistika\Statistika%202024%20-%20bk.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pristupinfo.sharepoint.com/sites/JAVNI/00_GI_Radno/Statistika%202025/Statistika%20202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Tanja\Documents\razno\7%20GODI&#352;NJE%20IZVJE&#352;&#262;E\2025\radne%20tablic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pristupinfo.sharepoint.com/sites/JAVNI/00_GI_Radno/Dijelovi%20Izvjesca%20za%20pregled/6.1.%20i%206.3.%20Predstavke,%20upiti,%20info%20telefon/Predstavke%20statistika%20GI%202025%20(M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ristupinfo.sharepoint.com/sites/JAVNI/00_GI_Radno/Statistika%202025/Statistika%20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List1!$A$30</c:f>
              <c:strCache>
                <c:ptCount val="1"/>
                <c:pt idx="0">
                  <c:v>Broj TJV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List1!$B$29:$F$29</c:f>
              <c:numCache>
                <c:formatCode>General</c:formatCode>
                <c:ptCount val="5"/>
                <c:pt idx="0">
                  <c:v>2021</c:v>
                </c:pt>
                <c:pt idx="1">
                  <c:v>2022</c:v>
                </c:pt>
                <c:pt idx="2">
                  <c:v>2023</c:v>
                </c:pt>
                <c:pt idx="3">
                  <c:v>2024</c:v>
                </c:pt>
                <c:pt idx="4">
                  <c:v>2025</c:v>
                </c:pt>
              </c:numCache>
            </c:numRef>
          </c:cat>
          <c:val>
            <c:numRef>
              <c:f>List1!$B$30:$F$30</c:f>
              <c:numCache>
                <c:formatCode>#,##0</c:formatCode>
                <c:ptCount val="5"/>
                <c:pt idx="0">
                  <c:v>5186</c:v>
                </c:pt>
                <c:pt idx="1">
                  <c:v>5323</c:v>
                </c:pt>
                <c:pt idx="2">
                  <c:v>5312</c:v>
                </c:pt>
                <c:pt idx="3">
                  <c:v>5330</c:v>
                </c:pt>
                <c:pt idx="4">
                  <c:v>5280</c:v>
                </c:pt>
              </c:numCache>
            </c:numRef>
          </c:val>
          <c:extLst>
            <c:ext xmlns:c16="http://schemas.microsoft.com/office/drawing/2014/chart" uri="{C3380CC4-5D6E-409C-BE32-E72D297353CC}">
              <c16:uniqueId val="{00000000-1B30-4FDA-8F0E-027F6DB43EEB}"/>
            </c:ext>
          </c:extLst>
        </c:ser>
        <c:dLbls>
          <c:showLegendKey val="0"/>
          <c:showVal val="1"/>
          <c:showCatName val="0"/>
          <c:showSerName val="0"/>
          <c:showPercent val="0"/>
          <c:showBubbleSize val="0"/>
        </c:dLbls>
        <c:gapWidth val="70"/>
        <c:axId val="119720944"/>
        <c:axId val="119718064"/>
      </c:barChart>
      <c:lineChart>
        <c:grouping val="standard"/>
        <c:varyColors val="0"/>
        <c:ser>
          <c:idx val="1"/>
          <c:order val="1"/>
          <c:tx>
            <c:strRef>
              <c:f>List1!$A$31</c:f>
              <c:strCache>
                <c:ptCount val="1"/>
                <c:pt idx="0">
                  <c:v>Broj tijela bez službenika za informiranje</c:v>
                </c:pt>
              </c:strCache>
            </c:strRef>
          </c:tx>
          <c:spPr>
            <a:ln w="28575" cap="rnd">
              <a:solidFill>
                <a:schemeClr val="accent2"/>
              </a:solidFill>
              <a:round/>
            </a:ln>
            <a:effectLst/>
          </c:spPr>
          <c:marker>
            <c:symbol val="none"/>
          </c:marker>
          <c:dLbls>
            <c:dLbl>
              <c:idx val="1"/>
              <c:numFmt formatCode="General"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30-4FDA-8F0E-027F6DB43EEB}"/>
                </c:ext>
              </c:extLst>
            </c:dLbl>
            <c:dLbl>
              <c:idx val="2"/>
              <c:numFmt formatCode="General"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30-4FDA-8F0E-027F6DB43EEB}"/>
                </c:ext>
              </c:extLst>
            </c:dLbl>
            <c:dLbl>
              <c:idx val="3"/>
              <c:numFmt formatCode="General"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30-4FDA-8F0E-027F6DB43EEB}"/>
                </c:ext>
              </c:extLst>
            </c:dLbl>
            <c:dLbl>
              <c:idx val="4"/>
              <c:numFmt formatCode="General"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30-4FDA-8F0E-027F6DB43EEB}"/>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List1!$B$29:$F$29</c:f>
              <c:numCache>
                <c:formatCode>General</c:formatCode>
                <c:ptCount val="5"/>
                <c:pt idx="0">
                  <c:v>2021</c:v>
                </c:pt>
                <c:pt idx="1">
                  <c:v>2022</c:v>
                </c:pt>
                <c:pt idx="2">
                  <c:v>2023</c:v>
                </c:pt>
                <c:pt idx="3">
                  <c:v>2024</c:v>
                </c:pt>
                <c:pt idx="4">
                  <c:v>2025</c:v>
                </c:pt>
              </c:numCache>
            </c:numRef>
          </c:cat>
          <c:val>
            <c:numRef>
              <c:f>List1!$B$31:$F$31</c:f>
              <c:numCache>
                <c:formatCode>#,##0</c:formatCode>
                <c:ptCount val="5"/>
                <c:pt idx="0">
                  <c:v>298</c:v>
                </c:pt>
                <c:pt idx="1">
                  <c:v>272</c:v>
                </c:pt>
                <c:pt idx="2">
                  <c:v>251</c:v>
                </c:pt>
                <c:pt idx="3">
                  <c:v>233</c:v>
                </c:pt>
                <c:pt idx="4">
                  <c:v>208</c:v>
                </c:pt>
              </c:numCache>
            </c:numRef>
          </c:val>
          <c:smooth val="0"/>
          <c:extLst>
            <c:ext xmlns:c16="http://schemas.microsoft.com/office/drawing/2014/chart" uri="{C3380CC4-5D6E-409C-BE32-E72D297353CC}">
              <c16:uniqueId val="{00000001-1B30-4FDA-8F0E-027F6DB43EEB}"/>
            </c:ext>
          </c:extLst>
        </c:ser>
        <c:dLbls>
          <c:showLegendKey val="0"/>
          <c:showVal val="1"/>
          <c:showCatName val="0"/>
          <c:showSerName val="0"/>
          <c:showPercent val="0"/>
          <c:showBubbleSize val="0"/>
        </c:dLbls>
        <c:marker val="1"/>
        <c:smooth val="0"/>
        <c:axId val="1935278080"/>
        <c:axId val="1935281440"/>
      </c:lineChart>
      <c:catAx>
        <c:axId val="11972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718064"/>
        <c:crosses val="autoZero"/>
        <c:auto val="1"/>
        <c:lblAlgn val="ctr"/>
        <c:lblOffset val="100"/>
        <c:noMultiLvlLbl val="0"/>
      </c:catAx>
      <c:valAx>
        <c:axId val="1197180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119720944"/>
        <c:crosses val="autoZero"/>
        <c:crossBetween val="between"/>
      </c:valAx>
      <c:valAx>
        <c:axId val="193528144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1935278080"/>
        <c:crosses val="max"/>
        <c:crossBetween val="between"/>
      </c:valAx>
      <c:catAx>
        <c:axId val="1935278080"/>
        <c:scaling>
          <c:orientation val="minMax"/>
        </c:scaling>
        <c:delete val="1"/>
        <c:axPos val="b"/>
        <c:numFmt formatCode="General" sourceLinked="1"/>
        <c:majorTickMark val="out"/>
        <c:minorTickMark val="none"/>
        <c:tickLblPos val="nextTo"/>
        <c:crossAx val="19352814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150543682039743"/>
          <c:y val="1.8064807496895111E-2"/>
          <c:w val="0.48127022316654861"/>
          <c:h val="0.88327431748010155"/>
        </c:manualLayout>
      </c:layout>
      <c:barChart>
        <c:barDir val="bar"/>
        <c:grouping val="percentStacked"/>
        <c:varyColors val="0"/>
        <c:ser>
          <c:idx val="0"/>
          <c:order val="0"/>
          <c:tx>
            <c:v>Da</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Nova'!$A$6:$A$16</c:f>
              <c:strCache>
                <c:ptCount val="11"/>
                <c:pt idx="0">
                  <c:v>objava općeg akta o jednostavnoj nabavi</c:v>
                </c:pt>
                <c:pt idx="1">
                  <c:v>objava obavijesti o sukobu interesa sukladno ZJN</c:v>
                </c:pt>
                <c:pt idx="2">
                  <c:v>objava registra ugovora javne nabave</c:v>
                </c:pt>
                <c:pt idx="3">
                  <c:v>objava plana nabave</c:v>
                </c:pt>
                <c:pt idx="4">
                  <c:v>objava popisa korisnika donacija i sponzorstava</c:v>
                </c:pt>
                <c:pt idx="5">
                  <c:v>objava izvješća o izvršenju proračuna ili financijskog plana</c:v>
                </c:pt>
                <c:pt idx="6">
                  <c:v>objava financijskog izvješća</c:v>
                </c:pt>
                <c:pt idx="7">
                  <c:v>objava proračuna/financijskog plana</c:v>
                </c:pt>
                <c:pt idx="8">
                  <c:v>objava izvješća o radu</c:v>
                </c:pt>
                <c:pt idx="9">
                  <c:v>objava strateških dokumenata</c:v>
                </c:pt>
                <c:pt idx="10">
                  <c:v>objava godišnjih planova rada</c:v>
                </c:pt>
              </c:strCache>
            </c:strRef>
          </c:cat>
          <c:val>
            <c:numRef>
              <c:f>'Grafovi Proaktivna Nova'!$B$6:$B$16</c:f>
              <c:numCache>
                <c:formatCode>General</c:formatCode>
                <c:ptCount val="11"/>
                <c:pt idx="0">
                  <c:v>4213</c:v>
                </c:pt>
                <c:pt idx="1">
                  <c:v>3065</c:v>
                </c:pt>
                <c:pt idx="2">
                  <c:v>3306</c:v>
                </c:pt>
                <c:pt idx="3">
                  <c:v>4031</c:v>
                </c:pt>
                <c:pt idx="4">
                  <c:v>2112</c:v>
                </c:pt>
                <c:pt idx="5">
                  <c:v>4484</c:v>
                </c:pt>
                <c:pt idx="6">
                  <c:v>4649</c:v>
                </c:pt>
                <c:pt idx="7">
                  <c:v>4637</c:v>
                </c:pt>
                <c:pt idx="8">
                  <c:v>4025</c:v>
                </c:pt>
                <c:pt idx="9">
                  <c:v>3676</c:v>
                </c:pt>
                <c:pt idx="10">
                  <c:v>4413</c:v>
                </c:pt>
              </c:numCache>
            </c:numRef>
          </c:val>
          <c:extLst>
            <c:ext xmlns:c16="http://schemas.microsoft.com/office/drawing/2014/chart" uri="{C3380CC4-5D6E-409C-BE32-E72D297353CC}">
              <c16:uniqueId val="{00000000-A731-C84A-B443-EA78BC0A887C}"/>
            </c:ext>
          </c:extLst>
        </c:ser>
        <c:ser>
          <c:idx val="1"/>
          <c:order val="1"/>
          <c:tx>
            <c:v>Ne</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3"/>
              <c:layout>
                <c:manualLayout>
                  <c:x val="-2.8659611992945325E-2"/>
                  <c:y val="8.27960778934121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CE-4E1F-89CF-F967504C356D}"/>
                </c:ext>
              </c:extLst>
            </c:dLbl>
            <c:dLbl>
              <c:idx val="9"/>
              <c:layout>
                <c:manualLayout>
                  <c:x val="-8.8183421516754845E-3"/>
                  <c:y val="-3.1115564094061463E-4"/>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4.6693121693121696E-2"/>
                      <c:h val="3.926771026797559E-2"/>
                    </c:manualLayout>
                  </c15:layout>
                </c:ext>
                <c:ext xmlns:c16="http://schemas.microsoft.com/office/drawing/2014/chart" uri="{C3380CC4-5D6E-409C-BE32-E72D297353CC}">
                  <c16:uniqueId val="{00000004-A731-C84A-B443-EA78BC0A887C}"/>
                </c:ext>
              </c:extLst>
            </c:dLbl>
            <c:dLbl>
              <c:idx val="10"/>
              <c:layout>
                <c:manualLayout>
                  <c:x val="-1.984126984126984E-2"/>
                  <c:y val="1.1745680937449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CE-4E1F-89CF-F967504C356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Nova'!$A$6:$A$16</c:f>
              <c:strCache>
                <c:ptCount val="11"/>
                <c:pt idx="0">
                  <c:v>objava općeg akta o jednostavnoj nabavi</c:v>
                </c:pt>
                <c:pt idx="1">
                  <c:v>objava obavijesti o sukobu interesa sukladno ZJN</c:v>
                </c:pt>
                <c:pt idx="2">
                  <c:v>objava registra ugovora javne nabave</c:v>
                </c:pt>
                <c:pt idx="3">
                  <c:v>objava plana nabave</c:v>
                </c:pt>
                <c:pt idx="4">
                  <c:v>objava popisa korisnika donacija i sponzorstava</c:v>
                </c:pt>
                <c:pt idx="5">
                  <c:v>objava izvješća o izvršenju proračuna ili financijskog plana</c:v>
                </c:pt>
                <c:pt idx="6">
                  <c:v>objava financijskog izvješća</c:v>
                </c:pt>
                <c:pt idx="7">
                  <c:v>objava proračuna/financijskog plana</c:v>
                </c:pt>
                <c:pt idx="8">
                  <c:v>objava izvješća o radu</c:v>
                </c:pt>
                <c:pt idx="9">
                  <c:v>objava strateških dokumenata</c:v>
                </c:pt>
                <c:pt idx="10">
                  <c:v>objava godišnjih planova rada</c:v>
                </c:pt>
              </c:strCache>
            </c:strRef>
          </c:cat>
          <c:val>
            <c:numRef>
              <c:f>'Grafovi Proaktivna Nova'!$C$6:$C$16</c:f>
              <c:numCache>
                <c:formatCode>General</c:formatCode>
                <c:ptCount val="11"/>
                <c:pt idx="0">
                  <c:v>329</c:v>
                </c:pt>
                <c:pt idx="1">
                  <c:v>729</c:v>
                </c:pt>
                <c:pt idx="2">
                  <c:v>598</c:v>
                </c:pt>
                <c:pt idx="3">
                  <c:v>323</c:v>
                </c:pt>
                <c:pt idx="4">
                  <c:v>711</c:v>
                </c:pt>
                <c:pt idx="5">
                  <c:v>574</c:v>
                </c:pt>
                <c:pt idx="6">
                  <c:v>430</c:v>
                </c:pt>
                <c:pt idx="7">
                  <c:v>463</c:v>
                </c:pt>
                <c:pt idx="8">
                  <c:v>411</c:v>
                </c:pt>
                <c:pt idx="9">
                  <c:v>391</c:v>
                </c:pt>
                <c:pt idx="10">
                  <c:v>287</c:v>
                </c:pt>
              </c:numCache>
            </c:numRef>
          </c:val>
          <c:extLst>
            <c:ext xmlns:c16="http://schemas.microsoft.com/office/drawing/2014/chart" uri="{C3380CC4-5D6E-409C-BE32-E72D297353CC}">
              <c16:uniqueId val="{00000001-A731-C84A-B443-EA78BC0A887C}"/>
            </c:ext>
          </c:extLst>
        </c:ser>
        <c:ser>
          <c:idx val="2"/>
          <c:order val="2"/>
          <c:tx>
            <c:v>Djelomično</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7.9365079365079208E-2"/>
                  <c:y val="-4.064581686801400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3CE-4E1F-89CF-F967504C356D}"/>
                </c:ext>
              </c:extLst>
            </c:dLbl>
            <c:dLbl>
              <c:idx val="1"/>
              <c:layout>
                <c:manualLayout>
                  <c:x val="0.14329805996472664"/>
                  <c:y val="-3.3871514056678334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3CE-4E1F-89CF-F967504C356D}"/>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3CE-4E1F-89CF-F967504C356D}"/>
                </c:ext>
              </c:extLst>
            </c:dLbl>
            <c:dLbl>
              <c:idx val="3"/>
              <c:layout>
                <c:manualLayout>
                  <c:x val="9.2592592592592587E-2"/>
                  <c:y val="-4.516201874223786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3CE-4E1F-89CF-F967504C356D}"/>
                </c:ext>
              </c:extLst>
            </c:dLbl>
            <c:dLbl>
              <c:idx val="4"/>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eparator>, </c:separator>
              <c:extLst>
                <c:ext xmlns:c15="http://schemas.microsoft.com/office/drawing/2012/chart" uri="{CE6537A1-D6FC-4f65-9D91-7224C49458BB}">
                  <c15:layout>
                    <c:manualLayout>
                      <c:w val="6.6534391534391529E-2"/>
                      <c:h val="4.9880604934996013E-2"/>
                    </c:manualLayout>
                  </c15:layout>
                </c:ext>
                <c:ext xmlns:c16="http://schemas.microsoft.com/office/drawing/2014/chart" uri="{C3380CC4-5D6E-409C-BE32-E72D297353CC}">
                  <c16:uniqueId val="{00000005-A731-C84A-B443-EA78BC0A887C}"/>
                </c:ext>
              </c:extLst>
            </c:dLbl>
            <c:dLbl>
              <c:idx val="5"/>
              <c:layout>
                <c:manualLayout>
                  <c:x val="2.5863780916274354E-2"/>
                  <c:y val="-6.4949739473826925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3CE-4E1F-89CF-F967504C356D}"/>
                </c:ext>
              </c:extLst>
            </c:dLbl>
            <c:dLbl>
              <c:idx val="6"/>
              <c:layout>
                <c:manualLayout>
                  <c:x val="3.3068783068782907E-2"/>
                  <c:y val="-4.3959049388679509E-17"/>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3CE-4E1F-89CF-F967504C356D}"/>
                </c:ext>
              </c:extLst>
            </c:dLbl>
            <c:dLbl>
              <c:idx val="7"/>
              <c:layout>
                <c:manualLayout>
                  <c:x val="2.3949784054770933E-2"/>
                  <c:y val="-2.3676277227229854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633-400A-B2A3-2EBA62D7555C}"/>
                </c:ext>
              </c:extLst>
            </c:dLbl>
            <c:dLbl>
              <c:idx val="8"/>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3CE-4E1F-89CF-F967504C356D}"/>
                </c:ext>
              </c:extLst>
            </c:dLbl>
            <c:dLbl>
              <c:idx val="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CE-4E1F-89CF-F967504C356D}"/>
                </c:ext>
              </c:extLst>
            </c:dLbl>
            <c:dLbl>
              <c:idx val="10"/>
              <c:layout>
                <c:manualLayout>
                  <c:x val="8.8183421516754845E-3"/>
                  <c:y val="-1.0835328433669174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63CE-4E1F-89CF-F967504C356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Nova'!$A$6:$A$16</c:f>
              <c:strCache>
                <c:ptCount val="11"/>
                <c:pt idx="0">
                  <c:v>objava općeg akta o jednostavnoj nabavi</c:v>
                </c:pt>
                <c:pt idx="1">
                  <c:v>objava obavijesti o sukobu interesa sukladno ZJN</c:v>
                </c:pt>
                <c:pt idx="2">
                  <c:v>objava registra ugovora javne nabave</c:v>
                </c:pt>
                <c:pt idx="3">
                  <c:v>objava plana nabave</c:v>
                </c:pt>
                <c:pt idx="4">
                  <c:v>objava popisa korisnika donacija i sponzorstava</c:v>
                </c:pt>
                <c:pt idx="5">
                  <c:v>objava izvješća o izvršenju proračuna ili financijskog plana</c:v>
                </c:pt>
                <c:pt idx="6">
                  <c:v>objava financijskog izvješća</c:v>
                </c:pt>
                <c:pt idx="7">
                  <c:v>objava proračuna/financijskog plana</c:v>
                </c:pt>
                <c:pt idx="8">
                  <c:v>objava izvješća o radu</c:v>
                </c:pt>
                <c:pt idx="9">
                  <c:v>objava strateških dokumenata</c:v>
                </c:pt>
                <c:pt idx="10">
                  <c:v>objava godišnjih planova rada</c:v>
                </c:pt>
              </c:strCache>
            </c:strRef>
          </c:cat>
          <c:val>
            <c:numRef>
              <c:f>'Grafovi Proaktivna Nova'!$D$6:$D$16</c:f>
              <c:numCache>
                <c:formatCode>General</c:formatCode>
                <c:ptCount val="11"/>
                <c:pt idx="0">
                  <c:v>65</c:v>
                </c:pt>
                <c:pt idx="1">
                  <c:v>148</c:v>
                </c:pt>
                <c:pt idx="2">
                  <c:v>355</c:v>
                </c:pt>
                <c:pt idx="3">
                  <c:v>121</c:v>
                </c:pt>
                <c:pt idx="4">
                  <c:v>516</c:v>
                </c:pt>
                <c:pt idx="5">
                  <c:v>222</c:v>
                </c:pt>
                <c:pt idx="6">
                  <c:v>201</c:v>
                </c:pt>
                <c:pt idx="7">
                  <c:v>180</c:v>
                </c:pt>
                <c:pt idx="8">
                  <c:v>466</c:v>
                </c:pt>
                <c:pt idx="9">
                  <c:v>403</c:v>
                </c:pt>
                <c:pt idx="10">
                  <c:v>286</c:v>
                </c:pt>
              </c:numCache>
            </c:numRef>
          </c:val>
          <c:extLst>
            <c:ext xmlns:c16="http://schemas.microsoft.com/office/drawing/2014/chart" uri="{C3380CC4-5D6E-409C-BE32-E72D297353CC}">
              <c16:uniqueId val="{00000002-A731-C84A-B443-EA78BC0A887C}"/>
            </c:ext>
          </c:extLst>
        </c:ser>
        <c:ser>
          <c:idx val="3"/>
          <c:order val="3"/>
          <c:tx>
            <c:v>Nije primjenjivo</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8"/>
              <c:layout>
                <c:manualLayout>
                  <c:x val="3.2973482481356495E-2"/>
                  <c:y val="-8.381643950823185E-4"/>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CE-4E1F-89CF-F967504C356D}"/>
                </c:ext>
              </c:extLst>
            </c:dLbl>
            <c:dLbl>
              <c:idx val="10"/>
              <c:layout>
                <c:manualLayout>
                  <c:x val="3.7477954144620809E-2"/>
                  <c:y val="4.7955880589857329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CE-4E1F-89CF-F967504C356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Nova'!$A$6:$A$16</c:f>
              <c:strCache>
                <c:ptCount val="11"/>
                <c:pt idx="0">
                  <c:v>objava općeg akta o jednostavnoj nabavi</c:v>
                </c:pt>
                <c:pt idx="1">
                  <c:v>objava obavijesti o sukobu interesa sukladno ZJN</c:v>
                </c:pt>
                <c:pt idx="2">
                  <c:v>objava registra ugovora javne nabave</c:v>
                </c:pt>
                <c:pt idx="3">
                  <c:v>objava plana nabave</c:v>
                </c:pt>
                <c:pt idx="4">
                  <c:v>objava popisa korisnika donacija i sponzorstava</c:v>
                </c:pt>
                <c:pt idx="5">
                  <c:v>objava izvješća o izvršenju proračuna ili financijskog plana</c:v>
                </c:pt>
                <c:pt idx="6">
                  <c:v>objava financijskog izvješća</c:v>
                </c:pt>
                <c:pt idx="7">
                  <c:v>objava proračuna/financijskog plana</c:v>
                </c:pt>
                <c:pt idx="8">
                  <c:v>objava izvješća o radu</c:v>
                </c:pt>
                <c:pt idx="9">
                  <c:v>objava strateških dokumenata</c:v>
                </c:pt>
                <c:pt idx="10">
                  <c:v>objava godišnjih planova rada</c:v>
                </c:pt>
              </c:strCache>
            </c:strRef>
          </c:cat>
          <c:val>
            <c:numRef>
              <c:f>'Grafovi Proaktivna Nova'!$E$6:$E$16</c:f>
              <c:numCache>
                <c:formatCode>General</c:formatCode>
                <c:ptCount val="11"/>
                <c:pt idx="0">
                  <c:v>673</c:v>
                </c:pt>
                <c:pt idx="1">
                  <c:v>1338</c:v>
                </c:pt>
                <c:pt idx="2">
                  <c:v>1021</c:v>
                </c:pt>
                <c:pt idx="3">
                  <c:v>805</c:v>
                </c:pt>
                <c:pt idx="4">
                  <c:v>1941</c:v>
                </c:pt>
                <c:pt idx="8">
                  <c:v>378</c:v>
                </c:pt>
                <c:pt idx="9">
                  <c:v>810</c:v>
                </c:pt>
                <c:pt idx="10">
                  <c:v>294</c:v>
                </c:pt>
              </c:numCache>
            </c:numRef>
          </c:val>
          <c:extLst>
            <c:ext xmlns:c16="http://schemas.microsoft.com/office/drawing/2014/chart" uri="{C3380CC4-5D6E-409C-BE32-E72D297353CC}">
              <c16:uniqueId val="{00000003-A731-C84A-B443-EA78BC0A887C}"/>
            </c:ext>
          </c:extLst>
        </c:ser>
        <c:dLbls>
          <c:showLegendKey val="0"/>
          <c:showVal val="0"/>
          <c:showCatName val="0"/>
          <c:showSerName val="0"/>
          <c:showPercent val="0"/>
          <c:showBubbleSize val="0"/>
        </c:dLbls>
        <c:gapWidth val="50"/>
        <c:overlap val="100"/>
        <c:axId val="201506176"/>
        <c:axId val="201528448"/>
      </c:barChart>
      <c:catAx>
        <c:axId val="201506176"/>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1528448"/>
        <c:crosses val="autoZero"/>
        <c:auto val="1"/>
        <c:lblAlgn val="ctr"/>
        <c:lblOffset val="100"/>
        <c:noMultiLvlLbl val="0"/>
      </c:catAx>
      <c:valAx>
        <c:axId val="201528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150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Roboto" panose="02000000000000000000" pitchFamily="2" charset="0"/>
          <a:ea typeface="Roboto" panose="02000000000000000000" pitchFamily="2" charset="0"/>
          <a:cs typeface="Roboto" panose="02000000000000000000" pitchFamily="2" charset="0"/>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Da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Nova'!$A$19:$A$22</c:f>
              <c:strCache>
                <c:ptCount val="4"/>
                <c:pt idx="0">
                  <c:v>objava informacija o raspisanim natječajima</c:v>
                </c:pt>
                <c:pt idx="1">
                  <c:v>objava obavijesti o ishodu natječaja</c:v>
                </c:pt>
                <c:pt idx="2">
                  <c:v>objava informacija o unutarnjem ustrojstvu s kontaktima</c:v>
                </c:pt>
                <c:pt idx="3">
                  <c:v>objava javnih usluga</c:v>
                </c:pt>
              </c:strCache>
            </c:strRef>
          </c:cat>
          <c:val>
            <c:numRef>
              <c:f>'Grafovi Proaktivna Nova'!$B$19:$B$22</c:f>
              <c:numCache>
                <c:formatCode>General</c:formatCode>
                <c:ptCount val="4"/>
                <c:pt idx="0">
                  <c:v>4570</c:v>
                </c:pt>
                <c:pt idx="1">
                  <c:v>3946</c:v>
                </c:pt>
                <c:pt idx="2">
                  <c:v>4454</c:v>
                </c:pt>
                <c:pt idx="3">
                  <c:v>3161</c:v>
                </c:pt>
              </c:numCache>
            </c:numRef>
          </c:val>
          <c:extLst>
            <c:ext xmlns:c16="http://schemas.microsoft.com/office/drawing/2014/chart" uri="{C3380CC4-5D6E-409C-BE32-E72D297353CC}">
              <c16:uniqueId val="{00000004-935F-DD4B-B11E-140724D95E8D}"/>
            </c:ext>
          </c:extLst>
        </c:ser>
        <c:ser>
          <c:idx val="1"/>
          <c:order val="1"/>
          <c:tx>
            <c:v>Ne</c:v>
          </c:tx>
          <c:spPr>
            <a:solidFill>
              <a:schemeClr val="accent2"/>
            </a:solidFill>
            <a:ln>
              <a:noFill/>
            </a:ln>
            <a:effectLst/>
          </c:spPr>
          <c:invertIfNegative val="0"/>
          <c:dLbls>
            <c:dLbl>
              <c:idx val="0"/>
              <c:layout>
                <c:manualLayout>
                  <c:x val="0.10273590173087656"/>
                  <c:y val="5.4054054054054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5F-DD4B-B11E-140724D95E8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1-62DB-4DE8-8306-2D3E9481394F}"/>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2-62DB-4DE8-8306-2D3E9481394F}"/>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3-62DB-4DE8-8306-2D3E94813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Nova'!$A$19:$A$22</c:f>
              <c:strCache>
                <c:ptCount val="4"/>
                <c:pt idx="0">
                  <c:v>objava informacija o raspisanim natječajima</c:v>
                </c:pt>
                <c:pt idx="1">
                  <c:v>objava obavijesti o ishodu natječaja</c:v>
                </c:pt>
                <c:pt idx="2">
                  <c:v>objava informacija o unutarnjem ustrojstvu s kontaktima</c:v>
                </c:pt>
                <c:pt idx="3">
                  <c:v>objava javnih usluga</c:v>
                </c:pt>
              </c:strCache>
            </c:strRef>
          </c:cat>
          <c:val>
            <c:numRef>
              <c:f>'Grafovi Proaktivna Nova'!$C$19:$C$22</c:f>
              <c:numCache>
                <c:formatCode>General</c:formatCode>
                <c:ptCount val="4"/>
                <c:pt idx="0">
                  <c:v>165</c:v>
                </c:pt>
                <c:pt idx="1">
                  <c:v>549</c:v>
                </c:pt>
                <c:pt idx="2">
                  <c:v>327</c:v>
                </c:pt>
                <c:pt idx="3">
                  <c:v>369</c:v>
                </c:pt>
              </c:numCache>
            </c:numRef>
          </c:val>
          <c:extLst>
            <c:ext xmlns:c16="http://schemas.microsoft.com/office/drawing/2014/chart" uri="{C3380CC4-5D6E-409C-BE32-E72D297353CC}">
              <c16:uniqueId val="{00000006-935F-DD4B-B11E-140724D95E8D}"/>
            </c:ext>
          </c:extLst>
        </c:ser>
        <c:ser>
          <c:idx val="2"/>
          <c:order val="2"/>
          <c:tx>
            <c:v>Djelomično</c:v>
          </c:tx>
          <c:spPr>
            <a:solidFill>
              <a:schemeClr val="accent3"/>
            </a:solidFill>
            <a:ln>
              <a:noFill/>
            </a:ln>
            <a:effectLst/>
          </c:spPr>
          <c:invertIfNegative val="0"/>
          <c:dLbls>
            <c:dLbl>
              <c:idx val="0"/>
              <c:layout>
                <c:manualLayout>
                  <c:x val="0.10050251256281408"/>
                  <c:y val="-3.30326514370248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DB-4DE8-8306-2D3E9481394F}"/>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4-62DB-4DE8-8306-2D3E9481394F}"/>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5-62DB-4DE8-8306-2D3E9481394F}"/>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6-62DB-4DE8-8306-2D3E94813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Nova'!$A$19:$A$22</c:f>
              <c:strCache>
                <c:ptCount val="4"/>
                <c:pt idx="0">
                  <c:v>objava informacija o raspisanim natječajima</c:v>
                </c:pt>
                <c:pt idx="1">
                  <c:v>objava obavijesti o ishodu natječaja</c:v>
                </c:pt>
                <c:pt idx="2">
                  <c:v>objava informacija o unutarnjem ustrojstvu s kontaktima</c:v>
                </c:pt>
                <c:pt idx="3">
                  <c:v>objava javnih usluga</c:v>
                </c:pt>
              </c:strCache>
            </c:strRef>
          </c:cat>
          <c:val>
            <c:numRef>
              <c:f>'Grafovi Proaktivna Nova'!$D$19:$D$22</c:f>
              <c:numCache>
                <c:formatCode>General</c:formatCode>
                <c:ptCount val="4"/>
                <c:pt idx="0">
                  <c:v>137</c:v>
                </c:pt>
                <c:pt idx="1">
                  <c:v>364</c:v>
                </c:pt>
                <c:pt idx="2">
                  <c:v>499</c:v>
                </c:pt>
                <c:pt idx="3">
                  <c:v>605</c:v>
                </c:pt>
              </c:numCache>
            </c:numRef>
          </c:val>
          <c:extLst>
            <c:ext xmlns:c16="http://schemas.microsoft.com/office/drawing/2014/chart" uri="{C3380CC4-5D6E-409C-BE32-E72D297353CC}">
              <c16:uniqueId val="{00000007-935F-DD4B-B11E-140724D95E8D}"/>
            </c:ext>
          </c:extLst>
        </c:ser>
        <c:ser>
          <c:idx val="3"/>
          <c:order val="3"/>
          <c:tx>
            <c:v>Tijekom godine nije bilo natječaja / Nije primjenjivo</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Nova'!$A$19:$A$22</c:f>
              <c:strCache>
                <c:ptCount val="4"/>
                <c:pt idx="0">
                  <c:v>objava informacija o raspisanim natječajima</c:v>
                </c:pt>
                <c:pt idx="1">
                  <c:v>objava obavijesti o ishodu natječaja</c:v>
                </c:pt>
                <c:pt idx="2">
                  <c:v>objava informacija o unutarnjem ustrojstvu s kontaktima</c:v>
                </c:pt>
                <c:pt idx="3">
                  <c:v>objava javnih usluga</c:v>
                </c:pt>
              </c:strCache>
            </c:strRef>
          </c:cat>
          <c:val>
            <c:numRef>
              <c:f>'Grafovi Proaktivna Nova'!$E$19:$E$22</c:f>
              <c:numCache>
                <c:formatCode>General</c:formatCode>
                <c:ptCount val="4"/>
                <c:pt idx="0">
                  <c:v>408</c:v>
                </c:pt>
                <c:pt idx="1">
                  <c:v>421</c:v>
                </c:pt>
                <c:pt idx="3">
                  <c:v>1145</c:v>
                </c:pt>
              </c:numCache>
            </c:numRef>
          </c:val>
          <c:extLst>
            <c:ext xmlns:c16="http://schemas.microsoft.com/office/drawing/2014/chart" uri="{C3380CC4-5D6E-409C-BE32-E72D297353CC}">
              <c16:uniqueId val="{0000000B-935F-DD4B-B11E-140724D95E8D}"/>
            </c:ext>
          </c:extLst>
        </c:ser>
        <c:dLbls>
          <c:showLegendKey val="0"/>
          <c:showVal val="1"/>
          <c:showCatName val="0"/>
          <c:showSerName val="0"/>
          <c:showPercent val="0"/>
          <c:showBubbleSize val="0"/>
        </c:dLbls>
        <c:gapWidth val="100"/>
        <c:overlap val="100"/>
        <c:axId val="201582848"/>
        <c:axId val="201740288"/>
      </c:barChart>
      <c:catAx>
        <c:axId val="20158284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1740288"/>
        <c:crosses val="autoZero"/>
        <c:auto val="1"/>
        <c:lblAlgn val="ctr"/>
        <c:lblOffset val="100"/>
        <c:noMultiLvlLbl val="0"/>
      </c:catAx>
      <c:valAx>
        <c:axId val="20174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158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962553291949615"/>
          <c:y val="4.6442896347899512E-2"/>
          <c:w val="0.50483654820925161"/>
          <c:h val="0.76064188936484267"/>
        </c:manualLayout>
      </c:layout>
      <c:barChart>
        <c:barDir val="bar"/>
        <c:grouping val="stacked"/>
        <c:varyColors val="0"/>
        <c:ser>
          <c:idx val="0"/>
          <c:order val="0"/>
          <c:tx>
            <c:strRef>
              <c:f>'Grafovi Proaktivna Nova'!$B$38</c:f>
              <c:strCache>
                <c:ptCount val="1"/>
                <c:pt idx="0">
                  <c:v>Da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Nova'!$A$39:$A$44</c:f>
              <c:strCache>
                <c:ptCount val="6"/>
                <c:pt idx="0">
                  <c:v>objava Kriterija ili poveznice na Kriterije</c:v>
                </c:pt>
                <c:pt idx="1">
                  <c:v>objava obrasca zahtjeva za dopunu ili ispravak </c:v>
                </c:pt>
                <c:pt idx="2">
                  <c:v>objava obrasca zahtjeva za ponovnu uporabu</c:v>
                </c:pt>
                <c:pt idx="3">
                  <c:v>objava obrasca zahtjeva za pristup informacijama</c:v>
                </c:pt>
                <c:pt idx="4">
                  <c:v>objava podataka za kontakt službenika za informiranje</c:v>
                </c:pt>
                <c:pt idx="5">
                  <c:v>objava obavijesti o načinu i uvjetima ostvarivanja prava na pristup i ponovnu uporabu</c:v>
                </c:pt>
              </c:strCache>
            </c:strRef>
          </c:cat>
          <c:val>
            <c:numRef>
              <c:f>'Grafovi Proaktivna Nova'!$B$39:$B$44</c:f>
              <c:numCache>
                <c:formatCode>General</c:formatCode>
                <c:ptCount val="6"/>
                <c:pt idx="0">
                  <c:v>3163</c:v>
                </c:pt>
                <c:pt idx="1">
                  <c:v>4250</c:v>
                </c:pt>
                <c:pt idx="2">
                  <c:v>4321</c:v>
                </c:pt>
                <c:pt idx="3">
                  <c:v>4747</c:v>
                </c:pt>
                <c:pt idx="4">
                  <c:v>5012</c:v>
                </c:pt>
                <c:pt idx="5">
                  <c:v>4852</c:v>
                </c:pt>
              </c:numCache>
            </c:numRef>
          </c:val>
          <c:extLst>
            <c:ext xmlns:c16="http://schemas.microsoft.com/office/drawing/2014/chart" uri="{C3380CC4-5D6E-409C-BE32-E72D297353CC}">
              <c16:uniqueId val="{00000000-4D21-D249-9449-AF8C931FE5D2}"/>
            </c:ext>
          </c:extLst>
        </c:ser>
        <c:ser>
          <c:idx val="1"/>
          <c:order val="1"/>
          <c:tx>
            <c:strRef>
              <c:f>'Grafovi Proaktivna Nova'!$C$38</c:f>
              <c:strCache>
                <c:ptCount val="1"/>
                <c:pt idx="0">
                  <c:v>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5-3357-4186-9E19-730399FE0DAD}"/>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6-3357-4186-9E19-730399FE0DAD}"/>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3-3357-4186-9E19-730399FE0DAD}"/>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2-3357-4186-9E19-730399FE0DAD}"/>
                </c:ext>
              </c:extLst>
            </c:dLbl>
            <c:dLbl>
              <c:idx val="4"/>
              <c:layout>
                <c:manualLayout>
                  <c:x val="-1.3227513227513227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57-4186-9E19-730399FE0DAD}"/>
                </c:ext>
              </c:extLst>
            </c:dLbl>
            <c:dLbl>
              <c:idx val="5"/>
              <c:layout>
                <c:manualLayout>
                  <c:x val="5.8765223791470513E-2"/>
                  <c:y val="-5.9109140806417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21-D249-9449-AF8C931FE5D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Nova'!$A$39:$A$44</c:f>
              <c:strCache>
                <c:ptCount val="6"/>
                <c:pt idx="0">
                  <c:v>objava Kriterija ili poveznice na Kriterije</c:v>
                </c:pt>
                <c:pt idx="1">
                  <c:v>objava obrasca zahtjeva za dopunu ili ispravak </c:v>
                </c:pt>
                <c:pt idx="2">
                  <c:v>objava obrasca zahtjeva za ponovnu uporabu</c:v>
                </c:pt>
                <c:pt idx="3">
                  <c:v>objava obrasca zahtjeva za pristup informacijama</c:v>
                </c:pt>
                <c:pt idx="4">
                  <c:v>objava podataka za kontakt službenika za informiranje</c:v>
                </c:pt>
                <c:pt idx="5">
                  <c:v>objava obavijesti o načinu i uvjetima ostvarivanja prava na pristup i ponovnu uporabu</c:v>
                </c:pt>
              </c:strCache>
            </c:strRef>
          </c:cat>
          <c:val>
            <c:numRef>
              <c:f>'Grafovi Proaktivna Nova'!$C$39:$C$44</c:f>
              <c:numCache>
                <c:formatCode>General</c:formatCode>
                <c:ptCount val="6"/>
                <c:pt idx="0">
                  <c:v>2117</c:v>
                </c:pt>
                <c:pt idx="1">
                  <c:v>1030</c:v>
                </c:pt>
                <c:pt idx="2">
                  <c:v>705</c:v>
                </c:pt>
                <c:pt idx="3">
                  <c:v>533</c:v>
                </c:pt>
                <c:pt idx="4">
                  <c:v>268</c:v>
                </c:pt>
                <c:pt idx="5">
                  <c:v>257</c:v>
                </c:pt>
              </c:numCache>
            </c:numRef>
          </c:val>
          <c:extLst>
            <c:ext xmlns:c16="http://schemas.microsoft.com/office/drawing/2014/chart" uri="{C3380CC4-5D6E-409C-BE32-E72D297353CC}">
              <c16:uniqueId val="{00000002-4D21-D249-9449-AF8C931FE5D2}"/>
            </c:ext>
          </c:extLst>
        </c:ser>
        <c:ser>
          <c:idx val="2"/>
          <c:order val="2"/>
          <c:tx>
            <c:strRef>
              <c:f>'Grafovi Proaktivna Nova'!$D$38</c:f>
              <c:strCache>
                <c:ptCount val="1"/>
                <c:pt idx="0">
                  <c:v>Djelomično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5"/>
              <c:layout>
                <c:manualLayout>
                  <c:x val="4.4091797553083643E-2"/>
                  <c:y val="4.6442730124218956E-2"/>
                </c:manualLayout>
              </c:layout>
              <c:showLegendKey val="0"/>
              <c:showVal val="1"/>
              <c:showCatName val="0"/>
              <c:showSerName val="0"/>
              <c:showPercent val="0"/>
              <c:showBubbleSize val="0"/>
              <c:extLst>
                <c:ext xmlns:c15="http://schemas.microsoft.com/office/drawing/2012/chart" uri="{CE6537A1-D6FC-4f65-9D91-7224C49458BB}">
                  <c15:layout>
                    <c:manualLayout>
                      <c:w val="4.3386243386243382E-2"/>
                      <c:h val="5.9045975807805524E-2"/>
                    </c:manualLayout>
                  </c15:layout>
                </c:ext>
                <c:ext xmlns:c16="http://schemas.microsoft.com/office/drawing/2014/chart" uri="{C3380CC4-5D6E-409C-BE32-E72D297353CC}">
                  <c16:uniqueId val="{00000000-3357-4186-9E19-730399FE0DA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Nova'!$A$39:$A$44</c:f>
              <c:strCache>
                <c:ptCount val="6"/>
                <c:pt idx="0">
                  <c:v>objava Kriterija ili poveznice na Kriterije</c:v>
                </c:pt>
                <c:pt idx="1">
                  <c:v>objava obrasca zahtjeva za dopunu ili ispravak </c:v>
                </c:pt>
                <c:pt idx="2">
                  <c:v>objava obrasca zahtjeva za ponovnu uporabu</c:v>
                </c:pt>
                <c:pt idx="3">
                  <c:v>objava obrasca zahtjeva za pristup informacijama</c:v>
                </c:pt>
                <c:pt idx="4">
                  <c:v>objava podataka za kontakt službenika za informiranje</c:v>
                </c:pt>
                <c:pt idx="5">
                  <c:v>objava obavijesti o načinu i uvjetima ostvarivanja prava na pristup i ponovnu uporabu</c:v>
                </c:pt>
              </c:strCache>
            </c:strRef>
          </c:cat>
          <c:val>
            <c:numRef>
              <c:f>'Grafovi Proaktivna Nova'!$D$39:$D$44</c:f>
              <c:numCache>
                <c:formatCode>General</c:formatCode>
                <c:ptCount val="6"/>
                <c:pt idx="5">
                  <c:v>171</c:v>
                </c:pt>
              </c:numCache>
            </c:numRef>
          </c:val>
          <c:extLst>
            <c:ext xmlns:c16="http://schemas.microsoft.com/office/drawing/2014/chart" uri="{C3380CC4-5D6E-409C-BE32-E72D297353CC}">
              <c16:uniqueId val="{00000003-4D21-D249-9449-AF8C931FE5D2}"/>
            </c:ext>
          </c:extLst>
        </c:ser>
        <c:ser>
          <c:idx val="3"/>
          <c:order val="3"/>
          <c:tx>
            <c:strRef>
              <c:f>'Grafovi Proaktivna Nova'!$E$38</c:f>
              <c:strCache>
                <c:ptCount val="1"/>
                <c:pt idx="0">
                  <c:v>Nije primjenjivo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2"/>
              <c:layout>
                <c:manualLayout>
                  <c:x val="4.4091710758377423E-2"/>
                  <c:y val="-2.9554570403208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57-4186-9E19-730399FE0DA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Nova'!$A$39:$A$44</c:f>
              <c:strCache>
                <c:ptCount val="6"/>
                <c:pt idx="0">
                  <c:v>objava Kriterija ili poveznice na Kriterije</c:v>
                </c:pt>
                <c:pt idx="1">
                  <c:v>objava obrasca zahtjeva za dopunu ili ispravak </c:v>
                </c:pt>
                <c:pt idx="2">
                  <c:v>objava obrasca zahtjeva za ponovnu uporabu</c:v>
                </c:pt>
                <c:pt idx="3">
                  <c:v>objava obrasca zahtjeva za pristup informacijama</c:v>
                </c:pt>
                <c:pt idx="4">
                  <c:v>objava podataka za kontakt službenika za informiranje</c:v>
                </c:pt>
                <c:pt idx="5">
                  <c:v>objava obavijesti o načinu i uvjetima ostvarivanja prava na pristup i ponovnu uporabu</c:v>
                </c:pt>
              </c:strCache>
            </c:strRef>
          </c:cat>
          <c:val>
            <c:numRef>
              <c:f>'Grafovi Proaktivna Nova'!$E$39:$E$44</c:f>
              <c:numCache>
                <c:formatCode>General</c:formatCode>
                <c:ptCount val="6"/>
                <c:pt idx="2">
                  <c:v>254</c:v>
                </c:pt>
              </c:numCache>
            </c:numRef>
          </c:val>
          <c:extLst>
            <c:ext xmlns:c16="http://schemas.microsoft.com/office/drawing/2014/chart" uri="{C3380CC4-5D6E-409C-BE32-E72D297353CC}">
              <c16:uniqueId val="{00000004-4D21-D249-9449-AF8C931FE5D2}"/>
            </c:ext>
          </c:extLst>
        </c:ser>
        <c:dLbls>
          <c:showLegendKey val="0"/>
          <c:showVal val="0"/>
          <c:showCatName val="0"/>
          <c:showSerName val="0"/>
          <c:showPercent val="0"/>
          <c:showBubbleSize val="0"/>
        </c:dLbls>
        <c:gapWidth val="40"/>
        <c:overlap val="100"/>
        <c:axId val="202089600"/>
        <c:axId val="202091136"/>
      </c:barChart>
      <c:catAx>
        <c:axId val="202089600"/>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2091136"/>
        <c:crosses val="autoZero"/>
        <c:auto val="1"/>
        <c:lblAlgn val="ctr"/>
        <c:lblOffset val="100"/>
        <c:noMultiLvlLbl val="0"/>
      </c:catAx>
      <c:valAx>
        <c:axId val="20209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208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511463844797182E-2"/>
          <c:y val="3.8456518901988083E-2"/>
          <c:w val="0.89523809523809528"/>
          <c:h val="0.68820289728977235"/>
        </c:manualLayout>
      </c:layout>
      <c:barChart>
        <c:barDir val="col"/>
        <c:grouping val="percentStacked"/>
        <c:varyColors val="0"/>
        <c:ser>
          <c:idx val="0"/>
          <c:order val="0"/>
          <c:tx>
            <c:strRef>
              <c:f>'[Statistika 2025 - novo.xlsx]Statistika'!$D$224</c:f>
              <c:strCache>
                <c:ptCount val="1"/>
                <c:pt idx="0">
                  <c:v>Postotak tijela koja su objavila plan savjetovanja s javnošću</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2025 - novo.xlsx]Statistika'!$A$225:$A$228</c:f>
              <c:strCache>
                <c:ptCount val="4"/>
                <c:pt idx="0">
                  <c:v>Državna tijela</c:v>
                </c:pt>
                <c:pt idx="1">
                  <c:v>Tijela državne uprave</c:v>
                </c:pt>
                <c:pt idx="2">
                  <c:v>Jedinica lokalne ili područne (regionalne) samouprave</c:v>
                </c:pt>
                <c:pt idx="3">
                  <c:v>Pravne osobe s javnim ovlastima</c:v>
                </c:pt>
              </c:strCache>
            </c:strRef>
          </c:cat>
          <c:val>
            <c:numRef>
              <c:f>'[Statistika 2025 - novo.xlsx]Statistika'!$D$225:$D$228</c:f>
              <c:numCache>
                <c:formatCode>0.00%</c:formatCode>
                <c:ptCount val="4"/>
                <c:pt idx="0">
                  <c:v>0.7142857142857143</c:v>
                </c:pt>
                <c:pt idx="1">
                  <c:v>0.8</c:v>
                </c:pt>
                <c:pt idx="2">
                  <c:v>0.73283858998144713</c:v>
                </c:pt>
                <c:pt idx="3">
                  <c:v>0.30120481927710846</c:v>
                </c:pt>
              </c:numCache>
            </c:numRef>
          </c:val>
          <c:extLst>
            <c:ext xmlns:c16="http://schemas.microsoft.com/office/drawing/2014/chart" uri="{C3380CC4-5D6E-409C-BE32-E72D297353CC}">
              <c16:uniqueId val="{00000000-868A-954A-A64B-A42B38478B0F}"/>
            </c:ext>
          </c:extLst>
        </c:ser>
        <c:ser>
          <c:idx val="1"/>
          <c:order val="1"/>
          <c:tx>
            <c:strRef>
              <c:f>'[Statistika 2025 - novo.xlsx]Statistika'!$E$224</c:f>
              <c:strCache>
                <c:ptCount val="1"/>
                <c:pt idx="0">
                  <c:v>Postotak tijela koja nisu objavila plan savjetovanja s javnošću</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2025 - novo.xlsx]Statistika'!$A$225:$A$228</c:f>
              <c:strCache>
                <c:ptCount val="4"/>
                <c:pt idx="0">
                  <c:v>Državna tijela</c:v>
                </c:pt>
                <c:pt idx="1">
                  <c:v>Tijela državne uprave</c:v>
                </c:pt>
                <c:pt idx="2">
                  <c:v>Jedinica lokalne ili područne (regionalne) samouprave</c:v>
                </c:pt>
                <c:pt idx="3">
                  <c:v>Pravne osobe s javnim ovlastima</c:v>
                </c:pt>
              </c:strCache>
            </c:strRef>
          </c:cat>
          <c:val>
            <c:numRef>
              <c:f>'[Statistika 2025 - novo.xlsx]Statistika'!$E$225:$E$228</c:f>
              <c:numCache>
                <c:formatCode>0.00%</c:formatCode>
                <c:ptCount val="4"/>
                <c:pt idx="0">
                  <c:v>0.2857142857142857</c:v>
                </c:pt>
                <c:pt idx="1">
                  <c:v>0.2</c:v>
                </c:pt>
                <c:pt idx="2">
                  <c:v>0.26716141001855287</c:v>
                </c:pt>
                <c:pt idx="3">
                  <c:v>0.6987951807228916</c:v>
                </c:pt>
              </c:numCache>
            </c:numRef>
          </c:val>
          <c:extLst>
            <c:ext xmlns:c16="http://schemas.microsoft.com/office/drawing/2014/chart" uri="{C3380CC4-5D6E-409C-BE32-E72D297353CC}">
              <c16:uniqueId val="{00000001-868A-954A-A64B-A42B38478B0F}"/>
            </c:ext>
          </c:extLst>
        </c:ser>
        <c:dLbls>
          <c:showLegendKey val="0"/>
          <c:showVal val="0"/>
          <c:showCatName val="0"/>
          <c:showSerName val="0"/>
          <c:showPercent val="0"/>
          <c:showBubbleSize val="0"/>
        </c:dLbls>
        <c:gapWidth val="100"/>
        <c:overlap val="100"/>
        <c:axId val="1962629696"/>
        <c:axId val="1962631136"/>
      </c:barChart>
      <c:catAx>
        <c:axId val="196262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1962631136"/>
        <c:crosses val="autoZero"/>
        <c:auto val="1"/>
        <c:lblAlgn val="ctr"/>
        <c:lblOffset val="100"/>
        <c:noMultiLvlLbl val="0"/>
      </c:catAx>
      <c:valAx>
        <c:axId val="1962631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1962629696"/>
        <c:crosses val="autoZero"/>
        <c:crossBetween val="between"/>
      </c:valAx>
      <c:spPr>
        <a:noFill/>
        <a:ln>
          <a:noFill/>
        </a:ln>
        <a:effectLst/>
      </c:spPr>
    </c:plotArea>
    <c:legend>
      <c:legendPos val="b"/>
      <c:layout>
        <c:manualLayout>
          <c:xMode val="edge"/>
          <c:yMode val="edge"/>
          <c:x val="0.22795813717729729"/>
          <c:y val="0.85371731848436072"/>
          <c:w val="0.5418789665180741"/>
          <c:h val="0.122954205387029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oboto" panose="02000000000000000000" pitchFamily="2" charset="0"/>
          <a:ea typeface="Roboto" panose="02000000000000000000" pitchFamily="2" charset="0"/>
          <a:cs typeface="Roboto" panose="02000000000000000000" pitchFamily="2" charset="0"/>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37127997889154"/>
          <c:y val="5.0609615827007133E-2"/>
          <c:w val="0.50105438209112751"/>
          <c:h val="0.76526336196611788"/>
        </c:manualLayout>
      </c:layout>
      <c:barChart>
        <c:barDir val="bar"/>
        <c:grouping val="percentStacked"/>
        <c:varyColors val="0"/>
        <c:ser>
          <c:idx val="0"/>
          <c:order val="0"/>
          <c:tx>
            <c:strRef>
              <c:f>'[Statistika 2025 - novo.xlsx]Statistika'!$B$257</c:f>
              <c:strCache>
                <c:ptCount val="1"/>
                <c:pt idx="0">
                  <c:v>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2025 - novo.xlsx]Statistika'!$A$258:$A$261</c:f>
              <c:strCache>
                <c:ptCount val="4"/>
                <c:pt idx="0">
                  <c:v>Državna tijela</c:v>
                </c:pt>
                <c:pt idx="1">
                  <c:v>Tijela državne uprave</c:v>
                </c:pt>
                <c:pt idx="2">
                  <c:v>Jedinica lokalne ili područne (regionalne) samouprave</c:v>
                </c:pt>
                <c:pt idx="3">
                  <c:v>Pravne osobe s javnim ovlastima</c:v>
                </c:pt>
              </c:strCache>
            </c:strRef>
          </c:cat>
          <c:val>
            <c:numRef>
              <c:f>'[Statistika 2025 - novo.xlsx]Statistika'!$B$258:$B$261</c:f>
              <c:numCache>
                <c:formatCode>General</c:formatCode>
                <c:ptCount val="4"/>
                <c:pt idx="0">
                  <c:v>23</c:v>
                </c:pt>
                <c:pt idx="1">
                  <c:v>695</c:v>
                </c:pt>
                <c:pt idx="2">
                  <c:v>5798</c:v>
                </c:pt>
                <c:pt idx="3">
                  <c:v>583</c:v>
                </c:pt>
              </c:numCache>
            </c:numRef>
          </c:val>
          <c:extLst>
            <c:ext xmlns:c16="http://schemas.microsoft.com/office/drawing/2014/chart" uri="{C3380CC4-5D6E-409C-BE32-E72D297353CC}">
              <c16:uniqueId val="{00000000-DBA5-114A-8396-822AB8051151}"/>
            </c:ext>
          </c:extLst>
        </c:ser>
        <c:ser>
          <c:idx val="1"/>
          <c:order val="1"/>
          <c:tx>
            <c:strRef>
              <c:f>'[Statistika 2025 - novo.xlsx]Statistika'!$C$257</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2025 - novo.xlsx]Statistika'!$A$258:$A$261</c:f>
              <c:strCache>
                <c:ptCount val="4"/>
                <c:pt idx="0">
                  <c:v>Državna tijela</c:v>
                </c:pt>
                <c:pt idx="1">
                  <c:v>Tijela državne uprave</c:v>
                </c:pt>
                <c:pt idx="2">
                  <c:v>Jedinica lokalne ili područne (regionalne) samouprave</c:v>
                </c:pt>
                <c:pt idx="3">
                  <c:v>Pravne osobe s javnim ovlastima</c:v>
                </c:pt>
              </c:strCache>
            </c:strRef>
          </c:cat>
          <c:val>
            <c:numRef>
              <c:f>'[Statistika 2025 - novo.xlsx]Statistika'!$C$258:$C$261</c:f>
              <c:numCache>
                <c:formatCode>General</c:formatCode>
                <c:ptCount val="4"/>
                <c:pt idx="0">
                  <c:v>40</c:v>
                </c:pt>
                <c:pt idx="1">
                  <c:v>780</c:v>
                </c:pt>
                <c:pt idx="2">
                  <c:v>4657</c:v>
                </c:pt>
                <c:pt idx="3">
                  <c:v>746</c:v>
                </c:pt>
              </c:numCache>
            </c:numRef>
          </c:val>
          <c:extLst>
            <c:ext xmlns:c16="http://schemas.microsoft.com/office/drawing/2014/chart" uri="{C3380CC4-5D6E-409C-BE32-E72D297353CC}">
              <c16:uniqueId val="{00000001-DBA5-114A-8396-822AB8051151}"/>
            </c:ext>
          </c:extLst>
        </c:ser>
        <c:ser>
          <c:idx val="2"/>
          <c:order val="2"/>
          <c:tx>
            <c:strRef>
              <c:f>'[Statistika 2025 - novo.xlsx]Statistika'!$D$257</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2025 - novo.xlsx]Statistika'!$A$258:$A$261</c:f>
              <c:strCache>
                <c:ptCount val="4"/>
                <c:pt idx="0">
                  <c:v>Državna tijela</c:v>
                </c:pt>
                <c:pt idx="1">
                  <c:v>Tijela državne uprave</c:v>
                </c:pt>
                <c:pt idx="2">
                  <c:v>Jedinica lokalne ili područne (regionalne) samouprave</c:v>
                </c:pt>
                <c:pt idx="3">
                  <c:v>Pravne osobe s javnim ovlastima</c:v>
                </c:pt>
              </c:strCache>
            </c:strRef>
          </c:cat>
          <c:val>
            <c:numRef>
              <c:f>'[Statistika 2025 - novo.xlsx]Statistika'!$D$258:$D$261</c:f>
              <c:numCache>
                <c:formatCode>General</c:formatCode>
                <c:ptCount val="4"/>
                <c:pt idx="0">
                  <c:v>32</c:v>
                </c:pt>
                <c:pt idx="1">
                  <c:v>758</c:v>
                </c:pt>
                <c:pt idx="2">
                  <c:v>5519</c:v>
                </c:pt>
                <c:pt idx="3">
                  <c:v>610</c:v>
                </c:pt>
              </c:numCache>
            </c:numRef>
          </c:val>
          <c:extLst>
            <c:ext xmlns:c16="http://schemas.microsoft.com/office/drawing/2014/chart" uri="{C3380CC4-5D6E-409C-BE32-E72D297353CC}">
              <c16:uniqueId val="{00000002-DBA5-114A-8396-822AB8051151}"/>
            </c:ext>
          </c:extLst>
        </c:ser>
        <c:ser>
          <c:idx val="3"/>
          <c:order val="3"/>
          <c:tx>
            <c:strRef>
              <c:f>'[Statistika 2025 - novo.xlsx]Statistika'!$E$257</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2025 - novo.xlsx]Statistika'!$A$258:$A$261</c:f>
              <c:strCache>
                <c:ptCount val="4"/>
                <c:pt idx="0">
                  <c:v>Državna tijela</c:v>
                </c:pt>
                <c:pt idx="1">
                  <c:v>Tijela državne uprave</c:v>
                </c:pt>
                <c:pt idx="2">
                  <c:v>Jedinica lokalne ili područne (regionalne) samouprave</c:v>
                </c:pt>
                <c:pt idx="3">
                  <c:v>Pravne osobe s javnim ovlastima</c:v>
                </c:pt>
              </c:strCache>
            </c:strRef>
          </c:cat>
          <c:val>
            <c:numRef>
              <c:f>'[Statistika 2025 - novo.xlsx]Statistika'!$E$258:$E$261</c:f>
              <c:numCache>
                <c:formatCode>General</c:formatCode>
                <c:ptCount val="4"/>
                <c:pt idx="0">
                  <c:v>65</c:v>
                </c:pt>
                <c:pt idx="1">
                  <c:v>877</c:v>
                </c:pt>
                <c:pt idx="2">
                  <c:v>4525</c:v>
                </c:pt>
                <c:pt idx="3">
                  <c:v>707</c:v>
                </c:pt>
              </c:numCache>
            </c:numRef>
          </c:val>
          <c:extLst>
            <c:ext xmlns:c16="http://schemas.microsoft.com/office/drawing/2014/chart" uri="{C3380CC4-5D6E-409C-BE32-E72D297353CC}">
              <c16:uniqueId val="{00000003-DBA5-114A-8396-822AB8051151}"/>
            </c:ext>
          </c:extLst>
        </c:ser>
        <c:ser>
          <c:idx val="4"/>
          <c:order val="4"/>
          <c:tx>
            <c:strRef>
              <c:f>'[Statistika 2025 - novo.xlsx]Statistika'!$F$257</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2025 - novo.xlsx]Statistika'!$A$258:$A$261</c:f>
              <c:strCache>
                <c:ptCount val="4"/>
                <c:pt idx="0">
                  <c:v>Državna tijela</c:v>
                </c:pt>
                <c:pt idx="1">
                  <c:v>Tijela državne uprave</c:v>
                </c:pt>
                <c:pt idx="2">
                  <c:v>Jedinica lokalne ili područne (regionalne) samouprave</c:v>
                </c:pt>
                <c:pt idx="3">
                  <c:v>Pravne osobe s javnim ovlastima</c:v>
                </c:pt>
              </c:strCache>
            </c:strRef>
          </c:cat>
          <c:val>
            <c:numRef>
              <c:f>'[Statistika 2025 - novo.xlsx]Statistika'!$F$258:$F$261</c:f>
              <c:numCache>
                <c:formatCode>General</c:formatCode>
                <c:ptCount val="4"/>
                <c:pt idx="0">
                  <c:v>42</c:v>
                </c:pt>
                <c:pt idx="1">
                  <c:v>748</c:v>
                </c:pt>
                <c:pt idx="2">
                  <c:v>3587</c:v>
                </c:pt>
                <c:pt idx="3">
                  <c:v>354</c:v>
                </c:pt>
              </c:numCache>
            </c:numRef>
          </c:val>
          <c:extLst>
            <c:ext xmlns:c16="http://schemas.microsoft.com/office/drawing/2014/chart" uri="{C3380CC4-5D6E-409C-BE32-E72D297353CC}">
              <c16:uniqueId val="{00000004-DBA5-114A-8396-822AB8051151}"/>
            </c:ext>
          </c:extLst>
        </c:ser>
        <c:dLbls>
          <c:showLegendKey val="0"/>
          <c:showVal val="0"/>
          <c:showCatName val="0"/>
          <c:showSerName val="0"/>
          <c:showPercent val="0"/>
          <c:showBubbleSize val="0"/>
        </c:dLbls>
        <c:gapWidth val="30"/>
        <c:overlap val="100"/>
        <c:axId val="1856640560"/>
        <c:axId val="1856644880"/>
      </c:barChart>
      <c:catAx>
        <c:axId val="185664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1856644880"/>
        <c:crosses val="autoZero"/>
        <c:auto val="1"/>
        <c:lblAlgn val="ctr"/>
        <c:lblOffset val="100"/>
        <c:noMultiLvlLbl val="0"/>
      </c:catAx>
      <c:valAx>
        <c:axId val="1856644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1856640560"/>
        <c:crosses val="autoZero"/>
        <c:crossBetween val="between"/>
      </c:valAx>
      <c:spPr>
        <a:noFill/>
        <a:ln>
          <a:noFill/>
        </a:ln>
        <a:effectLst/>
      </c:spPr>
    </c:plotArea>
    <c:legend>
      <c:legendPos val="b"/>
      <c:layout>
        <c:manualLayout>
          <c:xMode val="edge"/>
          <c:yMode val="edge"/>
          <c:x val="1.2744761071532723E-2"/>
          <c:y val="0.53928470233834402"/>
          <c:w val="9.879407435181714E-2"/>
          <c:h val="0.385734684442853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oboto" panose="02000000000000000000" pitchFamily="2" charset="0"/>
          <a:ea typeface="Roboto" panose="02000000000000000000" pitchFamily="2" charset="0"/>
          <a:cs typeface="Roboto" panose="02000000000000000000" pitchFamily="2" charset="0"/>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'[Statistika 2025 - novo.xlsx]Statistika'!$D$270:$D$280</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tx>
          <c:spPr>
            <a:ln w="31750" cap="rnd">
              <a:solidFill>
                <a:schemeClr val="accent1"/>
              </a:solidFill>
              <a:round/>
            </a:ln>
            <a:effectLst/>
          </c:spPr>
          <c:marker>
            <c:symbol val="none"/>
          </c:marker>
          <c:dLbls>
            <c:numFmt formatCode="#,##0.0" sourceLinked="0"/>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800" b="0" i="0" u="none" strike="noStrike" kern="1200" baseline="0">
                    <a:solidFill>
                      <a:schemeClr val="tx2"/>
                    </a:solidFill>
                    <a:latin typeface="Roboto" panose="02000000000000000000" pitchFamily="2" charset="0"/>
                    <a:ea typeface="Roboto" panose="02000000000000000000" pitchFamily="2" charset="0"/>
                    <a:cs typeface="Roboto" panose="02000000000000000000" pitchFamily="2"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'[Statistika 2025 - novo.xlsx]Statistika'!$D$270:$D$280</c:f>
              <c:numCache>
                <c:formatCode>General</c:formatCode>
                <c:ptCount val="5"/>
                <c:pt idx="0">
                  <c:v>2021</c:v>
                </c:pt>
                <c:pt idx="1">
                  <c:v>2022</c:v>
                </c:pt>
                <c:pt idx="2">
                  <c:v>2023</c:v>
                </c:pt>
                <c:pt idx="3">
                  <c:v>2024</c:v>
                </c:pt>
                <c:pt idx="4">
                  <c:v>2025</c:v>
                </c:pt>
              </c:numCache>
              <c:extLst/>
            </c:numRef>
          </c:cat>
          <c:val>
            <c:numRef>
              <c:f>'[Statistika 2025 - novo.xlsx]Statistika'!$E$270:$E$280</c:f>
              <c:numCache>
                <c:formatCode>0.00</c:formatCode>
                <c:ptCount val="5"/>
                <c:pt idx="0">
                  <c:v>23.4</c:v>
                </c:pt>
                <c:pt idx="1">
                  <c:v>23.1</c:v>
                </c:pt>
                <c:pt idx="2">
                  <c:v>23.77</c:v>
                </c:pt>
                <c:pt idx="3">
                  <c:v>24.31</c:v>
                </c:pt>
                <c:pt idx="4">
                  <c:v>23.532215893595836</c:v>
                </c:pt>
              </c:numCache>
              <c:extLst/>
            </c:numRef>
          </c:val>
          <c:smooth val="0"/>
          <c:extLst>
            <c:ext xmlns:c16="http://schemas.microsoft.com/office/drawing/2014/chart" uri="{C3380CC4-5D6E-409C-BE32-E72D297353CC}">
              <c16:uniqueId val="{00000000-574D-41D3-B4DB-66165A4CF45F}"/>
            </c:ext>
          </c:extLst>
        </c:ser>
        <c:dLbls>
          <c:dLblPos val="ctr"/>
          <c:showLegendKey val="0"/>
          <c:showVal val="1"/>
          <c:showCatName val="0"/>
          <c:showSerName val="0"/>
          <c:showPercent val="0"/>
          <c:showBubbleSize val="0"/>
        </c:dLbls>
        <c:smooth val="0"/>
        <c:axId val="1989316672"/>
        <c:axId val="1989317920"/>
      </c:lineChart>
      <c:catAx>
        <c:axId val="198931667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Roboto" panose="02000000000000000000" pitchFamily="2" charset="0"/>
                <a:ea typeface="Roboto" panose="02000000000000000000" pitchFamily="2" charset="0"/>
                <a:cs typeface="Roboto" panose="02000000000000000000" pitchFamily="2" charset="0"/>
              </a:defRPr>
            </a:pPr>
            <a:endParaRPr lang="sr-Latn-RS"/>
          </a:p>
        </c:txPr>
        <c:crossAx val="1989317920"/>
        <c:crosses val="autoZero"/>
        <c:auto val="1"/>
        <c:lblAlgn val="ctr"/>
        <c:lblOffset val="100"/>
        <c:noMultiLvlLbl val="0"/>
      </c:catAx>
      <c:valAx>
        <c:axId val="198931792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2"/>
                </a:solidFill>
                <a:latin typeface="Roboto" panose="02000000000000000000" pitchFamily="2" charset="0"/>
                <a:ea typeface="Roboto" panose="02000000000000000000" pitchFamily="2" charset="0"/>
                <a:cs typeface="Roboto" panose="02000000000000000000" pitchFamily="2" charset="0"/>
              </a:defRPr>
            </a:pPr>
            <a:endParaRPr lang="sr-Latn-RS"/>
          </a:p>
        </c:txPr>
        <c:crossAx val="1989316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Roboto" panose="02000000000000000000" pitchFamily="2" charset="0"/>
          <a:ea typeface="Roboto" panose="02000000000000000000" pitchFamily="2" charset="0"/>
          <a:cs typeface="Roboto" panose="02000000000000000000" pitchFamily="2" charset="0"/>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'[Statistika 2025 - novo.xlsx]Statistika'!$E$322</c:f>
              <c:strCache>
                <c:ptCount val="1"/>
                <c:pt idx="0">
                  <c:v>Postotak tijela koja su objavila izvješća</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2025 - novo.xlsx]Statistika'!$A$323:$A$326</c:f>
              <c:strCache>
                <c:ptCount val="4"/>
                <c:pt idx="0">
                  <c:v>Državna tijela</c:v>
                </c:pt>
                <c:pt idx="1">
                  <c:v>Tijela državne uprave</c:v>
                </c:pt>
                <c:pt idx="2">
                  <c:v>Jedinica lokalne ili područne (regionalne) samouprave</c:v>
                </c:pt>
                <c:pt idx="3">
                  <c:v>Pravne osobe s javnim ovlastima</c:v>
                </c:pt>
              </c:strCache>
            </c:strRef>
          </c:cat>
          <c:val>
            <c:numRef>
              <c:f>'[Statistika 2025 - novo.xlsx]Statistika'!$E$323:$E$326</c:f>
              <c:numCache>
                <c:formatCode>0.00%</c:formatCode>
                <c:ptCount val="4"/>
                <c:pt idx="0">
                  <c:v>0.8571428571428571</c:v>
                </c:pt>
                <c:pt idx="1">
                  <c:v>0.8</c:v>
                </c:pt>
                <c:pt idx="2">
                  <c:v>0.86270871985157704</c:v>
                </c:pt>
                <c:pt idx="3">
                  <c:v>0.72289156626506024</c:v>
                </c:pt>
              </c:numCache>
            </c:numRef>
          </c:val>
          <c:extLst>
            <c:ext xmlns:c16="http://schemas.microsoft.com/office/drawing/2014/chart" uri="{C3380CC4-5D6E-409C-BE32-E72D297353CC}">
              <c16:uniqueId val="{00000000-9FD0-E245-B444-BB66F8FB4FFD}"/>
            </c:ext>
          </c:extLst>
        </c:ser>
        <c:ser>
          <c:idx val="1"/>
          <c:order val="1"/>
          <c:tx>
            <c:strRef>
              <c:f>'[Statistika 2025 - novo.xlsx]Statistika'!$F$322</c:f>
              <c:strCache>
                <c:ptCount val="1"/>
                <c:pt idx="0">
                  <c:v>Postotak tijela koja nisu objavila izvješća</c:v>
                </c:pt>
              </c:strCache>
            </c:strRef>
          </c:tx>
          <c:spPr>
            <a:solidFill>
              <a:schemeClr val="accent2"/>
            </a:solidFill>
            <a:ln>
              <a:noFill/>
            </a:ln>
            <a:effectLst/>
          </c:spPr>
          <c:invertIfNegative val="0"/>
          <c:dLbls>
            <c:dLbl>
              <c:idx val="1"/>
              <c:layout>
                <c:manualLayout>
                  <c:x val="-1.76366843033509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CC-4150-BE8C-3993BE8E9A7A}"/>
                </c:ext>
              </c:extLst>
            </c:dLbl>
            <c:dLbl>
              <c:idx val="2"/>
              <c:layout>
                <c:manualLayout>
                  <c:x val="-2.64550264550266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CC-4150-BE8C-3993BE8E9A7A}"/>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2025 - novo.xlsx]Statistika'!$A$323:$A$326</c:f>
              <c:strCache>
                <c:ptCount val="4"/>
                <c:pt idx="0">
                  <c:v>Državna tijela</c:v>
                </c:pt>
                <c:pt idx="1">
                  <c:v>Tijela državne uprave</c:v>
                </c:pt>
                <c:pt idx="2">
                  <c:v>Jedinica lokalne ili područne (regionalne) samouprave</c:v>
                </c:pt>
                <c:pt idx="3">
                  <c:v>Pravne osobe s javnim ovlastima</c:v>
                </c:pt>
              </c:strCache>
            </c:strRef>
          </c:cat>
          <c:val>
            <c:numRef>
              <c:f>'[Statistika 2025 - novo.xlsx]Statistika'!$F$323:$F$326</c:f>
              <c:numCache>
                <c:formatCode>0.00%</c:formatCode>
                <c:ptCount val="4"/>
                <c:pt idx="0">
                  <c:v>0.14285714285714285</c:v>
                </c:pt>
                <c:pt idx="1">
                  <c:v>0.04</c:v>
                </c:pt>
                <c:pt idx="2">
                  <c:v>4.8237476808905382E-2</c:v>
                </c:pt>
                <c:pt idx="3">
                  <c:v>0.21686746987951808</c:v>
                </c:pt>
              </c:numCache>
            </c:numRef>
          </c:val>
          <c:extLst>
            <c:ext xmlns:c16="http://schemas.microsoft.com/office/drawing/2014/chart" uri="{C3380CC4-5D6E-409C-BE32-E72D297353CC}">
              <c16:uniqueId val="{00000001-9FD0-E245-B444-BB66F8FB4FFD}"/>
            </c:ext>
          </c:extLst>
        </c:ser>
        <c:ser>
          <c:idx val="2"/>
          <c:order val="2"/>
          <c:tx>
            <c:strRef>
              <c:f>'[Statistika 2025 - novo.xlsx]Statistika'!$G$322</c:f>
              <c:strCache>
                <c:ptCount val="1"/>
                <c:pt idx="0">
                  <c:v>Postotak tijela koja su djelomično objavila izvješća</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9FD0-E245-B444-BB66F8FB4FFD}"/>
                </c:ext>
              </c:extLst>
            </c:dLbl>
            <c:dLbl>
              <c:idx val="2"/>
              <c:layout>
                <c:manualLayout>
                  <c:x val="-4.4091710758377423E-3"/>
                  <c:y val="5.5172413793103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CC-4150-BE8C-3993BE8E9A7A}"/>
                </c:ext>
              </c:extLst>
            </c:dLbl>
            <c:dLbl>
              <c:idx val="3"/>
              <c:layout>
                <c:manualLayout>
                  <c:x val="0"/>
                  <c:y val="-1.26435321017577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CC-4150-BE8C-3993BE8E9A7A}"/>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 2025 - novo.xlsx]Statistika'!$A$323:$A$326</c:f>
              <c:strCache>
                <c:ptCount val="4"/>
                <c:pt idx="0">
                  <c:v>Državna tijela</c:v>
                </c:pt>
                <c:pt idx="1">
                  <c:v>Tijela državne uprave</c:v>
                </c:pt>
                <c:pt idx="2">
                  <c:v>Jedinica lokalne ili područne (regionalne) samouprave</c:v>
                </c:pt>
                <c:pt idx="3">
                  <c:v>Pravne osobe s javnim ovlastima</c:v>
                </c:pt>
              </c:strCache>
            </c:strRef>
          </c:cat>
          <c:val>
            <c:numRef>
              <c:f>'[Statistika 2025 - novo.xlsx]Statistika'!$G$323:$G$326</c:f>
              <c:numCache>
                <c:formatCode>0.00%</c:formatCode>
                <c:ptCount val="4"/>
                <c:pt idx="0">
                  <c:v>0</c:v>
                </c:pt>
                <c:pt idx="1">
                  <c:v>0.16</c:v>
                </c:pt>
                <c:pt idx="2">
                  <c:v>8.9053803339517623E-2</c:v>
                </c:pt>
                <c:pt idx="3">
                  <c:v>6.0240963855421686E-2</c:v>
                </c:pt>
              </c:numCache>
            </c:numRef>
          </c:val>
          <c:extLst>
            <c:ext xmlns:c16="http://schemas.microsoft.com/office/drawing/2014/chart" uri="{C3380CC4-5D6E-409C-BE32-E72D297353CC}">
              <c16:uniqueId val="{00000003-9FD0-E245-B444-BB66F8FB4FFD}"/>
            </c:ext>
          </c:extLst>
        </c:ser>
        <c:dLbls>
          <c:showLegendKey val="0"/>
          <c:showVal val="0"/>
          <c:showCatName val="0"/>
          <c:showSerName val="0"/>
          <c:showPercent val="0"/>
          <c:showBubbleSize val="0"/>
        </c:dLbls>
        <c:gapWidth val="30"/>
        <c:overlap val="100"/>
        <c:axId val="1043588896"/>
        <c:axId val="1281784880"/>
      </c:barChart>
      <c:catAx>
        <c:axId val="1043588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1281784880"/>
        <c:crosses val="autoZero"/>
        <c:auto val="1"/>
        <c:lblAlgn val="ctr"/>
        <c:lblOffset val="100"/>
        <c:noMultiLvlLbl val="0"/>
      </c:catAx>
      <c:valAx>
        <c:axId val="1281784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1043588896"/>
        <c:crosses val="autoZero"/>
        <c:crossBetween val="between"/>
      </c:valAx>
      <c:spPr>
        <a:noFill/>
        <a:ln>
          <a:noFill/>
        </a:ln>
        <a:effectLst/>
      </c:spPr>
    </c:plotArea>
    <c:legend>
      <c:legendPos val="b"/>
      <c:layout>
        <c:manualLayout>
          <c:xMode val="edge"/>
          <c:yMode val="edge"/>
          <c:x val="1.6564596092155149E-2"/>
          <c:y val="0.83712855950935172"/>
          <c:w val="0.95143870905025762"/>
          <c:h val="0.134854540720425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oboto" panose="02000000000000000000" pitchFamily="2" charset="0"/>
          <a:ea typeface="Roboto" panose="02000000000000000000" pitchFamily="2" charset="0"/>
          <a:cs typeface="Roboto" panose="02000000000000000000" pitchFamily="2" charset="0"/>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Da</c:v>
          </c:tx>
          <c:spPr>
            <a:solidFill>
              <a:schemeClr val="accent1"/>
            </a:solidFill>
            <a:ln>
              <a:noFill/>
            </a:ln>
            <a:effectLst/>
          </c:spPr>
          <c:invertIfNegative val="0"/>
          <c:dLbls>
            <c:dLbl>
              <c:idx val="0"/>
              <c:tx>
                <c:rich>
                  <a:bodyPr/>
                  <a:lstStyle/>
                  <a:p>
                    <a:r>
                      <a:rPr lang="en-US"/>
                      <a:t>2299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360-3A45-B02D-138563DFC0A4}"/>
                </c:ext>
              </c:extLst>
            </c:dLbl>
            <c:dLbl>
              <c:idx val="1"/>
              <c:tx>
                <c:rich>
                  <a:bodyPr/>
                  <a:lstStyle/>
                  <a:p>
                    <a:r>
                      <a:rPr lang="en-US"/>
                      <a:t>2887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360-3A45-B02D-138563DFC0A4}"/>
                </c:ext>
              </c:extLst>
            </c:dLbl>
            <c:dLbl>
              <c:idx val="2"/>
              <c:tx>
                <c:rich>
                  <a:bodyPr/>
                  <a:lstStyle/>
                  <a:p>
                    <a:r>
                      <a:rPr lang="en-US"/>
                      <a:t>1559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360-3A45-B02D-138563DFC0A4}"/>
                </c:ext>
              </c:extLst>
            </c:dLbl>
            <c:dLbl>
              <c:idx val="3"/>
              <c:tx>
                <c:rich>
                  <a:bodyPr/>
                  <a:lstStyle/>
                  <a:p>
                    <a:r>
                      <a:rPr lang="en-US"/>
                      <a:t>2574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360-3A45-B02D-138563DFC0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Nova'!$A$33:$A$36</c:f>
              <c:strCache>
                <c:ptCount val="4"/>
                <c:pt idx="0">
                  <c:v>objava informacija o formalnim radnim tijelima</c:v>
                </c:pt>
                <c:pt idx="1">
                  <c:v>objava zaključaka sa službenih sjednica</c:v>
                </c:pt>
                <c:pt idx="2">
                  <c:v>objava informacija o mogućnostima neposrednog uvida</c:v>
                </c:pt>
                <c:pt idx="3">
                  <c:v>objava dnevnih redova zasjednja/sjednica</c:v>
                </c:pt>
              </c:strCache>
            </c:strRef>
          </c:cat>
          <c:val>
            <c:numRef>
              <c:f>'Grafovi Proaktivna Nova'!$B$33:$B$36</c:f>
              <c:numCache>
                <c:formatCode>General</c:formatCode>
                <c:ptCount val="4"/>
                <c:pt idx="0">
                  <c:v>2227</c:v>
                </c:pt>
                <c:pt idx="1">
                  <c:v>2795</c:v>
                </c:pt>
                <c:pt idx="2">
                  <c:v>1511</c:v>
                </c:pt>
                <c:pt idx="3">
                  <c:v>2503</c:v>
                </c:pt>
              </c:numCache>
            </c:numRef>
          </c:val>
          <c:extLst>
            <c:ext xmlns:c16="http://schemas.microsoft.com/office/drawing/2014/chart" uri="{C3380CC4-5D6E-409C-BE32-E72D297353CC}">
              <c16:uniqueId val="{00000004-E360-3A45-B02D-138563DFC0A4}"/>
            </c:ext>
          </c:extLst>
        </c:ser>
        <c:ser>
          <c:idx val="1"/>
          <c:order val="1"/>
          <c:tx>
            <c:v>Ne</c:v>
          </c:tx>
          <c:spPr>
            <a:solidFill>
              <a:schemeClr val="accent2"/>
            </a:solidFill>
            <a:ln>
              <a:noFill/>
            </a:ln>
            <a:effectLst/>
          </c:spPr>
          <c:invertIfNegative val="0"/>
          <c:dLbls>
            <c:dLbl>
              <c:idx val="0"/>
              <c:tx>
                <c:rich>
                  <a:bodyPr/>
                  <a:lstStyle/>
                  <a:p>
                    <a:r>
                      <a:rPr lang="en-US"/>
                      <a:t>979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360-3A45-B02D-138563DFC0A4}"/>
                </c:ext>
              </c:extLst>
            </c:dLbl>
            <c:dLbl>
              <c:idx val="1"/>
              <c:tx>
                <c:rich>
                  <a:bodyPr/>
                  <a:lstStyle/>
                  <a:p>
                    <a:r>
                      <a:rPr lang="en-US"/>
                      <a:t>938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360-3A45-B02D-138563DFC0A4}"/>
                </c:ext>
              </c:extLst>
            </c:dLbl>
            <c:dLbl>
              <c:idx val="2"/>
              <c:tx>
                <c:rich>
                  <a:bodyPr/>
                  <a:lstStyle/>
                  <a:p>
                    <a:r>
                      <a:rPr lang="en-US"/>
                      <a:t>1787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360-3A45-B02D-138563DFC0A4}"/>
                </c:ext>
              </c:extLst>
            </c:dLbl>
            <c:dLbl>
              <c:idx val="3"/>
              <c:tx>
                <c:rich>
                  <a:bodyPr/>
                  <a:lstStyle/>
                  <a:p>
                    <a:r>
                      <a:rPr lang="en-US"/>
                      <a:t>1128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360-3A45-B02D-138563DFC0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Nova'!$A$33:$A$36</c:f>
              <c:strCache>
                <c:ptCount val="4"/>
                <c:pt idx="0">
                  <c:v>objava informacija o formalnim radnim tijelima</c:v>
                </c:pt>
                <c:pt idx="1">
                  <c:v>objava zaključaka sa službenih sjednica</c:v>
                </c:pt>
                <c:pt idx="2">
                  <c:v>objava informacija o mogućnostima neposrednog uvida</c:v>
                </c:pt>
                <c:pt idx="3">
                  <c:v>objava dnevnih redova zasjednja/sjednica</c:v>
                </c:pt>
              </c:strCache>
            </c:strRef>
          </c:cat>
          <c:val>
            <c:numRef>
              <c:f>'Grafovi Proaktivna Nova'!$C$33:$C$36</c:f>
              <c:numCache>
                <c:formatCode>General</c:formatCode>
                <c:ptCount val="4"/>
                <c:pt idx="0">
                  <c:v>1085</c:v>
                </c:pt>
                <c:pt idx="1">
                  <c:v>1024</c:v>
                </c:pt>
                <c:pt idx="2">
                  <c:v>1890</c:v>
                </c:pt>
                <c:pt idx="3">
                  <c:v>1233</c:v>
                </c:pt>
              </c:numCache>
            </c:numRef>
          </c:val>
          <c:extLst>
            <c:ext xmlns:c16="http://schemas.microsoft.com/office/drawing/2014/chart" uri="{C3380CC4-5D6E-409C-BE32-E72D297353CC}">
              <c16:uniqueId val="{00000009-E360-3A45-B02D-138563DFC0A4}"/>
            </c:ext>
          </c:extLst>
        </c:ser>
        <c:ser>
          <c:idx val="2"/>
          <c:order val="2"/>
          <c:tx>
            <c:v>Djelomično</c:v>
          </c:tx>
          <c:spPr>
            <a:solidFill>
              <a:schemeClr val="accent3"/>
            </a:solidFill>
            <a:ln>
              <a:noFill/>
            </a:ln>
            <a:effectLst/>
          </c:spPr>
          <c:invertIfNegative val="0"/>
          <c:dLbls>
            <c:dLbl>
              <c:idx val="0"/>
              <c:tx>
                <c:rich>
                  <a:bodyPr/>
                  <a:lstStyle/>
                  <a:p>
                    <a:r>
                      <a:rPr lang="en-US"/>
                      <a:t>696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360-3A45-B02D-138563DFC0A4}"/>
                </c:ext>
              </c:extLst>
            </c:dLbl>
            <c:dLbl>
              <c:idx val="1"/>
              <c:tx>
                <c:rich>
                  <a:bodyPr/>
                  <a:lstStyle/>
                  <a:p>
                    <a:r>
                      <a:rPr lang="en-US"/>
                      <a:t>617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360-3A45-B02D-138563DFC0A4}"/>
                </c:ext>
              </c:extLst>
            </c:dLbl>
            <c:dLbl>
              <c:idx val="2"/>
              <c:tx>
                <c:rich>
                  <a:bodyPr/>
                  <a:lstStyle/>
                  <a:p>
                    <a:r>
                      <a:rPr lang="en-US"/>
                      <a:t>546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360-3A45-B02D-138563DFC0A4}"/>
                </c:ext>
              </c:extLst>
            </c:dLbl>
            <c:dLbl>
              <c:idx val="3"/>
              <c:tx>
                <c:rich>
                  <a:bodyPr/>
                  <a:lstStyle/>
                  <a:p>
                    <a:r>
                      <a:rPr lang="en-US"/>
                      <a:t>626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360-3A45-B02D-138563DFC0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Nova'!$A$33:$A$36</c:f>
              <c:strCache>
                <c:ptCount val="4"/>
                <c:pt idx="0">
                  <c:v>objava informacija o formalnim radnim tijelima</c:v>
                </c:pt>
                <c:pt idx="1">
                  <c:v>objava zaključaka sa službenih sjednica</c:v>
                </c:pt>
                <c:pt idx="2">
                  <c:v>objava informacija o mogućnostima neposrednog uvida</c:v>
                </c:pt>
                <c:pt idx="3">
                  <c:v>objava dnevnih redova zasjednja/sjednica</c:v>
                </c:pt>
              </c:strCache>
            </c:strRef>
          </c:cat>
          <c:val>
            <c:numRef>
              <c:f>'Grafovi Proaktivna Nova'!$D$33:$D$36</c:f>
              <c:numCache>
                <c:formatCode>General</c:formatCode>
                <c:ptCount val="4"/>
                <c:pt idx="0">
                  <c:v>706</c:v>
                </c:pt>
                <c:pt idx="1">
                  <c:v>692</c:v>
                </c:pt>
                <c:pt idx="2">
                  <c:v>521</c:v>
                </c:pt>
                <c:pt idx="3">
                  <c:v>619</c:v>
                </c:pt>
              </c:numCache>
            </c:numRef>
          </c:val>
          <c:extLst>
            <c:ext xmlns:c16="http://schemas.microsoft.com/office/drawing/2014/chart" uri="{C3380CC4-5D6E-409C-BE32-E72D297353CC}">
              <c16:uniqueId val="{0000000E-E360-3A45-B02D-138563DFC0A4}"/>
            </c:ext>
          </c:extLst>
        </c:ser>
        <c:ser>
          <c:idx val="3"/>
          <c:order val="3"/>
          <c:tx>
            <c:v>Nije primjenjivo</c:v>
          </c:tx>
          <c:spPr>
            <a:solidFill>
              <a:schemeClr val="accent4"/>
            </a:solidFill>
            <a:ln>
              <a:noFill/>
            </a:ln>
            <a:effectLst/>
          </c:spPr>
          <c:invertIfNegative val="0"/>
          <c:dLbls>
            <c:dLbl>
              <c:idx val="0"/>
              <c:tx>
                <c:rich>
                  <a:bodyPr/>
                  <a:lstStyle/>
                  <a:p>
                    <a:r>
                      <a:rPr lang="en-US"/>
                      <a:t>1306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360-3A45-B02D-138563DFC0A4}"/>
                </c:ext>
              </c:extLst>
            </c:dLbl>
            <c:dLbl>
              <c:idx val="1"/>
              <c:tx>
                <c:rich>
                  <a:bodyPr/>
                  <a:lstStyle/>
                  <a:p>
                    <a:r>
                      <a:rPr lang="en-US"/>
                      <a:t>838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360-3A45-B02D-138563DFC0A4}"/>
                </c:ext>
              </c:extLst>
            </c:dLbl>
            <c:dLbl>
              <c:idx val="2"/>
              <c:tx>
                <c:rich>
                  <a:bodyPr/>
                  <a:lstStyle/>
                  <a:p>
                    <a:r>
                      <a:rPr lang="en-US"/>
                      <a:t>1388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360-3A45-B02D-138563DFC0A4}"/>
                </c:ext>
              </c:extLst>
            </c:dLbl>
            <c:dLbl>
              <c:idx val="3"/>
              <c:tx>
                <c:rich>
                  <a:bodyPr/>
                  <a:lstStyle/>
                  <a:p>
                    <a:r>
                      <a:rPr lang="en-US"/>
                      <a:t>952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360-3A45-B02D-138563DFC0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Nova'!$A$33:$A$36</c:f>
              <c:strCache>
                <c:ptCount val="4"/>
                <c:pt idx="0">
                  <c:v>objava informacija o formalnim radnim tijelima</c:v>
                </c:pt>
                <c:pt idx="1">
                  <c:v>objava zaključaka sa službenih sjednica</c:v>
                </c:pt>
                <c:pt idx="2">
                  <c:v>objava informacija o mogućnostima neposrednog uvida</c:v>
                </c:pt>
                <c:pt idx="3">
                  <c:v>objava dnevnih redova zasjednja/sjednica</c:v>
                </c:pt>
              </c:strCache>
            </c:strRef>
          </c:cat>
          <c:val>
            <c:numRef>
              <c:f>'Grafovi Proaktivna Nova'!$E$33:$E$36</c:f>
              <c:numCache>
                <c:formatCode>General</c:formatCode>
                <c:ptCount val="4"/>
                <c:pt idx="0">
                  <c:v>1312</c:v>
                </c:pt>
                <c:pt idx="1">
                  <c:v>819</c:v>
                </c:pt>
                <c:pt idx="2">
                  <c:v>1408</c:v>
                </c:pt>
                <c:pt idx="3">
                  <c:v>975</c:v>
                </c:pt>
              </c:numCache>
            </c:numRef>
          </c:val>
          <c:extLst>
            <c:ext xmlns:c16="http://schemas.microsoft.com/office/drawing/2014/chart" uri="{C3380CC4-5D6E-409C-BE32-E72D297353CC}">
              <c16:uniqueId val="{00000013-E360-3A45-B02D-138563DFC0A4}"/>
            </c:ext>
          </c:extLst>
        </c:ser>
        <c:dLbls>
          <c:showLegendKey val="0"/>
          <c:showVal val="0"/>
          <c:showCatName val="0"/>
          <c:showSerName val="0"/>
          <c:showPercent val="0"/>
          <c:showBubbleSize val="0"/>
        </c:dLbls>
        <c:gapWidth val="30"/>
        <c:overlap val="100"/>
        <c:axId val="201953280"/>
        <c:axId val="201954816"/>
      </c:barChart>
      <c:catAx>
        <c:axId val="201953280"/>
        <c:scaling>
          <c:orientation val="minMax"/>
        </c:scaling>
        <c:delete val="0"/>
        <c:axPos val="l"/>
        <c:numFmt formatCode="General"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1954816"/>
        <c:crosses val="autoZero"/>
        <c:auto val="1"/>
        <c:lblAlgn val="ctr"/>
        <c:lblOffset val="100"/>
        <c:noMultiLvlLbl val="0"/>
      </c:catAx>
      <c:valAx>
        <c:axId val="201954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195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831677290338709"/>
          <c:y val="4.5671579821465642E-2"/>
          <c:w val="0.48874116429890707"/>
          <c:h val="0.79100816313284927"/>
        </c:manualLayout>
      </c:layout>
      <c:barChart>
        <c:barDir val="bar"/>
        <c:grouping val="percentStacked"/>
        <c:varyColors val="0"/>
        <c:ser>
          <c:idx val="0"/>
          <c:order val="0"/>
          <c:tx>
            <c:v>Da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Nova'!$A$25:$A$30</c:f>
              <c:strCache>
                <c:ptCount val="6"/>
                <c:pt idx="0">
                  <c:v>objava dozvole za skupove podataka sukladno Pravilniku o dozvolama</c:v>
                </c:pt>
                <c:pt idx="1">
                  <c:v>omogućavanje preuzimanja podataka u cijelosti</c:v>
                </c:pt>
                <c:pt idx="2">
                  <c:v>objava skupova podataka na Portalu otvorenih podataka</c:v>
                </c:pt>
                <c:pt idx="3">
                  <c:v>objava skupova podataka iz prethodnog pitanja u strojno čitljivom formatu</c:v>
                </c:pt>
                <c:pt idx="4">
                  <c:v>objava skupova podataka koji ne sadrže ograničenja, na internetskim stranicama tijela</c:v>
                </c:pt>
                <c:pt idx="5">
                  <c:v>objava popisa skupova podataka koje tijelo vodi, s metapodacima</c:v>
                </c:pt>
              </c:strCache>
            </c:strRef>
          </c:cat>
          <c:val>
            <c:numRef>
              <c:f>'Grafovi Proaktivna Nova'!$B$25:$B$30</c:f>
              <c:numCache>
                <c:formatCode>General</c:formatCode>
                <c:ptCount val="6"/>
                <c:pt idx="0">
                  <c:v>487</c:v>
                </c:pt>
                <c:pt idx="1">
                  <c:v>763</c:v>
                </c:pt>
                <c:pt idx="2">
                  <c:v>381</c:v>
                </c:pt>
                <c:pt idx="3">
                  <c:v>868</c:v>
                </c:pt>
                <c:pt idx="4">
                  <c:v>706</c:v>
                </c:pt>
                <c:pt idx="5">
                  <c:v>780</c:v>
                </c:pt>
              </c:numCache>
            </c:numRef>
          </c:val>
          <c:extLst>
            <c:ext xmlns:c16="http://schemas.microsoft.com/office/drawing/2014/chart" uri="{C3380CC4-5D6E-409C-BE32-E72D297353CC}">
              <c16:uniqueId val="{00000000-883A-9C41-AB6B-7AB8CE57573B}"/>
            </c:ext>
          </c:extLst>
        </c:ser>
        <c:ser>
          <c:idx val="1"/>
          <c:order val="1"/>
          <c:tx>
            <c:v>Ne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Nova'!$A$25:$A$30</c:f>
              <c:strCache>
                <c:ptCount val="6"/>
                <c:pt idx="0">
                  <c:v>objava dozvole za skupove podataka sukladno Pravilniku o dozvolama</c:v>
                </c:pt>
                <c:pt idx="1">
                  <c:v>omogućavanje preuzimanja podataka u cijelosti</c:v>
                </c:pt>
                <c:pt idx="2">
                  <c:v>objava skupova podataka na Portalu otvorenih podataka</c:v>
                </c:pt>
                <c:pt idx="3">
                  <c:v>objava skupova podataka iz prethodnog pitanja u strojno čitljivom formatu</c:v>
                </c:pt>
                <c:pt idx="4">
                  <c:v>objava skupova podataka koji ne sadrže ograničenja, na internetskim stranicama tijela</c:v>
                </c:pt>
                <c:pt idx="5">
                  <c:v>objava popisa skupova podataka koje tijelo vodi, s metapodacima</c:v>
                </c:pt>
              </c:strCache>
            </c:strRef>
          </c:cat>
          <c:val>
            <c:numRef>
              <c:f>'Grafovi Proaktivna Nova'!$C$25:$C$30</c:f>
              <c:numCache>
                <c:formatCode>General</c:formatCode>
                <c:ptCount val="6"/>
                <c:pt idx="0">
                  <c:v>1262</c:v>
                </c:pt>
                <c:pt idx="1">
                  <c:v>978</c:v>
                </c:pt>
                <c:pt idx="2">
                  <c:v>1472</c:v>
                </c:pt>
                <c:pt idx="3">
                  <c:v>977</c:v>
                </c:pt>
                <c:pt idx="4">
                  <c:v>1230</c:v>
                </c:pt>
                <c:pt idx="5">
                  <c:v>1227</c:v>
                </c:pt>
              </c:numCache>
            </c:numRef>
          </c:val>
          <c:extLst>
            <c:ext xmlns:c16="http://schemas.microsoft.com/office/drawing/2014/chart" uri="{C3380CC4-5D6E-409C-BE32-E72D297353CC}">
              <c16:uniqueId val="{00000001-883A-9C41-AB6B-7AB8CE57573B}"/>
            </c:ext>
          </c:extLst>
        </c:ser>
        <c:ser>
          <c:idx val="2"/>
          <c:order val="2"/>
          <c:tx>
            <c:v>Djelomično</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Nova'!$A$25:$A$30</c:f>
              <c:strCache>
                <c:ptCount val="6"/>
                <c:pt idx="0">
                  <c:v>objava dozvole za skupove podataka sukladno Pravilniku o dozvolama</c:v>
                </c:pt>
                <c:pt idx="1">
                  <c:v>omogućavanje preuzimanja podataka u cijelosti</c:v>
                </c:pt>
                <c:pt idx="2">
                  <c:v>objava skupova podataka na Portalu otvorenih podataka</c:v>
                </c:pt>
                <c:pt idx="3">
                  <c:v>objava skupova podataka iz prethodnog pitanja u strojno čitljivom formatu</c:v>
                </c:pt>
                <c:pt idx="4">
                  <c:v>objava skupova podataka koji ne sadrže ograničenja, na internetskim stranicama tijela</c:v>
                </c:pt>
                <c:pt idx="5">
                  <c:v>objava popisa skupova podataka koje tijelo vodi, s metapodacima</c:v>
                </c:pt>
              </c:strCache>
            </c:strRef>
          </c:cat>
          <c:val>
            <c:numRef>
              <c:f>'Grafovi Proaktivna Nova'!$D$25:$D$30</c:f>
              <c:numCache>
                <c:formatCode>General</c:formatCode>
                <c:ptCount val="6"/>
                <c:pt idx="0">
                  <c:v>255</c:v>
                </c:pt>
                <c:pt idx="1">
                  <c:v>305</c:v>
                </c:pt>
                <c:pt idx="2">
                  <c:v>223</c:v>
                </c:pt>
                <c:pt idx="3">
                  <c:v>241</c:v>
                </c:pt>
                <c:pt idx="4">
                  <c:v>388</c:v>
                </c:pt>
                <c:pt idx="5">
                  <c:v>386</c:v>
                </c:pt>
              </c:numCache>
            </c:numRef>
          </c:val>
          <c:extLst>
            <c:ext xmlns:c16="http://schemas.microsoft.com/office/drawing/2014/chart" uri="{C3380CC4-5D6E-409C-BE32-E72D297353CC}">
              <c16:uniqueId val="{00000002-883A-9C41-AB6B-7AB8CE57573B}"/>
            </c:ext>
          </c:extLst>
        </c:ser>
        <c:ser>
          <c:idx val="3"/>
          <c:order val="3"/>
          <c:tx>
            <c:v>Nije primjenjivo</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Nova'!$A$25:$A$30</c:f>
              <c:strCache>
                <c:ptCount val="6"/>
                <c:pt idx="0">
                  <c:v>objava dozvole za skupove podataka sukladno Pravilniku o dozvolama</c:v>
                </c:pt>
                <c:pt idx="1">
                  <c:v>omogućavanje preuzimanja podataka u cijelosti</c:v>
                </c:pt>
                <c:pt idx="2">
                  <c:v>objava skupova podataka na Portalu otvorenih podataka</c:v>
                </c:pt>
                <c:pt idx="3">
                  <c:v>objava skupova podataka iz prethodnog pitanja u strojno čitljivom formatu</c:v>
                </c:pt>
                <c:pt idx="4">
                  <c:v>objava skupova podataka koji ne sadrže ograničenja, na internetskim stranicama tijela</c:v>
                </c:pt>
                <c:pt idx="5">
                  <c:v>objava popisa skupova podataka koje tijelo vodi, s metapodacima</c:v>
                </c:pt>
              </c:strCache>
            </c:strRef>
          </c:cat>
          <c:val>
            <c:numRef>
              <c:f>'Grafovi Proaktivna Nova'!$E$25:$E$30</c:f>
              <c:numCache>
                <c:formatCode>General</c:formatCode>
                <c:ptCount val="6"/>
                <c:pt idx="0">
                  <c:v>3276</c:v>
                </c:pt>
                <c:pt idx="1">
                  <c:v>3234</c:v>
                </c:pt>
                <c:pt idx="2">
                  <c:v>3204</c:v>
                </c:pt>
                <c:pt idx="3">
                  <c:v>3194</c:v>
                </c:pt>
                <c:pt idx="4">
                  <c:v>2956</c:v>
                </c:pt>
                <c:pt idx="5">
                  <c:v>2887</c:v>
                </c:pt>
              </c:numCache>
            </c:numRef>
          </c:val>
          <c:extLst>
            <c:ext xmlns:c16="http://schemas.microsoft.com/office/drawing/2014/chart" uri="{C3380CC4-5D6E-409C-BE32-E72D297353CC}">
              <c16:uniqueId val="{00000003-883A-9C41-AB6B-7AB8CE57573B}"/>
            </c:ext>
          </c:extLst>
        </c:ser>
        <c:dLbls>
          <c:showLegendKey val="0"/>
          <c:showVal val="0"/>
          <c:showCatName val="0"/>
          <c:showSerName val="0"/>
          <c:showPercent val="0"/>
          <c:showBubbleSize val="0"/>
        </c:dLbls>
        <c:gapWidth val="30"/>
        <c:overlap val="100"/>
        <c:axId val="201802880"/>
        <c:axId val="201804416"/>
      </c:barChart>
      <c:catAx>
        <c:axId val="20180288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1804416"/>
        <c:crosses val="autoZero"/>
        <c:auto val="1"/>
        <c:lblAlgn val="ctr"/>
        <c:lblOffset val="100"/>
        <c:noMultiLvlLbl val="0"/>
      </c:catAx>
      <c:valAx>
        <c:axId val="201804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201802880"/>
        <c:crosses val="autoZero"/>
        <c:crossBetween val="between"/>
      </c:valAx>
      <c:spPr>
        <a:noFill/>
        <a:ln>
          <a:noFill/>
        </a:ln>
        <a:effectLst/>
      </c:spPr>
    </c:plotArea>
    <c:legend>
      <c:legendPos val="b"/>
      <c:layout>
        <c:manualLayout>
          <c:xMode val="edge"/>
          <c:yMode val="edge"/>
          <c:x val="2.0376793178630438E-2"/>
          <c:y val="0.91137110379606279"/>
          <c:w val="0.42132754239053449"/>
          <c:h val="6.5382092639427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502999625046872E-2"/>
          <c:y val="3.2354980355904783E-2"/>
          <c:w val="0.42837318946242831"/>
          <c:h val="0.89812839722744386"/>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3613-4E1B-9E84-E76213577819}"/>
              </c:ext>
            </c:extLst>
          </c:dPt>
          <c:dPt>
            <c:idx val="1"/>
            <c:bubble3D val="0"/>
            <c:spPr>
              <a:solidFill>
                <a:schemeClr val="accent2"/>
              </a:solidFill>
              <a:ln w="19050">
                <a:noFill/>
              </a:ln>
              <a:effectLst/>
            </c:spPr>
            <c:extLst>
              <c:ext xmlns:c16="http://schemas.microsoft.com/office/drawing/2014/chart" uri="{C3380CC4-5D6E-409C-BE32-E72D297353CC}">
                <c16:uniqueId val="{00000003-3613-4E1B-9E84-E76213577819}"/>
              </c:ext>
            </c:extLst>
          </c:dPt>
          <c:dPt>
            <c:idx val="2"/>
            <c:bubble3D val="0"/>
            <c:spPr>
              <a:solidFill>
                <a:schemeClr val="accent3"/>
              </a:solidFill>
              <a:ln w="19050">
                <a:noFill/>
              </a:ln>
              <a:effectLst/>
            </c:spPr>
            <c:extLst>
              <c:ext xmlns:c16="http://schemas.microsoft.com/office/drawing/2014/chart" uri="{C3380CC4-5D6E-409C-BE32-E72D297353CC}">
                <c16:uniqueId val="{00000005-3613-4E1B-9E84-E76213577819}"/>
              </c:ext>
            </c:extLst>
          </c:dPt>
          <c:dPt>
            <c:idx val="3"/>
            <c:bubble3D val="0"/>
            <c:spPr>
              <a:solidFill>
                <a:schemeClr val="accent4"/>
              </a:solidFill>
              <a:ln w="19050">
                <a:noFill/>
              </a:ln>
              <a:effectLst/>
            </c:spPr>
            <c:extLst>
              <c:ext xmlns:c16="http://schemas.microsoft.com/office/drawing/2014/chart" uri="{C3380CC4-5D6E-409C-BE32-E72D297353CC}">
                <c16:uniqueId val="{00000007-3613-4E1B-9E84-E76213577819}"/>
              </c:ext>
            </c:extLst>
          </c:dPt>
          <c:dLbls>
            <c:dLbl>
              <c:idx val="0"/>
              <c:layout>
                <c:manualLayout>
                  <c:x val="-4.7320213445541527E-2"/>
                  <c:y val="-0.29697375458211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13-4E1B-9E84-E76213577819}"/>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0"/>
              <c:showCatName val="0"/>
              <c:showSerName val="0"/>
              <c:showPercent val="1"/>
              <c:showBubbleSize val="0"/>
              <c:extLst>
                <c:ext xmlns:c16="http://schemas.microsoft.com/office/drawing/2014/chart" uri="{C3380CC4-5D6E-409C-BE32-E72D297353CC}">
                  <c16:uniqueId val="{00000005-3613-4E1B-9E84-E76213577819}"/>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0"/>
              <c:showCatName val="0"/>
              <c:showSerName val="0"/>
              <c:showPercent val="1"/>
              <c:showBubbleSize val="0"/>
              <c:extLst>
                <c:ext xmlns:c16="http://schemas.microsoft.com/office/drawing/2014/chart" uri="{C3380CC4-5D6E-409C-BE32-E72D297353CC}">
                  <c16:uniqueId val="{00000007-3613-4E1B-9E84-E762135778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Fizičke osobe</c:v>
                </c:pt>
                <c:pt idx="1">
                  <c:v>Udruge</c:v>
                </c:pt>
                <c:pt idx="2">
                  <c:v>Trgovačka društva</c:v>
                </c:pt>
                <c:pt idx="3">
                  <c:v>Ostali </c:v>
                </c:pt>
              </c:strCache>
            </c:strRef>
          </c:cat>
          <c:val>
            <c:numRef>
              <c:f>Sheet1!$B$1:$B$4</c:f>
              <c:numCache>
                <c:formatCode>General</c:formatCode>
                <c:ptCount val="4"/>
                <c:pt idx="0">
                  <c:v>84</c:v>
                </c:pt>
                <c:pt idx="1">
                  <c:v>2</c:v>
                </c:pt>
                <c:pt idx="2">
                  <c:v>7</c:v>
                </c:pt>
                <c:pt idx="3">
                  <c:v>7</c:v>
                </c:pt>
              </c:numCache>
            </c:numRef>
          </c:val>
          <c:extLst>
            <c:ext xmlns:c16="http://schemas.microsoft.com/office/drawing/2014/chart" uri="{C3380CC4-5D6E-409C-BE32-E72D297353CC}">
              <c16:uniqueId val="{00000008-3613-4E1B-9E84-E7621357781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2969090669221903"/>
          <c:y val="5.3038511161376443E-2"/>
          <c:w val="0.25049472982543852"/>
          <c:h val="0.273550021666230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787179380355229E-2"/>
          <c:y val="3.9775809076116435E-2"/>
          <c:w val="0.84639124970489799"/>
          <c:h val="0.73643017096195107"/>
        </c:manualLayout>
      </c:layout>
      <c:barChart>
        <c:barDir val="col"/>
        <c:grouping val="clustered"/>
        <c:varyColors val="0"/>
        <c:ser>
          <c:idx val="0"/>
          <c:order val="0"/>
          <c:tx>
            <c:strRef>
              <c:f>List1!$A$23</c:f>
              <c:strCache>
                <c:ptCount val="1"/>
                <c:pt idx="0">
                  <c:v>Broj dostavljenih izvješća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List1!$B$22:$F$22</c:f>
              <c:numCache>
                <c:formatCode>General</c:formatCode>
                <c:ptCount val="5"/>
                <c:pt idx="0">
                  <c:v>2021</c:v>
                </c:pt>
                <c:pt idx="1">
                  <c:v>2022</c:v>
                </c:pt>
                <c:pt idx="2">
                  <c:v>2023</c:v>
                </c:pt>
                <c:pt idx="3">
                  <c:v>2024</c:v>
                </c:pt>
                <c:pt idx="4">
                  <c:v>2025</c:v>
                </c:pt>
              </c:numCache>
            </c:numRef>
          </c:cat>
          <c:val>
            <c:numRef>
              <c:f>List1!$B$23:$F$23</c:f>
              <c:numCache>
                <c:formatCode>#,##0</c:formatCode>
                <c:ptCount val="5"/>
                <c:pt idx="0">
                  <c:v>5186</c:v>
                </c:pt>
                <c:pt idx="1">
                  <c:v>5323</c:v>
                </c:pt>
                <c:pt idx="2">
                  <c:v>5312</c:v>
                </c:pt>
                <c:pt idx="3">
                  <c:v>5330</c:v>
                </c:pt>
                <c:pt idx="4">
                  <c:v>5280</c:v>
                </c:pt>
              </c:numCache>
            </c:numRef>
          </c:val>
          <c:extLst>
            <c:ext xmlns:c16="http://schemas.microsoft.com/office/drawing/2014/chart" uri="{C3380CC4-5D6E-409C-BE32-E72D297353CC}">
              <c16:uniqueId val="{00000000-BBE1-4F05-A733-DD52B066F7E6}"/>
            </c:ext>
          </c:extLst>
        </c:ser>
        <c:ser>
          <c:idx val="1"/>
          <c:order val="1"/>
          <c:tx>
            <c:strRef>
              <c:f>List1!$A$24</c:f>
              <c:strCache>
                <c:ptCount val="1"/>
                <c:pt idx="0">
                  <c:v>Nisu dostavili</c:v>
                </c:pt>
              </c:strCache>
            </c:strRef>
          </c:tx>
          <c:spPr>
            <a:solidFill>
              <a:schemeClr val="accent2"/>
            </a:solidFill>
            <a:ln>
              <a:noFill/>
            </a:ln>
            <a:effectLst/>
          </c:spPr>
          <c:invertIfNegative val="0"/>
          <c:dLbls>
            <c:dLbl>
              <c:idx val="4"/>
              <c:layout>
                <c:manualLayout>
                  <c:x val="0"/>
                  <c:y val="5.58119802914709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E1-4F05-A733-DD52B066F7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List1!$B$22:$F$22</c:f>
              <c:numCache>
                <c:formatCode>General</c:formatCode>
                <c:ptCount val="5"/>
                <c:pt idx="0">
                  <c:v>2021</c:v>
                </c:pt>
                <c:pt idx="1">
                  <c:v>2022</c:v>
                </c:pt>
                <c:pt idx="2">
                  <c:v>2023</c:v>
                </c:pt>
                <c:pt idx="3">
                  <c:v>2024</c:v>
                </c:pt>
                <c:pt idx="4">
                  <c:v>2025</c:v>
                </c:pt>
              </c:numCache>
            </c:numRef>
          </c:cat>
          <c:val>
            <c:numRef>
              <c:f>List1!$B$24:$F$24</c:f>
              <c:numCache>
                <c:formatCode>#,##0</c:formatCode>
                <c:ptCount val="5"/>
                <c:pt idx="0">
                  <c:v>671</c:v>
                </c:pt>
                <c:pt idx="1">
                  <c:v>552</c:v>
                </c:pt>
                <c:pt idx="2">
                  <c:v>511</c:v>
                </c:pt>
                <c:pt idx="3">
                  <c:v>481</c:v>
                </c:pt>
                <c:pt idx="4">
                  <c:v>460</c:v>
                </c:pt>
              </c:numCache>
            </c:numRef>
          </c:val>
          <c:extLst>
            <c:ext xmlns:c16="http://schemas.microsoft.com/office/drawing/2014/chart" uri="{C3380CC4-5D6E-409C-BE32-E72D297353CC}">
              <c16:uniqueId val="{00000002-BBE1-4F05-A733-DD52B066F7E6}"/>
            </c:ext>
          </c:extLst>
        </c:ser>
        <c:dLbls>
          <c:showLegendKey val="0"/>
          <c:showVal val="1"/>
          <c:showCatName val="0"/>
          <c:showSerName val="0"/>
          <c:showPercent val="0"/>
          <c:showBubbleSize val="0"/>
        </c:dLbls>
        <c:gapWidth val="25"/>
        <c:axId val="599169695"/>
        <c:axId val="599174015"/>
      </c:barChart>
      <c:lineChart>
        <c:grouping val="standard"/>
        <c:varyColors val="0"/>
        <c:ser>
          <c:idx val="2"/>
          <c:order val="2"/>
          <c:tx>
            <c:strRef>
              <c:f>List1!$A$25</c:f>
              <c:strCache>
                <c:ptCount val="1"/>
                <c:pt idx="0">
                  <c:v>Broj TJV</c:v>
                </c:pt>
              </c:strCache>
            </c:strRef>
          </c:tx>
          <c:spPr>
            <a:ln w="28575" cap="rnd">
              <a:solidFill>
                <a:schemeClr val="accent3"/>
              </a:solidFill>
              <a:round/>
            </a:ln>
            <a:effectLst/>
          </c:spPr>
          <c:marker>
            <c:symbol val="none"/>
          </c:marker>
          <c:dLbls>
            <c:dLbl>
              <c:idx val="0"/>
              <c:layout>
                <c:manualLayout>
                  <c:x val="-7.6736241303170444E-2"/>
                  <c:y val="-7.2319652865666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E1-4F05-A733-DD52B066F7E6}"/>
                </c:ext>
              </c:extLst>
            </c:dLbl>
            <c:dLbl>
              <c:idx val="1"/>
              <c:layout>
                <c:manualLayout>
                  <c:x val="-7.8940826841089315E-2"/>
                  <c:y val="-2.5311878502983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E1-4F05-A733-DD52B066F7E6}"/>
                </c:ext>
              </c:extLst>
            </c:dLbl>
            <c:dLbl>
              <c:idx val="2"/>
              <c:layout>
                <c:manualLayout>
                  <c:x val="-7.01224846894139E-2"/>
                  <c:y val="-4.3391791719399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E1-4F05-A733-DD52B066F7E6}"/>
                </c:ext>
              </c:extLst>
            </c:dLbl>
            <c:dLbl>
              <c:idx val="3"/>
              <c:layout>
                <c:manualLayout>
                  <c:x val="-7.2327070227332771E-2"/>
                  <c:y val="-3.6159826432833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E1-4F05-A733-DD52B066F7E6}"/>
                </c:ext>
              </c:extLst>
            </c:dLbl>
            <c:dLbl>
              <c:idx val="4"/>
              <c:layout>
                <c:manualLayout>
                  <c:x val="-7.4531655765251725E-2"/>
                  <c:y val="1.80799132164165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E1-4F05-A733-DD52B066F7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List1!$B$22:$F$22</c:f>
              <c:numCache>
                <c:formatCode>General</c:formatCode>
                <c:ptCount val="5"/>
                <c:pt idx="0">
                  <c:v>2021</c:v>
                </c:pt>
                <c:pt idx="1">
                  <c:v>2022</c:v>
                </c:pt>
                <c:pt idx="2">
                  <c:v>2023</c:v>
                </c:pt>
                <c:pt idx="3">
                  <c:v>2024</c:v>
                </c:pt>
                <c:pt idx="4">
                  <c:v>2025</c:v>
                </c:pt>
              </c:numCache>
            </c:numRef>
          </c:cat>
          <c:val>
            <c:numRef>
              <c:f>List1!$B$25:$F$25</c:f>
              <c:numCache>
                <c:formatCode>#,##0</c:formatCode>
                <c:ptCount val="5"/>
                <c:pt idx="0">
                  <c:v>5857</c:v>
                </c:pt>
                <c:pt idx="1">
                  <c:v>5875</c:v>
                </c:pt>
                <c:pt idx="2">
                  <c:v>5823</c:v>
                </c:pt>
                <c:pt idx="3">
                  <c:v>5811</c:v>
                </c:pt>
                <c:pt idx="4">
                  <c:v>5740</c:v>
                </c:pt>
              </c:numCache>
            </c:numRef>
          </c:val>
          <c:smooth val="0"/>
          <c:extLst>
            <c:ext xmlns:c16="http://schemas.microsoft.com/office/drawing/2014/chart" uri="{C3380CC4-5D6E-409C-BE32-E72D297353CC}">
              <c16:uniqueId val="{00000008-BBE1-4F05-A733-DD52B066F7E6}"/>
            </c:ext>
          </c:extLst>
        </c:ser>
        <c:dLbls>
          <c:showLegendKey val="0"/>
          <c:showVal val="1"/>
          <c:showCatName val="0"/>
          <c:showSerName val="0"/>
          <c:showPercent val="0"/>
          <c:showBubbleSize val="0"/>
        </c:dLbls>
        <c:marker val="1"/>
        <c:smooth val="0"/>
        <c:axId val="599169695"/>
        <c:axId val="599174015"/>
      </c:lineChart>
      <c:lineChart>
        <c:grouping val="standard"/>
        <c:varyColors val="0"/>
        <c:ser>
          <c:idx val="3"/>
          <c:order val="3"/>
          <c:tx>
            <c:strRef>
              <c:f>List1!$A$26</c:f>
              <c:strCache>
                <c:ptCount val="1"/>
                <c:pt idx="0">
                  <c:v>Postotak dostavljenih izvješća</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List1!$B$22:$F$22</c:f>
              <c:numCache>
                <c:formatCode>General</c:formatCode>
                <c:ptCount val="5"/>
                <c:pt idx="0">
                  <c:v>2021</c:v>
                </c:pt>
                <c:pt idx="1">
                  <c:v>2022</c:v>
                </c:pt>
                <c:pt idx="2">
                  <c:v>2023</c:v>
                </c:pt>
                <c:pt idx="3">
                  <c:v>2024</c:v>
                </c:pt>
                <c:pt idx="4">
                  <c:v>2025</c:v>
                </c:pt>
              </c:numCache>
            </c:numRef>
          </c:cat>
          <c:val>
            <c:numRef>
              <c:f>List1!$B$26:$F$26</c:f>
              <c:numCache>
                <c:formatCode>0.0%</c:formatCode>
                <c:ptCount val="5"/>
                <c:pt idx="0">
                  <c:v>0.88543623015195494</c:v>
                </c:pt>
                <c:pt idx="1">
                  <c:v>0.90604255319148941</c:v>
                </c:pt>
                <c:pt idx="2">
                  <c:v>0.91224454748411477</c:v>
                </c:pt>
                <c:pt idx="3">
                  <c:v>0.91700000000000004</c:v>
                </c:pt>
                <c:pt idx="4">
                  <c:v>0.92</c:v>
                </c:pt>
              </c:numCache>
            </c:numRef>
          </c:val>
          <c:smooth val="0"/>
          <c:extLst>
            <c:ext xmlns:c16="http://schemas.microsoft.com/office/drawing/2014/chart" uri="{C3380CC4-5D6E-409C-BE32-E72D297353CC}">
              <c16:uniqueId val="{00000009-BBE1-4F05-A733-DD52B066F7E6}"/>
            </c:ext>
          </c:extLst>
        </c:ser>
        <c:dLbls>
          <c:showLegendKey val="0"/>
          <c:showVal val="1"/>
          <c:showCatName val="0"/>
          <c:showSerName val="0"/>
          <c:showPercent val="0"/>
          <c:showBubbleSize val="0"/>
        </c:dLbls>
        <c:marker val="1"/>
        <c:smooth val="0"/>
        <c:axId val="599172575"/>
        <c:axId val="599170655"/>
      </c:lineChart>
      <c:catAx>
        <c:axId val="59916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9174015"/>
        <c:crosses val="autoZero"/>
        <c:auto val="1"/>
        <c:lblAlgn val="ctr"/>
        <c:lblOffset val="100"/>
        <c:noMultiLvlLbl val="0"/>
      </c:catAx>
      <c:valAx>
        <c:axId val="59917401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599169695"/>
        <c:crosses val="autoZero"/>
        <c:crossBetween val="between"/>
      </c:valAx>
      <c:valAx>
        <c:axId val="599170655"/>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599172575"/>
        <c:crosses val="max"/>
        <c:crossBetween val="between"/>
      </c:valAx>
      <c:catAx>
        <c:axId val="599172575"/>
        <c:scaling>
          <c:orientation val="minMax"/>
        </c:scaling>
        <c:delete val="1"/>
        <c:axPos val="b"/>
        <c:numFmt formatCode="General" sourceLinked="1"/>
        <c:majorTickMark val="out"/>
        <c:minorTickMark val="none"/>
        <c:tickLblPos val="nextTo"/>
        <c:crossAx val="599170655"/>
        <c:crosses val="autoZero"/>
        <c:auto val="1"/>
        <c:lblAlgn val="ctr"/>
        <c:lblOffset val="100"/>
        <c:noMultiLvlLbl val="0"/>
      </c:catAx>
      <c:spPr>
        <a:noFill/>
        <a:ln>
          <a:noFill/>
        </a:ln>
        <a:effectLst/>
      </c:spPr>
    </c:plotArea>
    <c:legend>
      <c:legendPos val="b"/>
      <c:layout>
        <c:manualLayout>
          <c:xMode val="edge"/>
          <c:yMode val="edge"/>
          <c:x val="7.4250440917107585E-2"/>
          <c:y val="0.8600905134552993"/>
          <c:w val="0.8426807760141094"/>
          <c:h val="0.10736564275515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List6!$B$1930</c:f>
              <c:strCache>
                <c:ptCount val="1"/>
                <c:pt idx="0">
                  <c:v>ukupan broj tijela na popisu</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List6!$C$1929:$G$1929</c:f>
              <c:numCache>
                <c:formatCode>General</c:formatCode>
                <c:ptCount val="5"/>
                <c:pt idx="0">
                  <c:v>2021</c:v>
                </c:pt>
                <c:pt idx="1">
                  <c:v>2022</c:v>
                </c:pt>
                <c:pt idx="2">
                  <c:v>2023</c:v>
                </c:pt>
                <c:pt idx="3">
                  <c:v>2024</c:v>
                </c:pt>
                <c:pt idx="4">
                  <c:v>2025</c:v>
                </c:pt>
              </c:numCache>
            </c:numRef>
          </c:cat>
          <c:val>
            <c:numRef>
              <c:f>List6!$C$1930:$G$1930</c:f>
              <c:numCache>
                <c:formatCode>#,##0</c:formatCode>
                <c:ptCount val="5"/>
                <c:pt idx="0">
                  <c:v>5857</c:v>
                </c:pt>
                <c:pt idx="1">
                  <c:v>5875</c:v>
                </c:pt>
                <c:pt idx="2">
                  <c:v>5823</c:v>
                </c:pt>
                <c:pt idx="3">
                  <c:v>5811</c:v>
                </c:pt>
                <c:pt idx="4">
                  <c:v>5740</c:v>
                </c:pt>
              </c:numCache>
            </c:numRef>
          </c:val>
          <c:extLst>
            <c:ext xmlns:c16="http://schemas.microsoft.com/office/drawing/2014/chart" uri="{C3380CC4-5D6E-409C-BE32-E72D297353CC}">
              <c16:uniqueId val="{00000000-3BEC-4B35-8B44-B3B08808EB64}"/>
            </c:ext>
          </c:extLst>
        </c:ser>
        <c:ser>
          <c:idx val="1"/>
          <c:order val="1"/>
          <c:tx>
            <c:strRef>
              <c:f>List6!$B$1931</c:f>
              <c:strCache>
                <c:ptCount val="1"/>
                <c:pt idx="0">
                  <c:v>ukupan broj tijela koja su dostavila izvješće</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List6!$C$1929:$G$1929</c:f>
              <c:numCache>
                <c:formatCode>General</c:formatCode>
                <c:ptCount val="5"/>
                <c:pt idx="0">
                  <c:v>2021</c:v>
                </c:pt>
                <c:pt idx="1">
                  <c:v>2022</c:v>
                </c:pt>
                <c:pt idx="2">
                  <c:v>2023</c:v>
                </c:pt>
                <c:pt idx="3">
                  <c:v>2024</c:v>
                </c:pt>
                <c:pt idx="4">
                  <c:v>2025</c:v>
                </c:pt>
              </c:numCache>
            </c:numRef>
          </c:cat>
          <c:val>
            <c:numRef>
              <c:f>List6!$C$1931:$G$1931</c:f>
              <c:numCache>
                <c:formatCode>#,##0</c:formatCode>
                <c:ptCount val="5"/>
                <c:pt idx="0">
                  <c:v>5186</c:v>
                </c:pt>
                <c:pt idx="1">
                  <c:v>5323</c:v>
                </c:pt>
                <c:pt idx="2">
                  <c:v>5312</c:v>
                </c:pt>
                <c:pt idx="3">
                  <c:v>5330</c:v>
                </c:pt>
                <c:pt idx="4">
                  <c:v>5280</c:v>
                </c:pt>
              </c:numCache>
            </c:numRef>
          </c:val>
          <c:extLst>
            <c:ext xmlns:c16="http://schemas.microsoft.com/office/drawing/2014/chart" uri="{C3380CC4-5D6E-409C-BE32-E72D297353CC}">
              <c16:uniqueId val="{00000001-3BEC-4B35-8B44-B3B08808EB64}"/>
            </c:ext>
          </c:extLst>
        </c:ser>
        <c:dLbls>
          <c:showLegendKey val="0"/>
          <c:showVal val="0"/>
          <c:showCatName val="0"/>
          <c:showSerName val="0"/>
          <c:showPercent val="0"/>
          <c:showBubbleSize val="0"/>
        </c:dLbls>
        <c:gapWidth val="30"/>
        <c:axId val="915924223"/>
        <c:axId val="915941023"/>
      </c:barChart>
      <c:lineChart>
        <c:grouping val="standard"/>
        <c:varyColors val="0"/>
        <c:ser>
          <c:idx val="2"/>
          <c:order val="2"/>
          <c:tx>
            <c:strRef>
              <c:f>List6!$B$1932</c:f>
              <c:strCache>
                <c:ptCount val="1"/>
                <c:pt idx="0">
                  <c:v>ukupan broj tijela koja su tijekom godine rješavala zahtjeve</c:v>
                </c:pt>
              </c:strCache>
            </c:strRef>
          </c:tx>
          <c:spPr>
            <a:ln w="28575" cap="rnd">
              <a:solidFill>
                <a:srgbClr val="EE0000"/>
              </a:solidFill>
              <a:round/>
            </a:ln>
            <a:effectLst/>
          </c:spPr>
          <c:marker>
            <c:symbol val="square"/>
            <c:size val="5"/>
            <c:spPr>
              <a:solidFill>
                <a:schemeClr val="accent3"/>
              </a:solidFill>
              <a:ln w="9525">
                <a:solidFill>
                  <a:schemeClr val="accent3"/>
                </a:solidFill>
              </a:ln>
              <a:effectLst/>
            </c:spPr>
          </c:marker>
          <c:dLbls>
            <c:dLbl>
              <c:idx val="0"/>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b"/>
              <c:showLegendKey val="0"/>
              <c:showVal val="1"/>
              <c:showCatName val="0"/>
              <c:showSerName val="0"/>
              <c:showPercent val="0"/>
              <c:showBubbleSize val="0"/>
              <c:extLst>
                <c:ext xmlns:c16="http://schemas.microsoft.com/office/drawing/2014/chart" uri="{C3380CC4-5D6E-409C-BE32-E72D297353CC}">
                  <c16:uniqueId val="{00000002-3BEC-4B35-8B44-B3B08808EB64}"/>
                </c:ext>
              </c:extLst>
            </c:dLbl>
            <c:dLbl>
              <c:idx val="1"/>
              <c:layout>
                <c:manualLayout>
                  <c:x val="-4.7166491913899947E-2"/>
                  <c:y val="5.4931335830212237E-2"/>
                </c:manualLayout>
              </c:layout>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EC-4B35-8B44-B3B08808EB64}"/>
                </c:ext>
              </c:extLst>
            </c:dLbl>
            <c:dLbl>
              <c:idx val="2"/>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b"/>
              <c:showLegendKey val="0"/>
              <c:showVal val="1"/>
              <c:showCatName val="0"/>
              <c:showSerName val="0"/>
              <c:showPercent val="0"/>
              <c:showBubbleSize val="0"/>
              <c:extLst>
                <c:ext xmlns:c16="http://schemas.microsoft.com/office/drawing/2014/chart" uri="{C3380CC4-5D6E-409C-BE32-E72D297353CC}">
                  <c16:uniqueId val="{00000004-3BEC-4B35-8B44-B3B08808EB64}"/>
                </c:ext>
              </c:extLst>
            </c:dLbl>
            <c:dLbl>
              <c:idx val="3"/>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b"/>
              <c:showLegendKey val="0"/>
              <c:showVal val="1"/>
              <c:showCatName val="0"/>
              <c:showSerName val="0"/>
              <c:showPercent val="0"/>
              <c:showBubbleSize val="0"/>
              <c:extLst>
                <c:ext xmlns:c16="http://schemas.microsoft.com/office/drawing/2014/chart" uri="{C3380CC4-5D6E-409C-BE32-E72D297353CC}">
                  <c16:uniqueId val="{00000005-3BEC-4B35-8B44-B3B08808EB64}"/>
                </c:ext>
              </c:extLst>
            </c:dLbl>
            <c:dLbl>
              <c:idx val="4"/>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b"/>
              <c:showLegendKey val="0"/>
              <c:showVal val="1"/>
              <c:showCatName val="0"/>
              <c:showSerName val="0"/>
              <c:showPercent val="0"/>
              <c:showBubbleSize val="0"/>
              <c:extLst>
                <c:ext xmlns:c16="http://schemas.microsoft.com/office/drawing/2014/chart" uri="{C3380CC4-5D6E-409C-BE32-E72D297353CC}">
                  <c16:uniqueId val="{00000006-3BEC-4B35-8B44-B3B08808EB64}"/>
                </c:ext>
              </c:extLst>
            </c:dLbl>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List6!$C$1929:$G$1929</c:f>
              <c:numCache>
                <c:formatCode>General</c:formatCode>
                <c:ptCount val="5"/>
                <c:pt idx="0">
                  <c:v>2021</c:v>
                </c:pt>
                <c:pt idx="1">
                  <c:v>2022</c:v>
                </c:pt>
                <c:pt idx="2">
                  <c:v>2023</c:v>
                </c:pt>
                <c:pt idx="3">
                  <c:v>2024</c:v>
                </c:pt>
                <c:pt idx="4">
                  <c:v>2025</c:v>
                </c:pt>
              </c:numCache>
            </c:numRef>
          </c:cat>
          <c:val>
            <c:numRef>
              <c:f>List6!$C$1932:$G$1932</c:f>
              <c:numCache>
                <c:formatCode>#,##0</c:formatCode>
                <c:ptCount val="5"/>
                <c:pt idx="0">
                  <c:v>2210</c:v>
                </c:pt>
                <c:pt idx="1">
                  <c:v>3371</c:v>
                </c:pt>
                <c:pt idx="2">
                  <c:v>2409</c:v>
                </c:pt>
                <c:pt idx="3">
                  <c:v>1958</c:v>
                </c:pt>
                <c:pt idx="4">
                  <c:v>1886</c:v>
                </c:pt>
              </c:numCache>
            </c:numRef>
          </c:val>
          <c:smooth val="1"/>
          <c:extLst>
            <c:ext xmlns:c16="http://schemas.microsoft.com/office/drawing/2014/chart" uri="{C3380CC4-5D6E-409C-BE32-E72D297353CC}">
              <c16:uniqueId val="{00000007-3BEC-4B35-8B44-B3B08808EB64}"/>
            </c:ext>
          </c:extLst>
        </c:ser>
        <c:ser>
          <c:idx val="3"/>
          <c:order val="3"/>
          <c:tx>
            <c:strRef>
              <c:f>List6!$B$1933</c:f>
              <c:strCache>
                <c:ptCount val="1"/>
                <c:pt idx="0">
                  <c:v>ukupan broj tijela koja tijekom godine nisu zaprimila niti jedan zahtjev</c:v>
                </c:pt>
              </c:strCache>
            </c:strRef>
          </c:tx>
          <c:spPr>
            <a:ln w="28575" cap="rnd">
              <a:solidFill>
                <a:srgbClr val="002060"/>
              </a:solidFill>
              <a:round/>
            </a:ln>
            <a:effectLst/>
          </c:spPr>
          <c:marker>
            <c:symbol val="square"/>
            <c:size val="5"/>
            <c:spPr>
              <a:solidFill>
                <a:schemeClr val="accent4"/>
              </a:solidFill>
              <a:ln w="9525">
                <a:solidFill>
                  <a:schemeClr val="accent1"/>
                </a:solidFill>
              </a:ln>
              <a:effectLst/>
            </c:spPr>
          </c:marker>
          <c:dLbls>
            <c:dLbl>
              <c:idx val="1"/>
              <c:layout>
                <c:manualLayout>
                  <c:x val="-4.9406384399060657E-2"/>
                  <c:y val="4.61409395973153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EC-4B35-8B44-B3B08808EB64}"/>
                </c:ext>
              </c:extLst>
            </c:dLbl>
            <c:dLbl>
              <c:idx val="3"/>
              <c:layout>
                <c:manualLayout>
                  <c:x val="-4.4926599428739313E-2"/>
                  <c:y val="4.49438202247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EC-4B35-8B44-B3B08808EB64}"/>
                </c:ext>
              </c:extLst>
            </c:dLbl>
            <c:dLbl>
              <c:idx val="4"/>
              <c:layout>
                <c:manualLayout>
                  <c:x val="-5.1646276884221368E-2"/>
                  <c:y val="4.49438202247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BEC-4B35-8B44-B3B08808EB6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List6!$C$1929:$G$1929</c:f>
              <c:numCache>
                <c:formatCode>General</c:formatCode>
                <c:ptCount val="5"/>
                <c:pt idx="0">
                  <c:v>2021</c:v>
                </c:pt>
                <c:pt idx="1">
                  <c:v>2022</c:v>
                </c:pt>
                <c:pt idx="2">
                  <c:v>2023</c:v>
                </c:pt>
                <c:pt idx="3">
                  <c:v>2024</c:v>
                </c:pt>
                <c:pt idx="4">
                  <c:v>2025</c:v>
                </c:pt>
              </c:numCache>
            </c:numRef>
          </c:cat>
          <c:val>
            <c:numRef>
              <c:f>List6!$C$1933:$G$1933</c:f>
              <c:numCache>
                <c:formatCode>#,##0</c:formatCode>
                <c:ptCount val="5"/>
                <c:pt idx="0">
                  <c:v>2976</c:v>
                </c:pt>
                <c:pt idx="1">
                  <c:v>1952</c:v>
                </c:pt>
                <c:pt idx="2">
                  <c:v>2903</c:v>
                </c:pt>
                <c:pt idx="3">
                  <c:v>3372</c:v>
                </c:pt>
                <c:pt idx="4">
                  <c:v>3395</c:v>
                </c:pt>
              </c:numCache>
            </c:numRef>
          </c:val>
          <c:smooth val="1"/>
          <c:extLst>
            <c:ext xmlns:c16="http://schemas.microsoft.com/office/drawing/2014/chart" uri="{C3380CC4-5D6E-409C-BE32-E72D297353CC}">
              <c16:uniqueId val="{0000000B-3BEC-4B35-8B44-B3B08808EB64}"/>
            </c:ext>
          </c:extLst>
        </c:ser>
        <c:dLbls>
          <c:showLegendKey val="0"/>
          <c:showVal val="0"/>
          <c:showCatName val="0"/>
          <c:showSerName val="0"/>
          <c:showPercent val="0"/>
          <c:showBubbleSize val="0"/>
        </c:dLbls>
        <c:marker val="1"/>
        <c:smooth val="0"/>
        <c:axId val="915924223"/>
        <c:axId val="915941023"/>
      </c:lineChart>
      <c:catAx>
        <c:axId val="915924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915941023"/>
        <c:crosses val="autoZero"/>
        <c:auto val="1"/>
        <c:lblAlgn val="ctr"/>
        <c:lblOffset val="100"/>
        <c:noMultiLvlLbl val="0"/>
      </c:catAx>
      <c:valAx>
        <c:axId val="915941023"/>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915924223"/>
        <c:crosses val="autoZero"/>
        <c:crossBetween val="between"/>
      </c:valAx>
      <c:spPr>
        <a:noFill/>
        <a:ln>
          <a:noFill/>
        </a:ln>
        <a:effectLst/>
      </c:spPr>
    </c:plotArea>
    <c:legend>
      <c:legendPos val="b"/>
      <c:layout>
        <c:manualLayout>
          <c:xMode val="edge"/>
          <c:yMode val="edge"/>
          <c:x val="4.516028899904144E-2"/>
          <c:y val="0.77099934119488256"/>
          <c:w val="0.89623989072146582"/>
          <c:h val="0.199037971915914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Roboto" panose="02000000000000000000" pitchFamily="2" charset="0"/>
          <a:ea typeface="Roboto" panose="02000000000000000000" pitchFamily="2" charset="0"/>
          <a:cs typeface="Roboto" panose="02000000000000000000" pitchFamily="2" charset="0"/>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064068380341343E-2"/>
          <c:y val="1.73412701664113E-2"/>
          <c:w val="0.40755513199738924"/>
          <c:h val="0.96184707530705382"/>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F3A3-49AC-BC98-F1B8D2CE5F1E}"/>
              </c:ext>
            </c:extLst>
          </c:dPt>
          <c:dPt>
            <c:idx val="1"/>
            <c:bubble3D val="0"/>
            <c:spPr>
              <a:solidFill>
                <a:schemeClr val="accent2"/>
              </a:solidFill>
              <a:ln w="19050">
                <a:noFill/>
              </a:ln>
              <a:effectLst/>
            </c:spPr>
            <c:extLst>
              <c:ext xmlns:c16="http://schemas.microsoft.com/office/drawing/2014/chart" uri="{C3380CC4-5D6E-409C-BE32-E72D297353CC}">
                <c16:uniqueId val="{00000003-F3A3-49AC-BC98-F1B8D2CE5F1E}"/>
              </c:ext>
            </c:extLst>
          </c:dPt>
          <c:dPt>
            <c:idx val="2"/>
            <c:bubble3D val="0"/>
            <c:spPr>
              <a:solidFill>
                <a:schemeClr val="accent3"/>
              </a:solidFill>
              <a:ln w="19050">
                <a:noFill/>
              </a:ln>
              <a:effectLst/>
            </c:spPr>
            <c:extLst>
              <c:ext xmlns:c16="http://schemas.microsoft.com/office/drawing/2014/chart" uri="{C3380CC4-5D6E-409C-BE32-E72D297353CC}">
                <c16:uniqueId val="{00000005-F3A3-49AC-BC98-F1B8D2CE5F1E}"/>
              </c:ext>
            </c:extLst>
          </c:dPt>
          <c:dPt>
            <c:idx val="3"/>
            <c:bubble3D val="0"/>
            <c:spPr>
              <a:solidFill>
                <a:schemeClr val="accent4"/>
              </a:solidFill>
              <a:ln w="0">
                <a:noFill/>
              </a:ln>
              <a:effectLst/>
            </c:spPr>
            <c:extLst>
              <c:ext xmlns:c16="http://schemas.microsoft.com/office/drawing/2014/chart" uri="{C3380CC4-5D6E-409C-BE32-E72D297353CC}">
                <c16:uniqueId val="{00000007-F3A3-49AC-BC98-F1B8D2CE5F1E}"/>
              </c:ext>
            </c:extLst>
          </c:dPt>
          <c:dPt>
            <c:idx val="4"/>
            <c:bubble3D val="0"/>
            <c:spPr>
              <a:solidFill>
                <a:schemeClr val="accent5"/>
              </a:solidFill>
              <a:ln w="19050">
                <a:noFill/>
              </a:ln>
              <a:effectLst/>
            </c:spPr>
            <c:extLst>
              <c:ext xmlns:c16="http://schemas.microsoft.com/office/drawing/2014/chart" uri="{C3380CC4-5D6E-409C-BE32-E72D297353CC}">
                <c16:uniqueId val="{00000009-F3A3-49AC-BC98-F1B8D2CE5F1E}"/>
              </c:ext>
            </c:extLst>
          </c:dPt>
          <c:dLbls>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A3-49AC-BC98-F1B8D2CE5F1E}"/>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A3-49AC-BC98-F1B8D2CE5F1E}"/>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List2!$A$3:$A$7</c:f>
              <c:strCache>
                <c:ptCount val="5"/>
                <c:pt idx="0">
                  <c:v>podnesak se ne smatra zahtjevom u smislu članka 18. stavka 5. ZPPI-ja </c:v>
                </c:pt>
                <c:pt idx="1">
                  <c:v>informacija je javno objavljena </c:v>
                </c:pt>
                <c:pt idx="2">
                  <c:v>stranka u postupku - dostupnost informacija utvrđena je drugim propisom</c:v>
                </c:pt>
                <c:pt idx="3">
                  <c:v> informacija je već dobivena, a nije protekao rok od 90 dana od podnošenja prethodnog zahtjeva</c:v>
                </c:pt>
                <c:pt idx="4">
                  <c:v> postoji obveza zaštite odnosno čuvanja tajnosti informacije, sukladno članku 1. stavku 4. i 5. ZPPI-ja</c:v>
                </c:pt>
              </c:strCache>
            </c:strRef>
          </c:cat>
          <c:val>
            <c:numRef>
              <c:f>List2!$B$3:$B$7</c:f>
              <c:numCache>
                <c:formatCode>0%</c:formatCode>
                <c:ptCount val="5"/>
                <c:pt idx="0">
                  <c:v>0.5</c:v>
                </c:pt>
                <c:pt idx="1">
                  <c:v>0.26</c:v>
                </c:pt>
                <c:pt idx="2">
                  <c:v>0.16</c:v>
                </c:pt>
                <c:pt idx="3">
                  <c:v>0.06</c:v>
                </c:pt>
                <c:pt idx="4">
                  <c:v>0.04</c:v>
                </c:pt>
              </c:numCache>
            </c:numRef>
          </c:val>
          <c:extLst>
            <c:ext xmlns:c16="http://schemas.microsoft.com/office/drawing/2014/chart" uri="{C3380CC4-5D6E-409C-BE32-E72D297353CC}">
              <c16:uniqueId val="{0000000A-F3A3-49AC-BC98-F1B8D2CE5F1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806374897582254"/>
          <c:y val="4.6898735732955346E-2"/>
          <c:w val="0.3310860864976734"/>
          <c:h val="0.921883782477242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Roboto" panose="02000000000000000000" pitchFamily="2" charset="0"/>
          <a:ea typeface="Roboto" panose="02000000000000000000" pitchFamily="2" charset="0"/>
          <a:cs typeface="Roboto" panose="02000000000000000000" pitchFamily="2" charset="0"/>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452304046837638E-2"/>
          <c:y val="8.7766949923338777E-2"/>
          <c:w val="0.42180092071824354"/>
          <c:h val="0.84193134274057324"/>
        </c:manualLayout>
      </c:layout>
      <c:pieChart>
        <c:varyColors val="1"/>
        <c:ser>
          <c:idx val="0"/>
          <c:order val="0"/>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979D-4501-86FA-7F72DE364A4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979D-4501-86FA-7F72DE364A4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979D-4501-86FA-7F72DE364A4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979D-4501-86FA-7F72DE364A4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979D-4501-86FA-7F72DE364A4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979D-4501-86FA-7F72DE364A49}"/>
              </c:ext>
            </c:extLst>
          </c:dPt>
          <c:dLbls>
            <c:dLbl>
              <c:idx val="0"/>
              <c:layout>
                <c:manualLayout>
                  <c:x val="-5.711147721032396E-2"/>
                  <c:y val="-0.3803748621830210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9D-4501-86FA-7F72DE364A49}"/>
                </c:ext>
              </c:extLst>
            </c:dLbl>
            <c:dLbl>
              <c:idx val="5"/>
              <c:layout>
                <c:manualLayout>
                  <c:x val="1.5376166941241077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79D-4501-86FA-7F72DE364A4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List2!$A$2:$A$7</c:f>
              <c:strCache>
                <c:ptCount val="6"/>
                <c:pt idx="0">
                  <c:v>fizičke osobe - građani</c:v>
                </c:pt>
                <c:pt idx="1">
                  <c:v>fizičke osobe -  viječnici, članovi</c:v>
                </c:pt>
                <c:pt idx="2">
                  <c:v>udruge i građanske inicijative</c:v>
                </c:pt>
                <c:pt idx="3">
                  <c:v>novinari ili mediji</c:v>
                </c:pt>
                <c:pt idx="4">
                  <c:v>trgovačka društva </c:v>
                </c:pt>
                <c:pt idx="5">
                  <c:v>ostali</c:v>
                </c:pt>
              </c:strCache>
            </c:strRef>
          </c:cat>
          <c:val>
            <c:numRef>
              <c:f>List2!$B$2:$B$7</c:f>
              <c:numCache>
                <c:formatCode>General</c:formatCode>
                <c:ptCount val="6"/>
                <c:pt idx="0" formatCode="#,##0">
                  <c:v>1099</c:v>
                </c:pt>
                <c:pt idx="1">
                  <c:v>13</c:v>
                </c:pt>
                <c:pt idx="2">
                  <c:v>94</c:v>
                </c:pt>
                <c:pt idx="3">
                  <c:v>49</c:v>
                </c:pt>
                <c:pt idx="4">
                  <c:v>53</c:v>
                </c:pt>
                <c:pt idx="5">
                  <c:v>12</c:v>
                </c:pt>
              </c:numCache>
            </c:numRef>
          </c:val>
          <c:extLst>
            <c:ext xmlns:c16="http://schemas.microsoft.com/office/drawing/2014/chart" uri="{C3380CC4-5D6E-409C-BE32-E72D297353CC}">
              <c16:uniqueId val="{0000000C-979D-4501-86FA-7F72DE364A49}"/>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b"/>
      <c:layout>
        <c:manualLayout>
          <c:xMode val="edge"/>
          <c:yMode val="edge"/>
          <c:x val="0.68399002019311017"/>
          <c:y val="5.9794176094736327E-2"/>
          <c:w val="0.30618998819546239"/>
          <c:h val="0.499852497115898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60317460317459E-2"/>
          <c:y val="3.9377580184185454E-2"/>
          <c:w val="0.91910091099723645"/>
          <c:h val="0.65484984548339831"/>
        </c:manualLayout>
      </c:layout>
      <c:barChart>
        <c:barDir val="col"/>
        <c:grouping val="clustered"/>
        <c:varyColors val="0"/>
        <c:ser>
          <c:idx val="0"/>
          <c:order val="0"/>
          <c:tx>
            <c:strRef>
              <c:f>'[Predstavke statistika GI 2025 (MK).xlsx]Statistika'!$A$23</c:f>
              <c:strCache>
                <c:ptCount val="1"/>
                <c:pt idx="0">
                  <c:v>Broj podnesenih predstavki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'[Predstavke statistika GI 2025 (MK).xlsx]Statistika'!$B$22:$F$22</c:f>
              <c:strCache>
                <c:ptCount val="5"/>
                <c:pt idx="0">
                  <c:v>2021.</c:v>
                </c:pt>
                <c:pt idx="1">
                  <c:v>2022.</c:v>
                </c:pt>
                <c:pt idx="2">
                  <c:v>2023.</c:v>
                </c:pt>
                <c:pt idx="3">
                  <c:v>2024</c:v>
                </c:pt>
                <c:pt idx="4">
                  <c:v>2025</c:v>
                </c:pt>
              </c:strCache>
            </c:strRef>
          </c:cat>
          <c:val>
            <c:numRef>
              <c:f>'[Predstavke statistika GI 2025 (MK).xlsx]Statistika'!$B$23:$F$23</c:f>
              <c:numCache>
                <c:formatCode>0</c:formatCode>
                <c:ptCount val="5"/>
                <c:pt idx="0">
                  <c:v>390</c:v>
                </c:pt>
                <c:pt idx="1">
                  <c:v>504</c:v>
                </c:pt>
                <c:pt idx="2">
                  <c:v>504</c:v>
                </c:pt>
                <c:pt idx="3">
                  <c:v>343</c:v>
                </c:pt>
                <c:pt idx="4">
                  <c:v>480</c:v>
                </c:pt>
              </c:numCache>
            </c:numRef>
          </c:val>
          <c:extLst>
            <c:ext xmlns:c16="http://schemas.microsoft.com/office/drawing/2014/chart" uri="{C3380CC4-5D6E-409C-BE32-E72D297353CC}">
              <c16:uniqueId val="{00000000-ECA0-0E42-850F-C3E5D901B4D5}"/>
            </c:ext>
          </c:extLst>
        </c:ser>
        <c:ser>
          <c:idx val="1"/>
          <c:order val="1"/>
          <c:tx>
            <c:strRef>
              <c:f>'[Predstavke statistika GI 2025 (MK).xlsx]Statistika'!$A$24</c:f>
              <c:strCache>
                <c:ptCount val="1"/>
                <c:pt idx="0">
                  <c:v>Preneseno iz prethodnih godina</c:v>
                </c:pt>
              </c:strCache>
            </c:strRef>
          </c:tx>
          <c:spPr>
            <a:solidFill>
              <a:schemeClr val="accent2"/>
            </a:solidFill>
            <a:ln>
              <a:noFill/>
            </a:ln>
            <a:effectLst/>
          </c:spPr>
          <c:invertIfNegative val="0"/>
          <c:dLbls>
            <c:dLbl>
              <c:idx val="4"/>
              <c:layout>
                <c:manualLayout>
                  <c:x val="2.8844418769630041E-3"/>
                  <c:y val="-9.5665144875258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A0-0E42-850F-C3E5D901B4D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'[Predstavke statistika GI 2025 (MK).xlsx]Statistika'!$B$22:$F$22</c:f>
              <c:strCache>
                <c:ptCount val="5"/>
                <c:pt idx="0">
                  <c:v>2021.</c:v>
                </c:pt>
                <c:pt idx="1">
                  <c:v>2022.</c:v>
                </c:pt>
                <c:pt idx="2">
                  <c:v>2023.</c:v>
                </c:pt>
                <c:pt idx="3">
                  <c:v>2024</c:v>
                </c:pt>
                <c:pt idx="4">
                  <c:v>2025</c:v>
                </c:pt>
              </c:strCache>
            </c:strRef>
          </c:cat>
          <c:val>
            <c:numRef>
              <c:f>'[Predstavke statistika GI 2025 (MK).xlsx]Statistika'!$B$24:$F$24</c:f>
              <c:numCache>
                <c:formatCode>0</c:formatCode>
                <c:ptCount val="5"/>
                <c:pt idx="0">
                  <c:v>70</c:v>
                </c:pt>
                <c:pt idx="1">
                  <c:v>74</c:v>
                </c:pt>
                <c:pt idx="2">
                  <c:v>74</c:v>
                </c:pt>
                <c:pt idx="3">
                  <c:v>69</c:v>
                </c:pt>
                <c:pt idx="4">
                  <c:v>41</c:v>
                </c:pt>
              </c:numCache>
            </c:numRef>
          </c:val>
          <c:extLst>
            <c:ext xmlns:c16="http://schemas.microsoft.com/office/drawing/2014/chart" uri="{C3380CC4-5D6E-409C-BE32-E72D297353CC}">
              <c16:uniqueId val="{00000002-ECA0-0E42-850F-C3E5D901B4D5}"/>
            </c:ext>
          </c:extLst>
        </c:ser>
        <c:ser>
          <c:idx val="2"/>
          <c:order val="2"/>
          <c:tx>
            <c:strRef>
              <c:f>'[Predstavke statistika GI 2025 (MK).xlsx]Statistika'!$A$25</c:f>
              <c:strCache>
                <c:ptCount val="1"/>
                <c:pt idx="0">
                  <c:v>Broj predstavki u rješavanju</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'[Predstavke statistika GI 2025 (MK).xlsx]Statistika'!$B$22:$F$22</c:f>
              <c:strCache>
                <c:ptCount val="5"/>
                <c:pt idx="0">
                  <c:v>2021.</c:v>
                </c:pt>
                <c:pt idx="1">
                  <c:v>2022.</c:v>
                </c:pt>
                <c:pt idx="2">
                  <c:v>2023.</c:v>
                </c:pt>
                <c:pt idx="3">
                  <c:v>2024</c:v>
                </c:pt>
                <c:pt idx="4">
                  <c:v>2025</c:v>
                </c:pt>
              </c:strCache>
            </c:strRef>
          </c:cat>
          <c:val>
            <c:numRef>
              <c:f>'[Predstavke statistika GI 2025 (MK).xlsx]Statistika'!$B$25:$F$25</c:f>
              <c:numCache>
                <c:formatCode>0</c:formatCode>
                <c:ptCount val="5"/>
                <c:pt idx="0">
                  <c:v>460</c:v>
                </c:pt>
                <c:pt idx="1">
                  <c:v>578</c:v>
                </c:pt>
                <c:pt idx="2">
                  <c:v>578</c:v>
                </c:pt>
                <c:pt idx="3">
                  <c:v>412</c:v>
                </c:pt>
                <c:pt idx="4">
                  <c:v>521</c:v>
                </c:pt>
              </c:numCache>
            </c:numRef>
          </c:val>
          <c:extLst>
            <c:ext xmlns:c16="http://schemas.microsoft.com/office/drawing/2014/chart" uri="{C3380CC4-5D6E-409C-BE32-E72D297353CC}">
              <c16:uniqueId val="{00000003-ECA0-0E42-850F-C3E5D901B4D5}"/>
            </c:ext>
          </c:extLst>
        </c:ser>
        <c:ser>
          <c:idx val="3"/>
          <c:order val="3"/>
          <c:tx>
            <c:strRef>
              <c:f>'[Predstavke statistika GI 2025 (MK).xlsx]Statistika'!$A$26</c:f>
              <c:strCache>
                <c:ptCount val="1"/>
                <c:pt idx="0">
                  <c:v>Broj riješenih predstavki</c:v>
                </c:pt>
              </c:strCache>
            </c:strRef>
          </c:tx>
          <c:spPr>
            <a:solidFill>
              <a:schemeClr val="accent4"/>
            </a:solidFill>
            <a:ln>
              <a:noFill/>
            </a:ln>
            <a:effectLst/>
          </c:spPr>
          <c:invertIfNegative val="0"/>
          <c:dLbls>
            <c:dLbl>
              <c:idx val="4"/>
              <c:layout>
                <c:manualLayout>
                  <c:x val="1.4422209384815549E-2"/>
                  <c:y val="-7.17488586564433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A0-0E42-850F-C3E5D901B4D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'[Predstavke statistika GI 2025 (MK).xlsx]Statistika'!$B$22:$F$22</c:f>
              <c:strCache>
                <c:ptCount val="5"/>
                <c:pt idx="0">
                  <c:v>2021.</c:v>
                </c:pt>
                <c:pt idx="1">
                  <c:v>2022.</c:v>
                </c:pt>
                <c:pt idx="2">
                  <c:v>2023.</c:v>
                </c:pt>
                <c:pt idx="3">
                  <c:v>2024</c:v>
                </c:pt>
                <c:pt idx="4">
                  <c:v>2025</c:v>
                </c:pt>
              </c:strCache>
            </c:strRef>
          </c:cat>
          <c:val>
            <c:numRef>
              <c:f>'[Predstavke statistika GI 2025 (MK).xlsx]Statistika'!$B$26:$F$26</c:f>
              <c:numCache>
                <c:formatCode>0</c:formatCode>
                <c:ptCount val="5"/>
                <c:pt idx="0">
                  <c:v>386</c:v>
                </c:pt>
                <c:pt idx="1">
                  <c:v>509</c:v>
                </c:pt>
                <c:pt idx="2">
                  <c:v>509</c:v>
                </c:pt>
                <c:pt idx="3">
                  <c:v>371</c:v>
                </c:pt>
                <c:pt idx="4">
                  <c:v>495</c:v>
                </c:pt>
              </c:numCache>
            </c:numRef>
          </c:val>
          <c:extLst>
            <c:ext xmlns:c16="http://schemas.microsoft.com/office/drawing/2014/chart" uri="{C3380CC4-5D6E-409C-BE32-E72D297353CC}">
              <c16:uniqueId val="{00000005-ECA0-0E42-850F-C3E5D901B4D5}"/>
            </c:ext>
          </c:extLst>
        </c:ser>
        <c:dLbls>
          <c:showLegendKey val="0"/>
          <c:showVal val="1"/>
          <c:showCatName val="0"/>
          <c:showSerName val="0"/>
          <c:showPercent val="0"/>
          <c:showBubbleSize val="0"/>
        </c:dLbls>
        <c:gapWidth val="30"/>
        <c:axId val="1716979024"/>
        <c:axId val="1716979984"/>
      </c:barChart>
      <c:catAx>
        <c:axId val="171697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1716979984"/>
        <c:crosses val="autoZero"/>
        <c:auto val="1"/>
        <c:lblAlgn val="ctr"/>
        <c:lblOffset val="100"/>
        <c:noMultiLvlLbl val="0"/>
      </c:catAx>
      <c:valAx>
        <c:axId val="1716979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1716979024"/>
        <c:crosses val="autoZero"/>
        <c:crossBetween val="between"/>
      </c:valAx>
      <c:spPr>
        <a:noFill/>
        <a:ln>
          <a:noFill/>
        </a:ln>
        <a:effectLst/>
      </c:spPr>
    </c:plotArea>
    <c:legend>
      <c:legendPos val="b"/>
      <c:layout>
        <c:manualLayout>
          <c:xMode val="edge"/>
          <c:yMode val="edge"/>
          <c:x val="3.9009012762293606E-2"/>
          <c:y val="0.82053867228427158"/>
          <c:w val="0.90214070463414298"/>
          <c:h val="9.68058851328880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oboto" panose="02000000000000000000" pitchFamily="2" charset="0"/>
          <a:ea typeface="Roboto" panose="02000000000000000000" pitchFamily="2" charset="0"/>
          <a:cs typeface="Roboto" panose="02000000000000000000" pitchFamily="2" charset="0"/>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36536931055538E-2"/>
          <c:y val="3.2070856788901488E-2"/>
          <c:w val="0.3893916609056548"/>
          <c:h val="0.95600905336568875"/>
        </c:manualLayout>
      </c:layout>
      <c:pieChart>
        <c:varyColors val="1"/>
        <c:ser>
          <c:idx val="0"/>
          <c:order val="0"/>
          <c:dPt>
            <c:idx val="0"/>
            <c:bubble3D val="0"/>
            <c:spPr>
              <a:solidFill>
                <a:schemeClr val="accent1"/>
              </a:solidFill>
              <a:ln w="19050">
                <a:noFill/>
              </a:ln>
              <a:effectLst/>
            </c:spPr>
            <c:extLst>
              <c:ext xmlns:c16="http://schemas.microsoft.com/office/drawing/2014/chart" uri="{C3380CC4-5D6E-409C-BE32-E72D297353CC}">
                <c16:uniqueId val="{00000001-FC0B-4EC7-8AD8-FE047133C796}"/>
              </c:ext>
            </c:extLst>
          </c:dPt>
          <c:dPt>
            <c:idx val="1"/>
            <c:bubble3D val="0"/>
            <c:spPr>
              <a:solidFill>
                <a:schemeClr val="accent2"/>
              </a:solidFill>
              <a:ln w="19050">
                <a:noFill/>
              </a:ln>
              <a:effectLst/>
            </c:spPr>
            <c:extLst>
              <c:ext xmlns:c16="http://schemas.microsoft.com/office/drawing/2014/chart" uri="{C3380CC4-5D6E-409C-BE32-E72D297353CC}">
                <c16:uniqueId val="{00000003-FC0B-4EC7-8AD8-FE047133C796}"/>
              </c:ext>
            </c:extLst>
          </c:dPt>
          <c:dPt>
            <c:idx val="2"/>
            <c:bubble3D val="0"/>
            <c:spPr>
              <a:solidFill>
                <a:schemeClr val="accent3"/>
              </a:solidFill>
              <a:ln w="0">
                <a:noFill/>
              </a:ln>
              <a:effectLst/>
            </c:spPr>
            <c:extLst>
              <c:ext xmlns:c16="http://schemas.microsoft.com/office/drawing/2014/chart" uri="{C3380CC4-5D6E-409C-BE32-E72D297353CC}">
                <c16:uniqueId val="{00000005-FC0B-4EC7-8AD8-FE047133C796}"/>
              </c:ext>
            </c:extLst>
          </c:dPt>
          <c:dPt>
            <c:idx val="3"/>
            <c:bubble3D val="0"/>
            <c:spPr>
              <a:solidFill>
                <a:schemeClr val="accent4"/>
              </a:solidFill>
              <a:ln w="19050">
                <a:noFill/>
              </a:ln>
              <a:effectLst/>
            </c:spPr>
            <c:extLst>
              <c:ext xmlns:c16="http://schemas.microsoft.com/office/drawing/2014/chart" uri="{C3380CC4-5D6E-409C-BE32-E72D297353CC}">
                <c16:uniqueId val="{00000007-FC0B-4EC7-8AD8-FE047133C796}"/>
              </c:ext>
            </c:extLst>
          </c:dPt>
          <c:dLbls>
            <c:dLbl>
              <c:idx val="0"/>
              <c:layout>
                <c:manualLayout>
                  <c:x val="-5.7001989334666499E-2"/>
                  <c:y val="-0.193140847709476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0B-4EC7-8AD8-FE047133C7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Statistika!$A$54:$A$57</c:f>
              <c:strCache>
                <c:ptCount val="4"/>
                <c:pt idx="0">
                  <c:v>Građani - fizičke osobe (376)</c:v>
                </c:pt>
                <c:pt idx="1">
                  <c:v>Novinari (30)</c:v>
                </c:pt>
                <c:pt idx="2">
                  <c:v>Udruge i građanske inicijative (44)</c:v>
                </c:pt>
                <c:pt idx="3">
                  <c:v>Ostali (30)</c:v>
                </c:pt>
              </c:strCache>
            </c:strRef>
          </c:cat>
          <c:val>
            <c:numRef>
              <c:f>Statistika!$B$54:$B$57</c:f>
              <c:numCache>
                <c:formatCode>0%</c:formatCode>
                <c:ptCount val="4"/>
                <c:pt idx="0">
                  <c:v>0.79</c:v>
                </c:pt>
                <c:pt idx="1">
                  <c:v>0.06</c:v>
                </c:pt>
                <c:pt idx="2">
                  <c:v>0.09</c:v>
                </c:pt>
                <c:pt idx="3">
                  <c:v>0.06</c:v>
                </c:pt>
              </c:numCache>
            </c:numRef>
          </c:val>
          <c:extLst>
            <c:ext xmlns:c16="http://schemas.microsoft.com/office/drawing/2014/chart" uri="{C3380CC4-5D6E-409C-BE32-E72D297353CC}">
              <c16:uniqueId val="{00000008-FC0B-4EC7-8AD8-FE047133C79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3074282320280495"/>
          <c:y val="5.6161909719162607E-2"/>
          <c:w val="0.33275756260208988"/>
          <c:h val="0.276146609115672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366863864239188E-2"/>
          <c:y val="1.9200629419063781E-2"/>
          <c:w val="0.39996788595869959"/>
          <c:h val="0.95953973730961017"/>
        </c:manualLayout>
      </c:layout>
      <c:pieChart>
        <c:varyColors val="1"/>
        <c:ser>
          <c:idx val="0"/>
          <c:order val="0"/>
          <c:dPt>
            <c:idx val="0"/>
            <c:bubble3D val="0"/>
            <c:spPr>
              <a:solidFill>
                <a:schemeClr val="accent1"/>
              </a:solidFill>
              <a:ln w="19050">
                <a:noFill/>
              </a:ln>
              <a:effectLst/>
            </c:spPr>
            <c:extLst>
              <c:ext xmlns:c16="http://schemas.microsoft.com/office/drawing/2014/chart" uri="{C3380CC4-5D6E-409C-BE32-E72D297353CC}">
                <c16:uniqueId val="{00000001-0DB7-F141-97EB-E86DD8AF870B}"/>
              </c:ext>
            </c:extLst>
          </c:dPt>
          <c:dPt>
            <c:idx val="1"/>
            <c:bubble3D val="0"/>
            <c:spPr>
              <a:solidFill>
                <a:schemeClr val="accent2"/>
              </a:solidFill>
              <a:ln w="19050">
                <a:noFill/>
              </a:ln>
              <a:effectLst/>
            </c:spPr>
            <c:extLst>
              <c:ext xmlns:c16="http://schemas.microsoft.com/office/drawing/2014/chart" uri="{C3380CC4-5D6E-409C-BE32-E72D297353CC}">
                <c16:uniqueId val="{00000003-0DB7-F141-97EB-E86DD8AF870B}"/>
              </c:ext>
            </c:extLst>
          </c:dPt>
          <c:dPt>
            <c:idx val="2"/>
            <c:bubble3D val="0"/>
            <c:spPr>
              <a:solidFill>
                <a:schemeClr val="accent3"/>
              </a:solidFill>
              <a:ln w="19050">
                <a:noFill/>
              </a:ln>
              <a:effectLst/>
            </c:spPr>
            <c:extLst>
              <c:ext xmlns:c16="http://schemas.microsoft.com/office/drawing/2014/chart" uri="{C3380CC4-5D6E-409C-BE32-E72D297353CC}">
                <c16:uniqueId val="{00000005-0DB7-F141-97EB-E86DD8AF870B}"/>
              </c:ext>
            </c:extLst>
          </c:dPt>
          <c:dPt>
            <c:idx val="3"/>
            <c:bubble3D val="0"/>
            <c:spPr>
              <a:solidFill>
                <a:schemeClr val="accent4"/>
              </a:solidFill>
              <a:ln w="19050">
                <a:noFill/>
              </a:ln>
              <a:effectLst/>
            </c:spPr>
            <c:extLst>
              <c:ext xmlns:c16="http://schemas.microsoft.com/office/drawing/2014/chart" uri="{C3380CC4-5D6E-409C-BE32-E72D297353CC}">
                <c16:uniqueId val="{00000007-0DB7-F141-97EB-E86DD8AF870B}"/>
              </c:ext>
            </c:extLst>
          </c:dPt>
          <c:dPt>
            <c:idx val="4"/>
            <c:bubble3D val="0"/>
            <c:spPr>
              <a:solidFill>
                <a:schemeClr val="accent5"/>
              </a:solidFill>
              <a:ln w="19050">
                <a:noFill/>
              </a:ln>
              <a:effectLst/>
            </c:spPr>
            <c:extLst>
              <c:ext xmlns:c16="http://schemas.microsoft.com/office/drawing/2014/chart" uri="{C3380CC4-5D6E-409C-BE32-E72D297353CC}">
                <c16:uniqueId val="{00000009-0DB7-F141-97EB-E86DD8AF870B}"/>
              </c:ext>
            </c:extLst>
          </c:dPt>
          <c:dPt>
            <c:idx val="5"/>
            <c:bubble3D val="0"/>
            <c:spPr>
              <a:solidFill>
                <a:schemeClr val="accent6"/>
              </a:solidFill>
              <a:ln w="19050">
                <a:noFill/>
              </a:ln>
              <a:effectLst/>
            </c:spPr>
            <c:extLst>
              <c:ext xmlns:c16="http://schemas.microsoft.com/office/drawing/2014/chart" uri="{C3380CC4-5D6E-409C-BE32-E72D297353CC}">
                <c16:uniqueId val="{0000000B-0DB7-F141-97EB-E86DD8AF870B}"/>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0DB7-F141-97EB-E86DD8AF870B}"/>
              </c:ext>
            </c:extLst>
          </c:dPt>
          <c:dLbls>
            <c:dLbl>
              <c:idx val="0"/>
              <c:layout>
                <c:manualLayout>
                  <c:x val="-0.13442826527418017"/>
                  <c:y val="-5.4608548829145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B7-F141-97EB-E86DD8AF870B}"/>
                </c:ext>
              </c:extLst>
            </c:dLbl>
            <c:dLbl>
              <c:idx val="1"/>
              <c:layout>
                <c:manualLayout>
                  <c:x val="7.3595043738798702E-2"/>
                  <c:y val="-8.116362119319101E-2"/>
                </c:manualLayout>
              </c:layout>
              <c:tx>
                <c:rich>
                  <a:bodyPr/>
                  <a:lstStyle/>
                  <a:p>
                    <a:fld id="{CC898BFC-0481-46D5-85EC-D05D2B825D68}" type="VALUE">
                      <a:rPr lang="en-US"/>
                      <a:pPr/>
                      <a:t>[VRIJEDNOST]</a:t>
                    </a:fld>
                    <a:endParaRPr lang="hr-H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DB7-F141-97EB-E86DD8AF870B}"/>
                </c:ext>
              </c:extLst>
            </c:dLbl>
            <c:dLbl>
              <c:idx val="2"/>
              <c:layout>
                <c:manualLayout>
                  <c:x val="8.1593447608039826E-2"/>
                  <c:y val="-3.4787619948726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B7-F141-97EB-E86DD8AF870B}"/>
                </c:ext>
              </c:extLst>
            </c:dLbl>
            <c:dLbl>
              <c:idx val="3"/>
              <c:layout>
                <c:manualLayout>
                  <c:x val="7.4348802729933952E-2"/>
                  <c:y val="-5.1470180871176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B7-F141-97EB-E86DD8AF870B}"/>
                </c:ext>
              </c:extLst>
            </c:dLbl>
            <c:dLbl>
              <c:idx val="4"/>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9-0DB7-F141-97EB-E86DD8AF870B}"/>
                </c:ext>
              </c:extLst>
            </c:dLbl>
            <c:dLbl>
              <c:idx val="5"/>
              <c:layout>
                <c:manualLayout>
                  <c:x val="6.5157153520947461E-2"/>
                  <c:y val="1.0930857917182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B7-F141-97EB-E86DD8AF870B}"/>
                </c:ext>
              </c:extLst>
            </c:dLbl>
            <c:dLbl>
              <c:idx val="6"/>
              <c:layout>
                <c:manualLayout>
                  <c:x val="8.3233403164054032E-2"/>
                  <c:y val="0.11470500267839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B7-F141-97EB-E86DD8AF870B}"/>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'[Predstavke statistika GI 2025 (MK).xlsx]Statistika'!$A$82:$A$88</c:f>
              <c:strCache>
                <c:ptCount val="7"/>
                <c:pt idx="0">
                  <c:v>Nepravilnosti u postupanju po zahtjevu (272)</c:v>
                </c:pt>
                <c:pt idx="1">
                  <c:v>Proaktivna objava informacija (42)</c:v>
                </c:pt>
                <c:pt idx="2">
                  <c:v>Savjetovanje s javnošću (31)</c:v>
                </c:pt>
                <c:pt idx="3">
                  <c:v>Javnost rada (11)</c:v>
                </c:pt>
                <c:pt idx="4">
                  <c:v>Službenik za informiranje (6)</c:v>
                </c:pt>
                <c:pt idx="5">
                  <c:v>Ostalo (10)</c:v>
                </c:pt>
                <c:pt idx="6">
                  <c:v>Nije iz djelokruga PI / nema osnove za postupanje (108)</c:v>
                </c:pt>
              </c:strCache>
            </c:strRef>
          </c:cat>
          <c:val>
            <c:numRef>
              <c:f>'[Predstavke statistika GI 2025 (MK).xlsx]Statistika'!$B$82:$B$88</c:f>
              <c:numCache>
                <c:formatCode>0%</c:formatCode>
                <c:ptCount val="7"/>
                <c:pt idx="0">
                  <c:v>0.56999999999999995</c:v>
                </c:pt>
                <c:pt idx="1">
                  <c:v>0.09</c:v>
                </c:pt>
                <c:pt idx="2">
                  <c:v>0.06</c:v>
                </c:pt>
                <c:pt idx="3">
                  <c:v>0.02</c:v>
                </c:pt>
                <c:pt idx="4">
                  <c:v>0.01</c:v>
                </c:pt>
                <c:pt idx="5">
                  <c:v>0.02</c:v>
                </c:pt>
                <c:pt idx="6">
                  <c:v>0.23</c:v>
                </c:pt>
              </c:numCache>
            </c:numRef>
          </c:val>
          <c:extLst>
            <c:ext xmlns:c16="http://schemas.microsoft.com/office/drawing/2014/chart" uri="{C3380CC4-5D6E-409C-BE32-E72D297353CC}">
              <c16:uniqueId val="{0000000E-0DB7-F141-97EB-E86DD8AF870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5265331416906216"/>
          <c:y val="5.8336349997175137E-2"/>
          <c:w val="0.43171009873765781"/>
          <c:h val="0.70454382811502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Roboto" panose="02000000000000000000" pitchFamily="2" charset="0"/>
          <a:ea typeface="Roboto" panose="02000000000000000000" pitchFamily="2" charset="0"/>
          <a:cs typeface="Roboto" panose="02000000000000000000" pitchFamily="2" charset="0"/>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'Grafovi Proaktivna Nova'!$B$1</c:f>
              <c:strCache>
                <c:ptCount val="1"/>
                <c:pt idx="0">
                  <c:v>Da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Nova'!$A$2:$A$3</c:f>
              <c:strCache>
                <c:ptCount val="2"/>
                <c:pt idx="0">
                  <c:v>objava zakona i ostalih propisa (ili poveznica na njih) koji se odnose na područje rada</c:v>
                </c:pt>
                <c:pt idx="1">
                  <c:v>objava općih akata i odluka kojima se utječe na interese korisnika</c:v>
                </c:pt>
              </c:strCache>
            </c:strRef>
          </c:cat>
          <c:val>
            <c:numRef>
              <c:f>'Grafovi Proaktivna Nova'!$B$2:$B$3</c:f>
              <c:numCache>
                <c:formatCode>General</c:formatCode>
                <c:ptCount val="2"/>
                <c:pt idx="0">
                  <c:v>4173</c:v>
                </c:pt>
                <c:pt idx="1">
                  <c:v>4400</c:v>
                </c:pt>
              </c:numCache>
            </c:numRef>
          </c:val>
          <c:extLst>
            <c:ext xmlns:c16="http://schemas.microsoft.com/office/drawing/2014/chart" uri="{C3380CC4-5D6E-409C-BE32-E72D297353CC}">
              <c16:uniqueId val="{00000000-41E4-4A4D-A87A-DBADB2B296D6}"/>
            </c:ext>
          </c:extLst>
        </c:ser>
        <c:ser>
          <c:idx val="1"/>
          <c:order val="1"/>
          <c:tx>
            <c:strRef>
              <c:f>'Grafovi Proaktivna Nova'!$C$1</c:f>
              <c:strCache>
                <c:ptCount val="1"/>
                <c:pt idx="0">
                  <c:v>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Nova'!$A$2:$A$3</c:f>
              <c:strCache>
                <c:ptCount val="2"/>
                <c:pt idx="0">
                  <c:v>objava zakona i ostalih propisa (ili poveznica na njih) koji se odnose na područje rada</c:v>
                </c:pt>
                <c:pt idx="1">
                  <c:v>objava općih akata i odluka kojima se utječe na interese korisnika</c:v>
                </c:pt>
              </c:strCache>
            </c:strRef>
          </c:cat>
          <c:val>
            <c:numRef>
              <c:f>'Grafovi Proaktivna Nova'!$C$2:$C$3</c:f>
              <c:numCache>
                <c:formatCode>General</c:formatCode>
                <c:ptCount val="2"/>
                <c:pt idx="0">
                  <c:v>387</c:v>
                </c:pt>
                <c:pt idx="1">
                  <c:v>329</c:v>
                </c:pt>
              </c:numCache>
            </c:numRef>
          </c:val>
          <c:extLst>
            <c:ext xmlns:c16="http://schemas.microsoft.com/office/drawing/2014/chart" uri="{C3380CC4-5D6E-409C-BE32-E72D297353CC}">
              <c16:uniqueId val="{00000001-41E4-4A4D-A87A-DBADB2B296D6}"/>
            </c:ext>
          </c:extLst>
        </c:ser>
        <c:ser>
          <c:idx val="2"/>
          <c:order val="2"/>
          <c:tx>
            <c:strRef>
              <c:f>'Grafovi Proaktivna Nova'!$D$1</c:f>
              <c:strCache>
                <c:ptCount val="1"/>
                <c:pt idx="0">
                  <c:v>Djelomično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Roboto" panose="02000000000000000000" pitchFamily="2" charset="0"/>
                    <a:ea typeface="Roboto" panose="02000000000000000000" pitchFamily="2" charset="0"/>
                    <a:cs typeface="Roboto" panose="02000000000000000000" pitchFamily="2"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'Grafovi Proaktivna Nova'!$A$2:$A$3</c:f>
              <c:strCache>
                <c:ptCount val="2"/>
                <c:pt idx="0">
                  <c:v>objava zakona i ostalih propisa (ili poveznica na njih) koji se odnose na područje rada</c:v>
                </c:pt>
                <c:pt idx="1">
                  <c:v>objava općih akata i odluka kojima se utječe na interese korisnika</c:v>
                </c:pt>
              </c:strCache>
            </c:strRef>
          </c:cat>
          <c:val>
            <c:numRef>
              <c:f>'Grafovi Proaktivna Nova'!$D$2:$D$3</c:f>
              <c:numCache>
                <c:formatCode>General</c:formatCode>
                <c:ptCount val="2"/>
                <c:pt idx="0">
                  <c:v>720</c:v>
                </c:pt>
                <c:pt idx="1">
                  <c:v>551</c:v>
                </c:pt>
              </c:numCache>
            </c:numRef>
          </c:val>
          <c:extLst>
            <c:ext xmlns:c16="http://schemas.microsoft.com/office/drawing/2014/chart" uri="{C3380CC4-5D6E-409C-BE32-E72D297353CC}">
              <c16:uniqueId val="{00000002-41E4-4A4D-A87A-DBADB2B296D6}"/>
            </c:ext>
          </c:extLst>
        </c:ser>
        <c:dLbls>
          <c:showLegendKey val="0"/>
          <c:showVal val="0"/>
          <c:showCatName val="0"/>
          <c:showSerName val="0"/>
          <c:showPercent val="0"/>
          <c:showBubbleSize val="0"/>
        </c:dLbls>
        <c:gapWidth val="150"/>
        <c:overlap val="100"/>
        <c:axId val="201650944"/>
        <c:axId val="201652480"/>
      </c:barChart>
      <c:catAx>
        <c:axId val="20165094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1652480"/>
        <c:crosses val="autoZero"/>
        <c:auto val="1"/>
        <c:lblAlgn val="ctr"/>
        <c:lblOffset val="100"/>
        <c:noMultiLvlLbl val="0"/>
      </c:catAx>
      <c:valAx>
        <c:axId val="201652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crossAx val="20165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oboto" panose="02000000000000000000" pitchFamily="2"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Roboto" panose="02000000000000000000" pitchFamily="2" charset="0"/>
          <a:ea typeface="Roboto" panose="02000000000000000000" pitchFamily="2" charset="0"/>
          <a:cs typeface="Roboto" panose="02000000000000000000" pitchFamily="2"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42AF3F059E274FBAF135DA25AE8CF3" ma:contentTypeVersion="3" ma:contentTypeDescription="Stvaranje novog dokumenta." ma:contentTypeScope="" ma:versionID="97eaf56c2dea17ae3b65c2ec5098894d">
  <xsd:schema xmlns:xsd="http://www.w3.org/2001/XMLSchema" xmlns:xs="http://www.w3.org/2001/XMLSchema" xmlns:p="http://schemas.microsoft.com/office/2006/metadata/properties" xmlns:ns2="431a78fd-7372-4e9a-aee6-911f45ac4b8b" targetNamespace="http://schemas.microsoft.com/office/2006/metadata/properties" ma:root="true" ma:fieldsID="26bac7ca8a149d1262df02e53af4bcbd" ns2:_="">
    <xsd:import namespace="431a78fd-7372-4e9a-aee6-911f45ac4b8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a78fd-7372-4e9a-aee6-911f45ac4b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8CAC61-192C-4094-A2D6-E153709D8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a78fd-7372-4e9a-aee6-911f45ac4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6C6750-57C1-4958-B40A-B2D63B4D57EF}">
  <ds:schemaRefs>
    <ds:schemaRef ds:uri="http://schemas.microsoft.com/sharepoint/v3/contenttype/forms"/>
  </ds:schemaRefs>
</ds:datastoreItem>
</file>

<file path=customXml/itemProps3.xml><?xml version="1.0" encoding="utf-8"?>
<ds:datastoreItem xmlns:ds="http://schemas.openxmlformats.org/officeDocument/2006/customXml" ds:itemID="{C2D763B8-33C1-4A30-9955-B49A984A0699}">
  <ds:schemaRefs>
    <ds:schemaRef ds:uri="http://schemas.openxmlformats.org/officeDocument/2006/bibliography"/>
  </ds:schemaRefs>
</ds:datastoreItem>
</file>

<file path=customXml/itemProps4.xml><?xml version="1.0" encoding="utf-8"?>
<ds:datastoreItem xmlns:ds="http://schemas.openxmlformats.org/officeDocument/2006/customXml" ds:itemID="{154C2C64-7583-4BF6-8328-B0170C0B2B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128</Pages>
  <Words>47122</Words>
  <Characters>268597</Characters>
  <Application>Microsoft Office Word</Application>
  <DocSecurity>0</DocSecurity>
  <Lines>2238</Lines>
  <Paragraphs>630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315089</CharactersWithSpaces>
  <SharedDoc>false</SharedDoc>
  <HLinks>
    <vt:vector size="672" baseType="variant">
      <vt:variant>
        <vt:i4>983087</vt:i4>
      </vt:variant>
      <vt:variant>
        <vt:i4>657</vt:i4>
      </vt:variant>
      <vt:variant>
        <vt:i4>0</vt:i4>
      </vt:variant>
      <vt:variant>
        <vt:i4>5</vt:i4>
      </vt:variant>
      <vt:variant>
        <vt:lpwstr>mailto:ppi@pristupinfo.hr</vt:lpwstr>
      </vt:variant>
      <vt:variant>
        <vt:lpwstr/>
      </vt:variant>
      <vt:variant>
        <vt:i4>6815785</vt:i4>
      </vt:variant>
      <vt:variant>
        <vt:i4>654</vt:i4>
      </vt:variant>
      <vt:variant>
        <vt:i4>0</vt:i4>
      </vt:variant>
      <vt:variant>
        <vt:i4>5</vt:i4>
      </vt:variant>
      <vt:variant>
        <vt:lpwstr>https://pristupinfo.hr/dokumenti-i-publikacije/analiticka-izvjesca/</vt:lpwstr>
      </vt:variant>
      <vt:variant>
        <vt:lpwstr/>
      </vt:variant>
      <vt:variant>
        <vt:i4>5963843</vt:i4>
      </vt:variant>
      <vt:variant>
        <vt:i4>651</vt:i4>
      </vt:variant>
      <vt:variant>
        <vt:i4>0</vt:i4>
      </vt:variant>
      <vt:variant>
        <vt:i4>5</vt:i4>
      </vt:variant>
      <vt:variant>
        <vt:lpwstr>https://pristupinfo.hr/dokumenti-i-publikacije-izvjesca-o-provedbi-zppi/analiticka-izvjesca/</vt:lpwstr>
      </vt:variant>
      <vt:variant>
        <vt:lpwstr/>
      </vt:variant>
      <vt:variant>
        <vt:i4>8192048</vt:i4>
      </vt:variant>
      <vt:variant>
        <vt:i4>648</vt:i4>
      </vt:variant>
      <vt:variant>
        <vt:i4>0</vt:i4>
      </vt:variant>
      <vt:variant>
        <vt:i4>5</vt:i4>
      </vt:variant>
      <vt:variant>
        <vt:lpwstr>https://sudovi.hr/hr/vusrh/pristup-informacijama/odluke-pravo-na-pristup-informacijama-2024-godina</vt:lpwstr>
      </vt:variant>
      <vt:variant>
        <vt:lpwstr/>
      </vt:variant>
      <vt:variant>
        <vt:i4>7798829</vt:i4>
      </vt:variant>
      <vt:variant>
        <vt:i4>645</vt:i4>
      </vt:variant>
      <vt:variant>
        <vt:i4>0</vt:i4>
      </vt:variant>
      <vt:variant>
        <vt:i4>5</vt:i4>
      </vt:variant>
      <vt:variant>
        <vt:lpwstr>https://tom.pristupinfo.hr/</vt:lpwstr>
      </vt:variant>
      <vt:variant>
        <vt:lpwstr/>
      </vt:variant>
      <vt:variant>
        <vt:i4>1900599</vt:i4>
      </vt:variant>
      <vt:variant>
        <vt:i4>638</vt:i4>
      </vt:variant>
      <vt:variant>
        <vt:i4>0</vt:i4>
      </vt:variant>
      <vt:variant>
        <vt:i4>5</vt:i4>
      </vt:variant>
      <vt:variant>
        <vt:lpwstr/>
      </vt:variant>
      <vt:variant>
        <vt:lpwstr>_Toc225865655</vt:lpwstr>
      </vt:variant>
      <vt:variant>
        <vt:i4>1900599</vt:i4>
      </vt:variant>
      <vt:variant>
        <vt:i4>632</vt:i4>
      </vt:variant>
      <vt:variant>
        <vt:i4>0</vt:i4>
      </vt:variant>
      <vt:variant>
        <vt:i4>5</vt:i4>
      </vt:variant>
      <vt:variant>
        <vt:lpwstr/>
      </vt:variant>
      <vt:variant>
        <vt:lpwstr>_Toc225865654</vt:lpwstr>
      </vt:variant>
      <vt:variant>
        <vt:i4>1900599</vt:i4>
      </vt:variant>
      <vt:variant>
        <vt:i4>626</vt:i4>
      </vt:variant>
      <vt:variant>
        <vt:i4>0</vt:i4>
      </vt:variant>
      <vt:variant>
        <vt:i4>5</vt:i4>
      </vt:variant>
      <vt:variant>
        <vt:lpwstr/>
      </vt:variant>
      <vt:variant>
        <vt:lpwstr>_Toc225865653</vt:lpwstr>
      </vt:variant>
      <vt:variant>
        <vt:i4>1900599</vt:i4>
      </vt:variant>
      <vt:variant>
        <vt:i4>620</vt:i4>
      </vt:variant>
      <vt:variant>
        <vt:i4>0</vt:i4>
      </vt:variant>
      <vt:variant>
        <vt:i4>5</vt:i4>
      </vt:variant>
      <vt:variant>
        <vt:lpwstr/>
      </vt:variant>
      <vt:variant>
        <vt:lpwstr>_Toc225865652</vt:lpwstr>
      </vt:variant>
      <vt:variant>
        <vt:i4>1900599</vt:i4>
      </vt:variant>
      <vt:variant>
        <vt:i4>614</vt:i4>
      </vt:variant>
      <vt:variant>
        <vt:i4>0</vt:i4>
      </vt:variant>
      <vt:variant>
        <vt:i4>5</vt:i4>
      </vt:variant>
      <vt:variant>
        <vt:lpwstr/>
      </vt:variant>
      <vt:variant>
        <vt:lpwstr>_Toc225865651</vt:lpwstr>
      </vt:variant>
      <vt:variant>
        <vt:i4>1900599</vt:i4>
      </vt:variant>
      <vt:variant>
        <vt:i4>608</vt:i4>
      </vt:variant>
      <vt:variant>
        <vt:i4>0</vt:i4>
      </vt:variant>
      <vt:variant>
        <vt:i4>5</vt:i4>
      </vt:variant>
      <vt:variant>
        <vt:lpwstr/>
      </vt:variant>
      <vt:variant>
        <vt:lpwstr>_Toc225865650</vt:lpwstr>
      </vt:variant>
      <vt:variant>
        <vt:i4>1835063</vt:i4>
      </vt:variant>
      <vt:variant>
        <vt:i4>602</vt:i4>
      </vt:variant>
      <vt:variant>
        <vt:i4>0</vt:i4>
      </vt:variant>
      <vt:variant>
        <vt:i4>5</vt:i4>
      </vt:variant>
      <vt:variant>
        <vt:lpwstr/>
      </vt:variant>
      <vt:variant>
        <vt:lpwstr>_Toc225865649</vt:lpwstr>
      </vt:variant>
      <vt:variant>
        <vt:i4>1835063</vt:i4>
      </vt:variant>
      <vt:variant>
        <vt:i4>596</vt:i4>
      </vt:variant>
      <vt:variant>
        <vt:i4>0</vt:i4>
      </vt:variant>
      <vt:variant>
        <vt:i4>5</vt:i4>
      </vt:variant>
      <vt:variant>
        <vt:lpwstr/>
      </vt:variant>
      <vt:variant>
        <vt:lpwstr>_Toc225865648</vt:lpwstr>
      </vt:variant>
      <vt:variant>
        <vt:i4>1835063</vt:i4>
      </vt:variant>
      <vt:variant>
        <vt:i4>590</vt:i4>
      </vt:variant>
      <vt:variant>
        <vt:i4>0</vt:i4>
      </vt:variant>
      <vt:variant>
        <vt:i4>5</vt:i4>
      </vt:variant>
      <vt:variant>
        <vt:lpwstr/>
      </vt:variant>
      <vt:variant>
        <vt:lpwstr>_Toc225865647</vt:lpwstr>
      </vt:variant>
      <vt:variant>
        <vt:i4>1835063</vt:i4>
      </vt:variant>
      <vt:variant>
        <vt:i4>584</vt:i4>
      </vt:variant>
      <vt:variant>
        <vt:i4>0</vt:i4>
      </vt:variant>
      <vt:variant>
        <vt:i4>5</vt:i4>
      </vt:variant>
      <vt:variant>
        <vt:lpwstr/>
      </vt:variant>
      <vt:variant>
        <vt:lpwstr>_Toc225865646</vt:lpwstr>
      </vt:variant>
      <vt:variant>
        <vt:i4>1835063</vt:i4>
      </vt:variant>
      <vt:variant>
        <vt:i4>578</vt:i4>
      </vt:variant>
      <vt:variant>
        <vt:i4>0</vt:i4>
      </vt:variant>
      <vt:variant>
        <vt:i4>5</vt:i4>
      </vt:variant>
      <vt:variant>
        <vt:lpwstr/>
      </vt:variant>
      <vt:variant>
        <vt:lpwstr>_Toc225865645</vt:lpwstr>
      </vt:variant>
      <vt:variant>
        <vt:i4>1835063</vt:i4>
      </vt:variant>
      <vt:variant>
        <vt:i4>572</vt:i4>
      </vt:variant>
      <vt:variant>
        <vt:i4>0</vt:i4>
      </vt:variant>
      <vt:variant>
        <vt:i4>5</vt:i4>
      </vt:variant>
      <vt:variant>
        <vt:lpwstr/>
      </vt:variant>
      <vt:variant>
        <vt:lpwstr>_Toc225865644</vt:lpwstr>
      </vt:variant>
      <vt:variant>
        <vt:i4>1835063</vt:i4>
      </vt:variant>
      <vt:variant>
        <vt:i4>566</vt:i4>
      </vt:variant>
      <vt:variant>
        <vt:i4>0</vt:i4>
      </vt:variant>
      <vt:variant>
        <vt:i4>5</vt:i4>
      </vt:variant>
      <vt:variant>
        <vt:lpwstr/>
      </vt:variant>
      <vt:variant>
        <vt:lpwstr>_Toc225865643</vt:lpwstr>
      </vt:variant>
      <vt:variant>
        <vt:i4>1835063</vt:i4>
      </vt:variant>
      <vt:variant>
        <vt:i4>560</vt:i4>
      </vt:variant>
      <vt:variant>
        <vt:i4>0</vt:i4>
      </vt:variant>
      <vt:variant>
        <vt:i4>5</vt:i4>
      </vt:variant>
      <vt:variant>
        <vt:lpwstr/>
      </vt:variant>
      <vt:variant>
        <vt:lpwstr>_Toc225865642</vt:lpwstr>
      </vt:variant>
      <vt:variant>
        <vt:i4>1835063</vt:i4>
      </vt:variant>
      <vt:variant>
        <vt:i4>554</vt:i4>
      </vt:variant>
      <vt:variant>
        <vt:i4>0</vt:i4>
      </vt:variant>
      <vt:variant>
        <vt:i4>5</vt:i4>
      </vt:variant>
      <vt:variant>
        <vt:lpwstr/>
      </vt:variant>
      <vt:variant>
        <vt:lpwstr>_Toc225865641</vt:lpwstr>
      </vt:variant>
      <vt:variant>
        <vt:i4>1835063</vt:i4>
      </vt:variant>
      <vt:variant>
        <vt:i4>548</vt:i4>
      </vt:variant>
      <vt:variant>
        <vt:i4>0</vt:i4>
      </vt:variant>
      <vt:variant>
        <vt:i4>5</vt:i4>
      </vt:variant>
      <vt:variant>
        <vt:lpwstr/>
      </vt:variant>
      <vt:variant>
        <vt:lpwstr>_Toc225865640</vt:lpwstr>
      </vt:variant>
      <vt:variant>
        <vt:i4>1769527</vt:i4>
      </vt:variant>
      <vt:variant>
        <vt:i4>542</vt:i4>
      </vt:variant>
      <vt:variant>
        <vt:i4>0</vt:i4>
      </vt:variant>
      <vt:variant>
        <vt:i4>5</vt:i4>
      </vt:variant>
      <vt:variant>
        <vt:lpwstr/>
      </vt:variant>
      <vt:variant>
        <vt:lpwstr>_Toc225865639</vt:lpwstr>
      </vt:variant>
      <vt:variant>
        <vt:i4>1769527</vt:i4>
      </vt:variant>
      <vt:variant>
        <vt:i4>536</vt:i4>
      </vt:variant>
      <vt:variant>
        <vt:i4>0</vt:i4>
      </vt:variant>
      <vt:variant>
        <vt:i4>5</vt:i4>
      </vt:variant>
      <vt:variant>
        <vt:lpwstr/>
      </vt:variant>
      <vt:variant>
        <vt:lpwstr>_Toc225865638</vt:lpwstr>
      </vt:variant>
      <vt:variant>
        <vt:i4>1769527</vt:i4>
      </vt:variant>
      <vt:variant>
        <vt:i4>530</vt:i4>
      </vt:variant>
      <vt:variant>
        <vt:i4>0</vt:i4>
      </vt:variant>
      <vt:variant>
        <vt:i4>5</vt:i4>
      </vt:variant>
      <vt:variant>
        <vt:lpwstr/>
      </vt:variant>
      <vt:variant>
        <vt:lpwstr>_Toc225865637</vt:lpwstr>
      </vt:variant>
      <vt:variant>
        <vt:i4>1769527</vt:i4>
      </vt:variant>
      <vt:variant>
        <vt:i4>524</vt:i4>
      </vt:variant>
      <vt:variant>
        <vt:i4>0</vt:i4>
      </vt:variant>
      <vt:variant>
        <vt:i4>5</vt:i4>
      </vt:variant>
      <vt:variant>
        <vt:lpwstr/>
      </vt:variant>
      <vt:variant>
        <vt:lpwstr>_Toc225865636</vt:lpwstr>
      </vt:variant>
      <vt:variant>
        <vt:i4>1769527</vt:i4>
      </vt:variant>
      <vt:variant>
        <vt:i4>518</vt:i4>
      </vt:variant>
      <vt:variant>
        <vt:i4>0</vt:i4>
      </vt:variant>
      <vt:variant>
        <vt:i4>5</vt:i4>
      </vt:variant>
      <vt:variant>
        <vt:lpwstr/>
      </vt:variant>
      <vt:variant>
        <vt:lpwstr>_Toc225865635</vt:lpwstr>
      </vt:variant>
      <vt:variant>
        <vt:i4>1769527</vt:i4>
      </vt:variant>
      <vt:variant>
        <vt:i4>512</vt:i4>
      </vt:variant>
      <vt:variant>
        <vt:i4>0</vt:i4>
      </vt:variant>
      <vt:variant>
        <vt:i4>5</vt:i4>
      </vt:variant>
      <vt:variant>
        <vt:lpwstr/>
      </vt:variant>
      <vt:variant>
        <vt:lpwstr>_Toc225865634</vt:lpwstr>
      </vt:variant>
      <vt:variant>
        <vt:i4>1769527</vt:i4>
      </vt:variant>
      <vt:variant>
        <vt:i4>506</vt:i4>
      </vt:variant>
      <vt:variant>
        <vt:i4>0</vt:i4>
      </vt:variant>
      <vt:variant>
        <vt:i4>5</vt:i4>
      </vt:variant>
      <vt:variant>
        <vt:lpwstr/>
      </vt:variant>
      <vt:variant>
        <vt:lpwstr>_Toc225865633</vt:lpwstr>
      </vt:variant>
      <vt:variant>
        <vt:i4>1769527</vt:i4>
      </vt:variant>
      <vt:variant>
        <vt:i4>500</vt:i4>
      </vt:variant>
      <vt:variant>
        <vt:i4>0</vt:i4>
      </vt:variant>
      <vt:variant>
        <vt:i4>5</vt:i4>
      </vt:variant>
      <vt:variant>
        <vt:lpwstr/>
      </vt:variant>
      <vt:variant>
        <vt:lpwstr>_Toc225865632</vt:lpwstr>
      </vt:variant>
      <vt:variant>
        <vt:i4>1769527</vt:i4>
      </vt:variant>
      <vt:variant>
        <vt:i4>494</vt:i4>
      </vt:variant>
      <vt:variant>
        <vt:i4>0</vt:i4>
      </vt:variant>
      <vt:variant>
        <vt:i4>5</vt:i4>
      </vt:variant>
      <vt:variant>
        <vt:lpwstr/>
      </vt:variant>
      <vt:variant>
        <vt:lpwstr>_Toc225865631</vt:lpwstr>
      </vt:variant>
      <vt:variant>
        <vt:i4>1769527</vt:i4>
      </vt:variant>
      <vt:variant>
        <vt:i4>488</vt:i4>
      </vt:variant>
      <vt:variant>
        <vt:i4>0</vt:i4>
      </vt:variant>
      <vt:variant>
        <vt:i4>5</vt:i4>
      </vt:variant>
      <vt:variant>
        <vt:lpwstr/>
      </vt:variant>
      <vt:variant>
        <vt:lpwstr>_Toc225865630</vt:lpwstr>
      </vt:variant>
      <vt:variant>
        <vt:i4>1703991</vt:i4>
      </vt:variant>
      <vt:variant>
        <vt:i4>482</vt:i4>
      </vt:variant>
      <vt:variant>
        <vt:i4>0</vt:i4>
      </vt:variant>
      <vt:variant>
        <vt:i4>5</vt:i4>
      </vt:variant>
      <vt:variant>
        <vt:lpwstr/>
      </vt:variant>
      <vt:variant>
        <vt:lpwstr>_Toc225865629</vt:lpwstr>
      </vt:variant>
      <vt:variant>
        <vt:i4>1703991</vt:i4>
      </vt:variant>
      <vt:variant>
        <vt:i4>476</vt:i4>
      </vt:variant>
      <vt:variant>
        <vt:i4>0</vt:i4>
      </vt:variant>
      <vt:variant>
        <vt:i4>5</vt:i4>
      </vt:variant>
      <vt:variant>
        <vt:lpwstr/>
      </vt:variant>
      <vt:variant>
        <vt:lpwstr>_Toc225865628</vt:lpwstr>
      </vt:variant>
      <vt:variant>
        <vt:i4>1703991</vt:i4>
      </vt:variant>
      <vt:variant>
        <vt:i4>470</vt:i4>
      </vt:variant>
      <vt:variant>
        <vt:i4>0</vt:i4>
      </vt:variant>
      <vt:variant>
        <vt:i4>5</vt:i4>
      </vt:variant>
      <vt:variant>
        <vt:lpwstr/>
      </vt:variant>
      <vt:variant>
        <vt:lpwstr>_Toc225865627</vt:lpwstr>
      </vt:variant>
      <vt:variant>
        <vt:i4>1703991</vt:i4>
      </vt:variant>
      <vt:variant>
        <vt:i4>464</vt:i4>
      </vt:variant>
      <vt:variant>
        <vt:i4>0</vt:i4>
      </vt:variant>
      <vt:variant>
        <vt:i4>5</vt:i4>
      </vt:variant>
      <vt:variant>
        <vt:lpwstr/>
      </vt:variant>
      <vt:variant>
        <vt:lpwstr>_Toc225865626</vt:lpwstr>
      </vt:variant>
      <vt:variant>
        <vt:i4>1703991</vt:i4>
      </vt:variant>
      <vt:variant>
        <vt:i4>458</vt:i4>
      </vt:variant>
      <vt:variant>
        <vt:i4>0</vt:i4>
      </vt:variant>
      <vt:variant>
        <vt:i4>5</vt:i4>
      </vt:variant>
      <vt:variant>
        <vt:lpwstr/>
      </vt:variant>
      <vt:variant>
        <vt:lpwstr>_Toc225865625</vt:lpwstr>
      </vt:variant>
      <vt:variant>
        <vt:i4>1703991</vt:i4>
      </vt:variant>
      <vt:variant>
        <vt:i4>452</vt:i4>
      </vt:variant>
      <vt:variant>
        <vt:i4>0</vt:i4>
      </vt:variant>
      <vt:variant>
        <vt:i4>5</vt:i4>
      </vt:variant>
      <vt:variant>
        <vt:lpwstr/>
      </vt:variant>
      <vt:variant>
        <vt:lpwstr>_Toc225865624</vt:lpwstr>
      </vt:variant>
      <vt:variant>
        <vt:i4>1703991</vt:i4>
      </vt:variant>
      <vt:variant>
        <vt:i4>446</vt:i4>
      </vt:variant>
      <vt:variant>
        <vt:i4>0</vt:i4>
      </vt:variant>
      <vt:variant>
        <vt:i4>5</vt:i4>
      </vt:variant>
      <vt:variant>
        <vt:lpwstr/>
      </vt:variant>
      <vt:variant>
        <vt:lpwstr>_Toc225865623</vt:lpwstr>
      </vt:variant>
      <vt:variant>
        <vt:i4>1703991</vt:i4>
      </vt:variant>
      <vt:variant>
        <vt:i4>440</vt:i4>
      </vt:variant>
      <vt:variant>
        <vt:i4>0</vt:i4>
      </vt:variant>
      <vt:variant>
        <vt:i4>5</vt:i4>
      </vt:variant>
      <vt:variant>
        <vt:lpwstr/>
      </vt:variant>
      <vt:variant>
        <vt:lpwstr>_Toc225865622</vt:lpwstr>
      </vt:variant>
      <vt:variant>
        <vt:i4>1703991</vt:i4>
      </vt:variant>
      <vt:variant>
        <vt:i4>434</vt:i4>
      </vt:variant>
      <vt:variant>
        <vt:i4>0</vt:i4>
      </vt:variant>
      <vt:variant>
        <vt:i4>5</vt:i4>
      </vt:variant>
      <vt:variant>
        <vt:lpwstr/>
      </vt:variant>
      <vt:variant>
        <vt:lpwstr>_Toc225865621</vt:lpwstr>
      </vt:variant>
      <vt:variant>
        <vt:i4>1703991</vt:i4>
      </vt:variant>
      <vt:variant>
        <vt:i4>428</vt:i4>
      </vt:variant>
      <vt:variant>
        <vt:i4>0</vt:i4>
      </vt:variant>
      <vt:variant>
        <vt:i4>5</vt:i4>
      </vt:variant>
      <vt:variant>
        <vt:lpwstr/>
      </vt:variant>
      <vt:variant>
        <vt:lpwstr>_Toc225865620</vt:lpwstr>
      </vt:variant>
      <vt:variant>
        <vt:i4>1638455</vt:i4>
      </vt:variant>
      <vt:variant>
        <vt:i4>422</vt:i4>
      </vt:variant>
      <vt:variant>
        <vt:i4>0</vt:i4>
      </vt:variant>
      <vt:variant>
        <vt:i4>5</vt:i4>
      </vt:variant>
      <vt:variant>
        <vt:lpwstr/>
      </vt:variant>
      <vt:variant>
        <vt:lpwstr>_Toc225865619</vt:lpwstr>
      </vt:variant>
      <vt:variant>
        <vt:i4>1638455</vt:i4>
      </vt:variant>
      <vt:variant>
        <vt:i4>416</vt:i4>
      </vt:variant>
      <vt:variant>
        <vt:i4>0</vt:i4>
      </vt:variant>
      <vt:variant>
        <vt:i4>5</vt:i4>
      </vt:variant>
      <vt:variant>
        <vt:lpwstr/>
      </vt:variant>
      <vt:variant>
        <vt:lpwstr>_Toc225865618</vt:lpwstr>
      </vt:variant>
      <vt:variant>
        <vt:i4>1638455</vt:i4>
      </vt:variant>
      <vt:variant>
        <vt:i4>410</vt:i4>
      </vt:variant>
      <vt:variant>
        <vt:i4>0</vt:i4>
      </vt:variant>
      <vt:variant>
        <vt:i4>5</vt:i4>
      </vt:variant>
      <vt:variant>
        <vt:lpwstr/>
      </vt:variant>
      <vt:variant>
        <vt:lpwstr>_Toc225865617</vt:lpwstr>
      </vt:variant>
      <vt:variant>
        <vt:i4>1638455</vt:i4>
      </vt:variant>
      <vt:variant>
        <vt:i4>404</vt:i4>
      </vt:variant>
      <vt:variant>
        <vt:i4>0</vt:i4>
      </vt:variant>
      <vt:variant>
        <vt:i4>5</vt:i4>
      </vt:variant>
      <vt:variant>
        <vt:lpwstr/>
      </vt:variant>
      <vt:variant>
        <vt:lpwstr>_Toc225865616</vt:lpwstr>
      </vt:variant>
      <vt:variant>
        <vt:i4>1638455</vt:i4>
      </vt:variant>
      <vt:variant>
        <vt:i4>398</vt:i4>
      </vt:variant>
      <vt:variant>
        <vt:i4>0</vt:i4>
      </vt:variant>
      <vt:variant>
        <vt:i4>5</vt:i4>
      </vt:variant>
      <vt:variant>
        <vt:lpwstr/>
      </vt:variant>
      <vt:variant>
        <vt:lpwstr>_Toc225865615</vt:lpwstr>
      </vt:variant>
      <vt:variant>
        <vt:i4>1638455</vt:i4>
      </vt:variant>
      <vt:variant>
        <vt:i4>392</vt:i4>
      </vt:variant>
      <vt:variant>
        <vt:i4>0</vt:i4>
      </vt:variant>
      <vt:variant>
        <vt:i4>5</vt:i4>
      </vt:variant>
      <vt:variant>
        <vt:lpwstr/>
      </vt:variant>
      <vt:variant>
        <vt:lpwstr>_Toc225865614</vt:lpwstr>
      </vt:variant>
      <vt:variant>
        <vt:i4>1638455</vt:i4>
      </vt:variant>
      <vt:variant>
        <vt:i4>386</vt:i4>
      </vt:variant>
      <vt:variant>
        <vt:i4>0</vt:i4>
      </vt:variant>
      <vt:variant>
        <vt:i4>5</vt:i4>
      </vt:variant>
      <vt:variant>
        <vt:lpwstr/>
      </vt:variant>
      <vt:variant>
        <vt:lpwstr>_Toc225865613</vt:lpwstr>
      </vt:variant>
      <vt:variant>
        <vt:i4>1638455</vt:i4>
      </vt:variant>
      <vt:variant>
        <vt:i4>380</vt:i4>
      </vt:variant>
      <vt:variant>
        <vt:i4>0</vt:i4>
      </vt:variant>
      <vt:variant>
        <vt:i4>5</vt:i4>
      </vt:variant>
      <vt:variant>
        <vt:lpwstr/>
      </vt:variant>
      <vt:variant>
        <vt:lpwstr>_Toc225865612</vt:lpwstr>
      </vt:variant>
      <vt:variant>
        <vt:i4>1638455</vt:i4>
      </vt:variant>
      <vt:variant>
        <vt:i4>374</vt:i4>
      </vt:variant>
      <vt:variant>
        <vt:i4>0</vt:i4>
      </vt:variant>
      <vt:variant>
        <vt:i4>5</vt:i4>
      </vt:variant>
      <vt:variant>
        <vt:lpwstr/>
      </vt:variant>
      <vt:variant>
        <vt:lpwstr>_Toc225865611</vt:lpwstr>
      </vt:variant>
      <vt:variant>
        <vt:i4>1638455</vt:i4>
      </vt:variant>
      <vt:variant>
        <vt:i4>368</vt:i4>
      </vt:variant>
      <vt:variant>
        <vt:i4>0</vt:i4>
      </vt:variant>
      <vt:variant>
        <vt:i4>5</vt:i4>
      </vt:variant>
      <vt:variant>
        <vt:lpwstr/>
      </vt:variant>
      <vt:variant>
        <vt:lpwstr>_Toc225865610</vt:lpwstr>
      </vt:variant>
      <vt:variant>
        <vt:i4>1572919</vt:i4>
      </vt:variant>
      <vt:variant>
        <vt:i4>362</vt:i4>
      </vt:variant>
      <vt:variant>
        <vt:i4>0</vt:i4>
      </vt:variant>
      <vt:variant>
        <vt:i4>5</vt:i4>
      </vt:variant>
      <vt:variant>
        <vt:lpwstr/>
      </vt:variant>
      <vt:variant>
        <vt:lpwstr>_Toc225865609</vt:lpwstr>
      </vt:variant>
      <vt:variant>
        <vt:i4>1572919</vt:i4>
      </vt:variant>
      <vt:variant>
        <vt:i4>356</vt:i4>
      </vt:variant>
      <vt:variant>
        <vt:i4>0</vt:i4>
      </vt:variant>
      <vt:variant>
        <vt:i4>5</vt:i4>
      </vt:variant>
      <vt:variant>
        <vt:lpwstr/>
      </vt:variant>
      <vt:variant>
        <vt:lpwstr>_Toc225865608</vt:lpwstr>
      </vt:variant>
      <vt:variant>
        <vt:i4>1572919</vt:i4>
      </vt:variant>
      <vt:variant>
        <vt:i4>350</vt:i4>
      </vt:variant>
      <vt:variant>
        <vt:i4>0</vt:i4>
      </vt:variant>
      <vt:variant>
        <vt:i4>5</vt:i4>
      </vt:variant>
      <vt:variant>
        <vt:lpwstr/>
      </vt:variant>
      <vt:variant>
        <vt:lpwstr>_Toc225865607</vt:lpwstr>
      </vt:variant>
      <vt:variant>
        <vt:i4>1572919</vt:i4>
      </vt:variant>
      <vt:variant>
        <vt:i4>344</vt:i4>
      </vt:variant>
      <vt:variant>
        <vt:i4>0</vt:i4>
      </vt:variant>
      <vt:variant>
        <vt:i4>5</vt:i4>
      </vt:variant>
      <vt:variant>
        <vt:lpwstr/>
      </vt:variant>
      <vt:variant>
        <vt:lpwstr>_Toc225865606</vt:lpwstr>
      </vt:variant>
      <vt:variant>
        <vt:i4>1572919</vt:i4>
      </vt:variant>
      <vt:variant>
        <vt:i4>338</vt:i4>
      </vt:variant>
      <vt:variant>
        <vt:i4>0</vt:i4>
      </vt:variant>
      <vt:variant>
        <vt:i4>5</vt:i4>
      </vt:variant>
      <vt:variant>
        <vt:lpwstr/>
      </vt:variant>
      <vt:variant>
        <vt:lpwstr>_Toc225865605</vt:lpwstr>
      </vt:variant>
      <vt:variant>
        <vt:i4>1572919</vt:i4>
      </vt:variant>
      <vt:variant>
        <vt:i4>332</vt:i4>
      </vt:variant>
      <vt:variant>
        <vt:i4>0</vt:i4>
      </vt:variant>
      <vt:variant>
        <vt:i4>5</vt:i4>
      </vt:variant>
      <vt:variant>
        <vt:lpwstr/>
      </vt:variant>
      <vt:variant>
        <vt:lpwstr>_Toc225865604</vt:lpwstr>
      </vt:variant>
      <vt:variant>
        <vt:i4>1572919</vt:i4>
      </vt:variant>
      <vt:variant>
        <vt:i4>326</vt:i4>
      </vt:variant>
      <vt:variant>
        <vt:i4>0</vt:i4>
      </vt:variant>
      <vt:variant>
        <vt:i4>5</vt:i4>
      </vt:variant>
      <vt:variant>
        <vt:lpwstr/>
      </vt:variant>
      <vt:variant>
        <vt:lpwstr>_Toc225865603</vt:lpwstr>
      </vt:variant>
      <vt:variant>
        <vt:i4>1572919</vt:i4>
      </vt:variant>
      <vt:variant>
        <vt:i4>320</vt:i4>
      </vt:variant>
      <vt:variant>
        <vt:i4>0</vt:i4>
      </vt:variant>
      <vt:variant>
        <vt:i4>5</vt:i4>
      </vt:variant>
      <vt:variant>
        <vt:lpwstr/>
      </vt:variant>
      <vt:variant>
        <vt:lpwstr>_Toc225865602</vt:lpwstr>
      </vt:variant>
      <vt:variant>
        <vt:i4>1572919</vt:i4>
      </vt:variant>
      <vt:variant>
        <vt:i4>314</vt:i4>
      </vt:variant>
      <vt:variant>
        <vt:i4>0</vt:i4>
      </vt:variant>
      <vt:variant>
        <vt:i4>5</vt:i4>
      </vt:variant>
      <vt:variant>
        <vt:lpwstr/>
      </vt:variant>
      <vt:variant>
        <vt:lpwstr>_Toc225865601</vt:lpwstr>
      </vt:variant>
      <vt:variant>
        <vt:i4>1572919</vt:i4>
      </vt:variant>
      <vt:variant>
        <vt:i4>308</vt:i4>
      </vt:variant>
      <vt:variant>
        <vt:i4>0</vt:i4>
      </vt:variant>
      <vt:variant>
        <vt:i4>5</vt:i4>
      </vt:variant>
      <vt:variant>
        <vt:lpwstr/>
      </vt:variant>
      <vt:variant>
        <vt:lpwstr>_Toc225865600</vt:lpwstr>
      </vt:variant>
      <vt:variant>
        <vt:i4>1114164</vt:i4>
      </vt:variant>
      <vt:variant>
        <vt:i4>302</vt:i4>
      </vt:variant>
      <vt:variant>
        <vt:i4>0</vt:i4>
      </vt:variant>
      <vt:variant>
        <vt:i4>5</vt:i4>
      </vt:variant>
      <vt:variant>
        <vt:lpwstr/>
      </vt:variant>
      <vt:variant>
        <vt:lpwstr>_Toc225865599</vt:lpwstr>
      </vt:variant>
      <vt:variant>
        <vt:i4>1114164</vt:i4>
      </vt:variant>
      <vt:variant>
        <vt:i4>296</vt:i4>
      </vt:variant>
      <vt:variant>
        <vt:i4>0</vt:i4>
      </vt:variant>
      <vt:variant>
        <vt:i4>5</vt:i4>
      </vt:variant>
      <vt:variant>
        <vt:lpwstr/>
      </vt:variant>
      <vt:variant>
        <vt:lpwstr>_Toc225865598</vt:lpwstr>
      </vt:variant>
      <vt:variant>
        <vt:i4>1114164</vt:i4>
      </vt:variant>
      <vt:variant>
        <vt:i4>290</vt:i4>
      </vt:variant>
      <vt:variant>
        <vt:i4>0</vt:i4>
      </vt:variant>
      <vt:variant>
        <vt:i4>5</vt:i4>
      </vt:variant>
      <vt:variant>
        <vt:lpwstr/>
      </vt:variant>
      <vt:variant>
        <vt:lpwstr>_Toc225865597</vt:lpwstr>
      </vt:variant>
      <vt:variant>
        <vt:i4>1114164</vt:i4>
      </vt:variant>
      <vt:variant>
        <vt:i4>284</vt:i4>
      </vt:variant>
      <vt:variant>
        <vt:i4>0</vt:i4>
      </vt:variant>
      <vt:variant>
        <vt:i4>5</vt:i4>
      </vt:variant>
      <vt:variant>
        <vt:lpwstr/>
      </vt:variant>
      <vt:variant>
        <vt:lpwstr>_Toc225865596</vt:lpwstr>
      </vt:variant>
      <vt:variant>
        <vt:i4>1114164</vt:i4>
      </vt:variant>
      <vt:variant>
        <vt:i4>278</vt:i4>
      </vt:variant>
      <vt:variant>
        <vt:i4>0</vt:i4>
      </vt:variant>
      <vt:variant>
        <vt:i4>5</vt:i4>
      </vt:variant>
      <vt:variant>
        <vt:lpwstr/>
      </vt:variant>
      <vt:variant>
        <vt:lpwstr>_Toc225865595</vt:lpwstr>
      </vt:variant>
      <vt:variant>
        <vt:i4>1114164</vt:i4>
      </vt:variant>
      <vt:variant>
        <vt:i4>272</vt:i4>
      </vt:variant>
      <vt:variant>
        <vt:i4>0</vt:i4>
      </vt:variant>
      <vt:variant>
        <vt:i4>5</vt:i4>
      </vt:variant>
      <vt:variant>
        <vt:lpwstr/>
      </vt:variant>
      <vt:variant>
        <vt:lpwstr>_Toc225865594</vt:lpwstr>
      </vt:variant>
      <vt:variant>
        <vt:i4>1114164</vt:i4>
      </vt:variant>
      <vt:variant>
        <vt:i4>266</vt:i4>
      </vt:variant>
      <vt:variant>
        <vt:i4>0</vt:i4>
      </vt:variant>
      <vt:variant>
        <vt:i4>5</vt:i4>
      </vt:variant>
      <vt:variant>
        <vt:lpwstr/>
      </vt:variant>
      <vt:variant>
        <vt:lpwstr>_Toc225865593</vt:lpwstr>
      </vt:variant>
      <vt:variant>
        <vt:i4>1114164</vt:i4>
      </vt:variant>
      <vt:variant>
        <vt:i4>260</vt:i4>
      </vt:variant>
      <vt:variant>
        <vt:i4>0</vt:i4>
      </vt:variant>
      <vt:variant>
        <vt:i4>5</vt:i4>
      </vt:variant>
      <vt:variant>
        <vt:lpwstr/>
      </vt:variant>
      <vt:variant>
        <vt:lpwstr>_Toc225865592</vt:lpwstr>
      </vt:variant>
      <vt:variant>
        <vt:i4>1114164</vt:i4>
      </vt:variant>
      <vt:variant>
        <vt:i4>254</vt:i4>
      </vt:variant>
      <vt:variant>
        <vt:i4>0</vt:i4>
      </vt:variant>
      <vt:variant>
        <vt:i4>5</vt:i4>
      </vt:variant>
      <vt:variant>
        <vt:lpwstr/>
      </vt:variant>
      <vt:variant>
        <vt:lpwstr>_Toc225865591</vt:lpwstr>
      </vt:variant>
      <vt:variant>
        <vt:i4>1114164</vt:i4>
      </vt:variant>
      <vt:variant>
        <vt:i4>248</vt:i4>
      </vt:variant>
      <vt:variant>
        <vt:i4>0</vt:i4>
      </vt:variant>
      <vt:variant>
        <vt:i4>5</vt:i4>
      </vt:variant>
      <vt:variant>
        <vt:lpwstr/>
      </vt:variant>
      <vt:variant>
        <vt:lpwstr>_Toc225865590</vt:lpwstr>
      </vt:variant>
      <vt:variant>
        <vt:i4>1048628</vt:i4>
      </vt:variant>
      <vt:variant>
        <vt:i4>242</vt:i4>
      </vt:variant>
      <vt:variant>
        <vt:i4>0</vt:i4>
      </vt:variant>
      <vt:variant>
        <vt:i4>5</vt:i4>
      </vt:variant>
      <vt:variant>
        <vt:lpwstr/>
      </vt:variant>
      <vt:variant>
        <vt:lpwstr>_Toc225865589</vt:lpwstr>
      </vt:variant>
      <vt:variant>
        <vt:i4>1048628</vt:i4>
      </vt:variant>
      <vt:variant>
        <vt:i4>236</vt:i4>
      </vt:variant>
      <vt:variant>
        <vt:i4>0</vt:i4>
      </vt:variant>
      <vt:variant>
        <vt:i4>5</vt:i4>
      </vt:variant>
      <vt:variant>
        <vt:lpwstr/>
      </vt:variant>
      <vt:variant>
        <vt:lpwstr>_Toc225865588</vt:lpwstr>
      </vt:variant>
      <vt:variant>
        <vt:i4>1048628</vt:i4>
      </vt:variant>
      <vt:variant>
        <vt:i4>230</vt:i4>
      </vt:variant>
      <vt:variant>
        <vt:i4>0</vt:i4>
      </vt:variant>
      <vt:variant>
        <vt:i4>5</vt:i4>
      </vt:variant>
      <vt:variant>
        <vt:lpwstr/>
      </vt:variant>
      <vt:variant>
        <vt:lpwstr>_Toc225865587</vt:lpwstr>
      </vt:variant>
      <vt:variant>
        <vt:i4>1048628</vt:i4>
      </vt:variant>
      <vt:variant>
        <vt:i4>224</vt:i4>
      </vt:variant>
      <vt:variant>
        <vt:i4>0</vt:i4>
      </vt:variant>
      <vt:variant>
        <vt:i4>5</vt:i4>
      </vt:variant>
      <vt:variant>
        <vt:lpwstr/>
      </vt:variant>
      <vt:variant>
        <vt:lpwstr>_Toc225865586</vt:lpwstr>
      </vt:variant>
      <vt:variant>
        <vt:i4>1048628</vt:i4>
      </vt:variant>
      <vt:variant>
        <vt:i4>218</vt:i4>
      </vt:variant>
      <vt:variant>
        <vt:i4>0</vt:i4>
      </vt:variant>
      <vt:variant>
        <vt:i4>5</vt:i4>
      </vt:variant>
      <vt:variant>
        <vt:lpwstr/>
      </vt:variant>
      <vt:variant>
        <vt:lpwstr>_Toc225865585</vt:lpwstr>
      </vt:variant>
      <vt:variant>
        <vt:i4>1048628</vt:i4>
      </vt:variant>
      <vt:variant>
        <vt:i4>212</vt:i4>
      </vt:variant>
      <vt:variant>
        <vt:i4>0</vt:i4>
      </vt:variant>
      <vt:variant>
        <vt:i4>5</vt:i4>
      </vt:variant>
      <vt:variant>
        <vt:lpwstr/>
      </vt:variant>
      <vt:variant>
        <vt:lpwstr>_Toc225865584</vt:lpwstr>
      </vt:variant>
      <vt:variant>
        <vt:i4>1048628</vt:i4>
      </vt:variant>
      <vt:variant>
        <vt:i4>206</vt:i4>
      </vt:variant>
      <vt:variant>
        <vt:i4>0</vt:i4>
      </vt:variant>
      <vt:variant>
        <vt:i4>5</vt:i4>
      </vt:variant>
      <vt:variant>
        <vt:lpwstr/>
      </vt:variant>
      <vt:variant>
        <vt:lpwstr>_Toc225865583</vt:lpwstr>
      </vt:variant>
      <vt:variant>
        <vt:i4>1048628</vt:i4>
      </vt:variant>
      <vt:variant>
        <vt:i4>200</vt:i4>
      </vt:variant>
      <vt:variant>
        <vt:i4>0</vt:i4>
      </vt:variant>
      <vt:variant>
        <vt:i4>5</vt:i4>
      </vt:variant>
      <vt:variant>
        <vt:lpwstr/>
      </vt:variant>
      <vt:variant>
        <vt:lpwstr>_Toc225865582</vt:lpwstr>
      </vt:variant>
      <vt:variant>
        <vt:i4>1048628</vt:i4>
      </vt:variant>
      <vt:variant>
        <vt:i4>194</vt:i4>
      </vt:variant>
      <vt:variant>
        <vt:i4>0</vt:i4>
      </vt:variant>
      <vt:variant>
        <vt:i4>5</vt:i4>
      </vt:variant>
      <vt:variant>
        <vt:lpwstr/>
      </vt:variant>
      <vt:variant>
        <vt:lpwstr>_Toc225865581</vt:lpwstr>
      </vt:variant>
      <vt:variant>
        <vt:i4>1048628</vt:i4>
      </vt:variant>
      <vt:variant>
        <vt:i4>188</vt:i4>
      </vt:variant>
      <vt:variant>
        <vt:i4>0</vt:i4>
      </vt:variant>
      <vt:variant>
        <vt:i4>5</vt:i4>
      </vt:variant>
      <vt:variant>
        <vt:lpwstr/>
      </vt:variant>
      <vt:variant>
        <vt:lpwstr>_Toc225865580</vt:lpwstr>
      </vt:variant>
      <vt:variant>
        <vt:i4>2031668</vt:i4>
      </vt:variant>
      <vt:variant>
        <vt:i4>182</vt:i4>
      </vt:variant>
      <vt:variant>
        <vt:i4>0</vt:i4>
      </vt:variant>
      <vt:variant>
        <vt:i4>5</vt:i4>
      </vt:variant>
      <vt:variant>
        <vt:lpwstr/>
      </vt:variant>
      <vt:variant>
        <vt:lpwstr>_Toc225865579</vt:lpwstr>
      </vt:variant>
      <vt:variant>
        <vt:i4>2031668</vt:i4>
      </vt:variant>
      <vt:variant>
        <vt:i4>176</vt:i4>
      </vt:variant>
      <vt:variant>
        <vt:i4>0</vt:i4>
      </vt:variant>
      <vt:variant>
        <vt:i4>5</vt:i4>
      </vt:variant>
      <vt:variant>
        <vt:lpwstr/>
      </vt:variant>
      <vt:variant>
        <vt:lpwstr>_Toc225865578</vt:lpwstr>
      </vt:variant>
      <vt:variant>
        <vt:i4>2031668</vt:i4>
      </vt:variant>
      <vt:variant>
        <vt:i4>170</vt:i4>
      </vt:variant>
      <vt:variant>
        <vt:i4>0</vt:i4>
      </vt:variant>
      <vt:variant>
        <vt:i4>5</vt:i4>
      </vt:variant>
      <vt:variant>
        <vt:lpwstr/>
      </vt:variant>
      <vt:variant>
        <vt:lpwstr>_Toc225865577</vt:lpwstr>
      </vt:variant>
      <vt:variant>
        <vt:i4>2031668</vt:i4>
      </vt:variant>
      <vt:variant>
        <vt:i4>164</vt:i4>
      </vt:variant>
      <vt:variant>
        <vt:i4>0</vt:i4>
      </vt:variant>
      <vt:variant>
        <vt:i4>5</vt:i4>
      </vt:variant>
      <vt:variant>
        <vt:lpwstr/>
      </vt:variant>
      <vt:variant>
        <vt:lpwstr>_Toc225865576</vt:lpwstr>
      </vt:variant>
      <vt:variant>
        <vt:i4>2031668</vt:i4>
      </vt:variant>
      <vt:variant>
        <vt:i4>158</vt:i4>
      </vt:variant>
      <vt:variant>
        <vt:i4>0</vt:i4>
      </vt:variant>
      <vt:variant>
        <vt:i4>5</vt:i4>
      </vt:variant>
      <vt:variant>
        <vt:lpwstr/>
      </vt:variant>
      <vt:variant>
        <vt:lpwstr>_Toc225865575</vt:lpwstr>
      </vt:variant>
      <vt:variant>
        <vt:i4>2031668</vt:i4>
      </vt:variant>
      <vt:variant>
        <vt:i4>152</vt:i4>
      </vt:variant>
      <vt:variant>
        <vt:i4>0</vt:i4>
      </vt:variant>
      <vt:variant>
        <vt:i4>5</vt:i4>
      </vt:variant>
      <vt:variant>
        <vt:lpwstr/>
      </vt:variant>
      <vt:variant>
        <vt:lpwstr>_Toc225865574</vt:lpwstr>
      </vt:variant>
      <vt:variant>
        <vt:i4>2031668</vt:i4>
      </vt:variant>
      <vt:variant>
        <vt:i4>146</vt:i4>
      </vt:variant>
      <vt:variant>
        <vt:i4>0</vt:i4>
      </vt:variant>
      <vt:variant>
        <vt:i4>5</vt:i4>
      </vt:variant>
      <vt:variant>
        <vt:lpwstr/>
      </vt:variant>
      <vt:variant>
        <vt:lpwstr>_Toc225865573</vt:lpwstr>
      </vt:variant>
      <vt:variant>
        <vt:i4>2031668</vt:i4>
      </vt:variant>
      <vt:variant>
        <vt:i4>140</vt:i4>
      </vt:variant>
      <vt:variant>
        <vt:i4>0</vt:i4>
      </vt:variant>
      <vt:variant>
        <vt:i4>5</vt:i4>
      </vt:variant>
      <vt:variant>
        <vt:lpwstr/>
      </vt:variant>
      <vt:variant>
        <vt:lpwstr>_Toc225865572</vt:lpwstr>
      </vt:variant>
      <vt:variant>
        <vt:i4>2031668</vt:i4>
      </vt:variant>
      <vt:variant>
        <vt:i4>134</vt:i4>
      </vt:variant>
      <vt:variant>
        <vt:i4>0</vt:i4>
      </vt:variant>
      <vt:variant>
        <vt:i4>5</vt:i4>
      </vt:variant>
      <vt:variant>
        <vt:lpwstr/>
      </vt:variant>
      <vt:variant>
        <vt:lpwstr>_Toc225865571</vt:lpwstr>
      </vt:variant>
      <vt:variant>
        <vt:i4>2031668</vt:i4>
      </vt:variant>
      <vt:variant>
        <vt:i4>128</vt:i4>
      </vt:variant>
      <vt:variant>
        <vt:i4>0</vt:i4>
      </vt:variant>
      <vt:variant>
        <vt:i4>5</vt:i4>
      </vt:variant>
      <vt:variant>
        <vt:lpwstr/>
      </vt:variant>
      <vt:variant>
        <vt:lpwstr>_Toc225865570</vt:lpwstr>
      </vt:variant>
      <vt:variant>
        <vt:i4>1966132</vt:i4>
      </vt:variant>
      <vt:variant>
        <vt:i4>122</vt:i4>
      </vt:variant>
      <vt:variant>
        <vt:i4>0</vt:i4>
      </vt:variant>
      <vt:variant>
        <vt:i4>5</vt:i4>
      </vt:variant>
      <vt:variant>
        <vt:lpwstr/>
      </vt:variant>
      <vt:variant>
        <vt:lpwstr>_Toc225865569</vt:lpwstr>
      </vt:variant>
      <vt:variant>
        <vt:i4>1966132</vt:i4>
      </vt:variant>
      <vt:variant>
        <vt:i4>116</vt:i4>
      </vt:variant>
      <vt:variant>
        <vt:i4>0</vt:i4>
      </vt:variant>
      <vt:variant>
        <vt:i4>5</vt:i4>
      </vt:variant>
      <vt:variant>
        <vt:lpwstr/>
      </vt:variant>
      <vt:variant>
        <vt:lpwstr>_Toc225865568</vt:lpwstr>
      </vt:variant>
      <vt:variant>
        <vt:i4>1966132</vt:i4>
      </vt:variant>
      <vt:variant>
        <vt:i4>110</vt:i4>
      </vt:variant>
      <vt:variant>
        <vt:i4>0</vt:i4>
      </vt:variant>
      <vt:variant>
        <vt:i4>5</vt:i4>
      </vt:variant>
      <vt:variant>
        <vt:lpwstr/>
      </vt:variant>
      <vt:variant>
        <vt:lpwstr>_Toc225865567</vt:lpwstr>
      </vt:variant>
      <vt:variant>
        <vt:i4>1966132</vt:i4>
      </vt:variant>
      <vt:variant>
        <vt:i4>104</vt:i4>
      </vt:variant>
      <vt:variant>
        <vt:i4>0</vt:i4>
      </vt:variant>
      <vt:variant>
        <vt:i4>5</vt:i4>
      </vt:variant>
      <vt:variant>
        <vt:lpwstr/>
      </vt:variant>
      <vt:variant>
        <vt:lpwstr>_Toc225865566</vt:lpwstr>
      </vt:variant>
      <vt:variant>
        <vt:i4>1966132</vt:i4>
      </vt:variant>
      <vt:variant>
        <vt:i4>98</vt:i4>
      </vt:variant>
      <vt:variant>
        <vt:i4>0</vt:i4>
      </vt:variant>
      <vt:variant>
        <vt:i4>5</vt:i4>
      </vt:variant>
      <vt:variant>
        <vt:lpwstr/>
      </vt:variant>
      <vt:variant>
        <vt:lpwstr>_Toc225865565</vt:lpwstr>
      </vt:variant>
      <vt:variant>
        <vt:i4>1966132</vt:i4>
      </vt:variant>
      <vt:variant>
        <vt:i4>92</vt:i4>
      </vt:variant>
      <vt:variant>
        <vt:i4>0</vt:i4>
      </vt:variant>
      <vt:variant>
        <vt:i4>5</vt:i4>
      </vt:variant>
      <vt:variant>
        <vt:lpwstr/>
      </vt:variant>
      <vt:variant>
        <vt:lpwstr>_Toc225865564</vt:lpwstr>
      </vt:variant>
      <vt:variant>
        <vt:i4>1966132</vt:i4>
      </vt:variant>
      <vt:variant>
        <vt:i4>86</vt:i4>
      </vt:variant>
      <vt:variant>
        <vt:i4>0</vt:i4>
      </vt:variant>
      <vt:variant>
        <vt:i4>5</vt:i4>
      </vt:variant>
      <vt:variant>
        <vt:lpwstr/>
      </vt:variant>
      <vt:variant>
        <vt:lpwstr>_Toc225865563</vt:lpwstr>
      </vt:variant>
      <vt:variant>
        <vt:i4>1966132</vt:i4>
      </vt:variant>
      <vt:variant>
        <vt:i4>80</vt:i4>
      </vt:variant>
      <vt:variant>
        <vt:i4>0</vt:i4>
      </vt:variant>
      <vt:variant>
        <vt:i4>5</vt:i4>
      </vt:variant>
      <vt:variant>
        <vt:lpwstr/>
      </vt:variant>
      <vt:variant>
        <vt:lpwstr>_Toc225865562</vt:lpwstr>
      </vt:variant>
      <vt:variant>
        <vt:i4>1966132</vt:i4>
      </vt:variant>
      <vt:variant>
        <vt:i4>74</vt:i4>
      </vt:variant>
      <vt:variant>
        <vt:i4>0</vt:i4>
      </vt:variant>
      <vt:variant>
        <vt:i4>5</vt:i4>
      </vt:variant>
      <vt:variant>
        <vt:lpwstr/>
      </vt:variant>
      <vt:variant>
        <vt:lpwstr>_Toc225865561</vt:lpwstr>
      </vt:variant>
      <vt:variant>
        <vt:i4>1966132</vt:i4>
      </vt:variant>
      <vt:variant>
        <vt:i4>68</vt:i4>
      </vt:variant>
      <vt:variant>
        <vt:i4>0</vt:i4>
      </vt:variant>
      <vt:variant>
        <vt:i4>5</vt:i4>
      </vt:variant>
      <vt:variant>
        <vt:lpwstr/>
      </vt:variant>
      <vt:variant>
        <vt:lpwstr>_Toc225865560</vt:lpwstr>
      </vt:variant>
      <vt:variant>
        <vt:i4>1900596</vt:i4>
      </vt:variant>
      <vt:variant>
        <vt:i4>62</vt:i4>
      </vt:variant>
      <vt:variant>
        <vt:i4>0</vt:i4>
      </vt:variant>
      <vt:variant>
        <vt:i4>5</vt:i4>
      </vt:variant>
      <vt:variant>
        <vt:lpwstr/>
      </vt:variant>
      <vt:variant>
        <vt:lpwstr>_Toc225865559</vt:lpwstr>
      </vt:variant>
      <vt:variant>
        <vt:i4>1900596</vt:i4>
      </vt:variant>
      <vt:variant>
        <vt:i4>56</vt:i4>
      </vt:variant>
      <vt:variant>
        <vt:i4>0</vt:i4>
      </vt:variant>
      <vt:variant>
        <vt:i4>5</vt:i4>
      </vt:variant>
      <vt:variant>
        <vt:lpwstr/>
      </vt:variant>
      <vt:variant>
        <vt:lpwstr>_Toc225865558</vt:lpwstr>
      </vt:variant>
      <vt:variant>
        <vt:i4>1900596</vt:i4>
      </vt:variant>
      <vt:variant>
        <vt:i4>50</vt:i4>
      </vt:variant>
      <vt:variant>
        <vt:i4>0</vt:i4>
      </vt:variant>
      <vt:variant>
        <vt:i4>5</vt:i4>
      </vt:variant>
      <vt:variant>
        <vt:lpwstr/>
      </vt:variant>
      <vt:variant>
        <vt:lpwstr>_Toc225865557</vt:lpwstr>
      </vt:variant>
      <vt:variant>
        <vt:i4>1900596</vt:i4>
      </vt:variant>
      <vt:variant>
        <vt:i4>44</vt:i4>
      </vt:variant>
      <vt:variant>
        <vt:i4>0</vt:i4>
      </vt:variant>
      <vt:variant>
        <vt:i4>5</vt:i4>
      </vt:variant>
      <vt:variant>
        <vt:lpwstr/>
      </vt:variant>
      <vt:variant>
        <vt:lpwstr>_Toc225865556</vt:lpwstr>
      </vt:variant>
      <vt:variant>
        <vt:i4>1900596</vt:i4>
      </vt:variant>
      <vt:variant>
        <vt:i4>38</vt:i4>
      </vt:variant>
      <vt:variant>
        <vt:i4>0</vt:i4>
      </vt:variant>
      <vt:variant>
        <vt:i4>5</vt:i4>
      </vt:variant>
      <vt:variant>
        <vt:lpwstr/>
      </vt:variant>
      <vt:variant>
        <vt:lpwstr>_Toc225865555</vt:lpwstr>
      </vt:variant>
      <vt:variant>
        <vt:i4>1900596</vt:i4>
      </vt:variant>
      <vt:variant>
        <vt:i4>32</vt:i4>
      </vt:variant>
      <vt:variant>
        <vt:i4>0</vt:i4>
      </vt:variant>
      <vt:variant>
        <vt:i4>5</vt:i4>
      </vt:variant>
      <vt:variant>
        <vt:lpwstr/>
      </vt:variant>
      <vt:variant>
        <vt:lpwstr>_Toc225865554</vt:lpwstr>
      </vt:variant>
      <vt:variant>
        <vt:i4>1900596</vt:i4>
      </vt:variant>
      <vt:variant>
        <vt:i4>26</vt:i4>
      </vt:variant>
      <vt:variant>
        <vt:i4>0</vt:i4>
      </vt:variant>
      <vt:variant>
        <vt:i4>5</vt:i4>
      </vt:variant>
      <vt:variant>
        <vt:lpwstr/>
      </vt:variant>
      <vt:variant>
        <vt:lpwstr>_Toc225865553</vt:lpwstr>
      </vt:variant>
      <vt:variant>
        <vt:i4>1900596</vt:i4>
      </vt:variant>
      <vt:variant>
        <vt:i4>20</vt:i4>
      </vt:variant>
      <vt:variant>
        <vt:i4>0</vt:i4>
      </vt:variant>
      <vt:variant>
        <vt:i4>5</vt:i4>
      </vt:variant>
      <vt:variant>
        <vt:lpwstr/>
      </vt:variant>
      <vt:variant>
        <vt:lpwstr>_Toc225865552</vt:lpwstr>
      </vt:variant>
      <vt:variant>
        <vt:i4>1900596</vt:i4>
      </vt:variant>
      <vt:variant>
        <vt:i4>14</vt:i4>
      </vt:variant>
      <vt:variant>
        <vt:i4>0</vt:i4>
      </vt:variant>
      <vt:variant>
        <vt:i4>5</vt:i4>
      </vt:variant>
      <vt:variant>
        <vt:lpwstr/>
      </vt:variant>
      <vt:variant>
        <vt:lpwstr>_Toc225865551</vt:lpwstr>
      </vt:variant>
      <vt:variant>
        <vt:i4>1900596</vt:i4>
      </vt:variant>
      <vt:variant>
        <vt:i4>8</vt:i4>
      </vt:variant>
      <vt:variant>
        <vt:i4>0</vt:i4>
      </vt:variant>
      <vt:variant>
        <vt:i4>5</vt:i4>
      </vt:variant>
      <vt:variant>
        <vt:lpwstr/>
      </vt:variant>
      <vt:variant>
        <vt:lpwstr>_Toc225865550</vt:lpwstr>
      </vt:variant>
      <vt:variant>
        <vt:i4>1835060</vt:i4>
      </vt:variant>
      <vt:variant>
        <vt:i4>2</vt:i4>
      </vt:variant>
      <vt:variant>
        <vt:i4>0</vt:i4>
      </vt:variant>
      <vt:variant>
        <vt:i4>5</vt:i4>
      </vt:variant>
      <vt:variant>
        <vt:lpwstr/>
      </vt:variant>
      <vt:variant>
        <vt:lpwstr>_Toc225865549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dbevandic</dc:creator>
  <cp:keywords/>
  <dc:description/>
  <cp:lastModifiedBy>Zrinka Oreb</cp:lastModifiedBy>
  <cp:revision>6</cp:revision>
  <cp:lastPrinted>2026-03-31T14:32:00Z</cp:lastPrinted>
  <dcterms:created xsi:type="dcterms:W3CDTF">2026-03-31T14:10:00Z</dcterms:created>
  <dcterms:modified xsi:type="dcterms:W3CDTF">2026-03-31T14:33:00Z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0x010100C442AF3F059E274FBAF135DA25AE8CF3</vt:lpwstr>
  </property>
</Properties>
</file>