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d6531cf64e4037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48226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POVJERENIK ZA INFORMIRANJE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11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III 2026.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211.434,02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242.704,65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114,8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276.088,07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244.335,81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88,5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64.654,05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1.631,16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2,5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PRIHODA OD NEFINANCIJSKE IMOVINE (šifre 7-4,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X002, 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64.654,05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1.631,16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2,5</w:t>
            </w:r>
          </w:p>
        </w:tc>
      </w:tr>
    </w:tbl>
    <w:p>
      <w:pPr>
        <w:spacing w:before="0" w:after="0"/>
      </w:pPr>
    </w:p>
    <w:p>
      <w:r>
        <w:t xml:space="preserve">Ukupni rashodi za zaposlene manji su od rashoda za zaposlene u protekloj godini</w:t>
      </w:r>
      <w:r>
        <w:br/>
      </w:r>
      <w:r>
        <w:t xml:space="preserve">unatoč povećanja osnovice za obračun plaća državnih službenika i državnih dužnosnika te</w:t>
      </w:r>
      <w:r>
        <w:br/>
      </w:r>
      <w:r>
        <w:t xml:space="preserve">generalnog povećanja troškova za plaće zbog ukidanja podskupine 193 Kontinuirani rashodi</w:t>
      </w:r>
      <w:r>
        <w:br/>
      </w:r>
      <w:r>
        <w:t xml:space="preserve">budućih razdoblja prema novom Pravilniku o proračunskom računovodstvu i Računskom</w:t>
      </w:r>
      <w:r>
        <w:br/>
      </w:r>
      <w:r>
        <w:t xml:space="preserve">planu, čl.233, koji je u primjeni od 1.1.2025. godine. Iz tog razloga na kraju razdoblja 2025.</w:t>
      </w:r>
      <w:r>
        <w:br/>
      </w:r>
      <w:r>
        <w:t xml:space="preserve">godine imamo rashode koji uključuju četiri plaće umjesto tri kako je bilo dosadašnjih godina</w:t>
      </w:r>
      <w:r>
        <w:br/>
      </w:r>
      <w:r>
        <w:t xml:space="preserve">(plaća za 12.mjesec 2024., plaće za 1.,2. i 3. mjesec 2025.). Na kraju tromjesečnog razdoblja</w:t>
      </w:r>
      <w:r>
        <w:br/>
      </w:r>
      <w:r>
        <w:t xml:space="preserve">2026. imamo samo rashode plaća za 1.,2. i 3. mjesec 2026.</w:t>
      </w:r>
      <w:r>
        <w:br/>
      </w:r>
      <w:r>
        <w:t xml:space="preserve">Do povećanja materijalnih rashoda na stavci 32 došlo je iz razloga što je u 2025. godini bilo</w:t>
      </w:r>
      <w:r>
        <w:br/>
      </w:r>
      <w:r>
        <w:t xml:space="preserve">više aktivnosti Ureda, a i zbog porasta inflacije. Naime, osim povećanih rashoda za energiju,</w:t>
      </w:r>
      <w:r>
        <w:br/>
      </w:r>
      <w:r>
        <w:t xml:space="preserve">došlo je i do porasta naknada vanjskih pružatelja usluga.</w:t>
      </w:r>
      <w:r>
        <w:br/>
      </w:r>
      <w:r>
        <w:t xml:space="preserve">Povećanje rashoda najviše je vidljivo na stavci 3296 Troškovi sudskih postupaka koji se</w:t>
      </w:r>
      <w:r>
        <w:br/>
      </w:r>
      <w:r>
        <w:t xml:space="preserve">odnose na naknadu troškova upravnog spora povodom tužbi radi šutnje uprave, a do kojih</w:t>
      </w:r>
      <w:r>
        <w:br/>
      </w:r>
      <w:r>
        <w:t xml:space="preserve">dolazi kako zbog nemogućnosti utjecaja na broj podnesenih žalbi (koji je u odnosu na 2024. godinu veći</w:t>
      </w:r>
      <w:r>
        <w:br/>
      </w:r>
      <w:r>
        <w:t xml:space="preserve">za 33,7%), tako i zbog nedostavljanja spisa od strane prvostupanjskih tijela u roku, a da bi</w:t>
      </w:r>
      <w:r>
        <w:br/>
      </w:r>
      <w:r>
        <w:t xml:space="preserve">Povjerenik u zakonom propisanom roku mogao riješiti žalbu.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Sve dospjele obveze su pomirene.</w:t>
      </w:r>
      <w:r>
        <w:br/>
      </w:r>
      <w:r>
        <w:t xml:space="preserve">Nedospjele obveze sastoje se od plaće za 3. mjesec 2026. godine i materijalne troškove koji</w:t>
      </w:r>
      <w:r>
        <w:br/>
      </w:r>
      <w:r>
        <w:t xml:space="preserve">nisu dospjeli na naplatu, računi dobavljača iz 2. i 3. mjeseca koji će biti plaćeni u idućim</w:t>
      </w:r>
      <w:r>
        <w:br/>
      </w:r>
      <w:r>
        <w:t xml:space="preserve">mjesecima u 2026. godini u ukupnom iznosu od 82.952,86 EUR.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59aba0370594c67" /></Relationships>
</file>