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ED6A" w14:textId="77777777" w:rsidR="007A7E45" w:rsidRPr="00FE4B89" w:rsidRDefault="007A7E45" w:rsidP="00FE4B89"/>
    <w:p w14:paraId="51FFED6B" w14:textId="77777777" w:rsidR="00E828C0" w:rsidRDefault="005B4AF8">
      <w:pPr>
        <w:pStyle w:val="Naslov1"/>
      </w:pPr>
      <w:r>
        <w:t>OBRAZLOŽENJE OPĆEG DIJELA FINANCIJSKOG PLANA</w:t>
      </w:r>
    </w:p>
    <w:p w14:paraId="51FFED6C" w14:textId="77777777" w:rsidR="00E828C0" w:rsidRDefault="005B4AF8">
      <w:pPr>
        <w:pStyle w:val="Naslov2"/>
      </w:pPr>
      <w:r>
        <w:t>25805 Povjerenik za informiranje</w:t>
      </w:r>
    </w:p>
    <w:p w14:paraId="51FFED6D" w14:textId="77777777" w:rsidR="00E828C0" w:rsidRDefault="005B4AF8" w:rsidP="005B4AF8">
      <w:pPr>
        <w:spacing w:after="0"/>
      </w:pPr>
      <w:r>
        <w:t xml:space="preserve">Povjerenik za informiranje, glava: 258 i jedan razdjel: 25805, financira se iz sredstava državnog proračuna sa stavaka 6711 i 6712 te za svoj rad planira sredstva u državnom proračunu.   </w:t>
      </w:r>
    </w:p>
    <w:p w14:paraId="526833EB" w14:textId="77777777" w:rsidR="005B4AF8" w:rsidRDefault="005B4AF8" w:rsidP="005B4AF8">
      <w:pPr>
        <w:spacing w:after="0"/>
      </w:pPr>
    </w:p>
    <w:p w14:paraId="51FFED6E" w14:textId="77777777" w:rsidR="00E828C0" w:rsidRDefault="005B4AF8" w:rsidP="005B4AF8">
      <w:pPr>
        <w:spacing w:after="0"/>
      </w:pPr>
      <w:r>
        <w:t xml:space="preserve">Prema funkcijskoj klasifikaciji tijelo spada pod oznaku 013 – Opće javne usluge / 0133 – Ostale opće usluge.  </w:t>
      </w:r>
    </w:p>
    <w:p w14:paraId="4E654BD2" w14:textId="77777777" w:rsidR="005B4AF8" w:rsidRDefault="005B4AF8" w:rsidP="005B4AF8">
      <w:pPr>
        <w:spacing w:after="0"/>
      </w:pPr>
    </w:p>
    <w:p w14:paraId="51FFED6F" w14:textId="029CA4A7" w:rsidR="00E828C0" w:rsidRDefault="005B4AF8" w:rsidP="005B4AF8">
      <w:pPr>
        <w:spacing w:after="0"/>
      </w:pPr>
      <w:r>
        <w:t xml:space="preserve">U sljedećem trogodišnjem razdoblju Povjerenik za informiranje ima jedan program: 2121 – Zaštita i promicanje prava na pristup informacijama i dvije aktivnosti: A874001 – Administracija i upravljanje i K874004 – Informatizacija.  </w:t>
      </w:r>
    </w:p>
    <w:p w14:paraId="18BA7975" w14:textId="77777777" w:rsidR="005B4AF8" w:rsidRDefault="005B4AF8" w:rsidP="005B4AF8">
      <w:pPr>
        <w:spacing w:after="0"/>
      </w:pPr>
    </w:p>
    <w:p w14:paraId="51FFED70" w14:textId="77777777" w:rsidR="00E828C0" w:rsidRDefault="005B4AF8" w:rsidP="005B4AF8">
      <w:pPr>
        <w:spacing w:after="0"/>
      </w:pPr>
      <w:r>
        <w:t xml:space="preserve">Ukupni prihodi se ostvaruju u potpunom dijelu iz izvora 11 Opći prihodi i primici i to u iznosu od 1.111.570,00 EUR-a u 2026. godini, 1.082.570,00 EUR-a u 2027. godini i 1.116.570,00 EUR-a u 2028. godini. </w:t>
      </w:r>
    </w:p>
    <w:p w14:paraId="51FFED71" w14:textId="77777777" w:rsidR="00E828C0" w:rsidRDefault="005B4AF8" w:rsidP="005B4AF8">
      <w:pPr>
        <w:spacing w:after="0"/>
      </w:pPr>
      <w:r>
        <w:t xml:space="preserve">Navedeni prihodi se koriste za temeljne funkcije i aktivnosti ureda.  </w:t>
      </w:r>
    </w:p>
    <w:p w14:paraId="51FFED73" w14:textId="16C38B44" w:rsidR="00E828C0" w:rsidRDefault="005B4AF8" w:rsidP="005B4AF8">
      <w:pPr>
        <w:spacing w:after="0"/>
      </w:pPr>
      <w:r>
        <w:t xml:space="preserve">Najznačajniji prihodi odnose se na Rashode za zaposlene, a onda u manjoj mjeri i na Materijalne rashode.   </w:t>
      </w:r>
      <w:r>
        <w:t xml:space="preserve"> </w:t>
      </w:r>
    </w:p>
    <w:p w14:paraId="51FFED74" w14:textId="77777777" w:rsidR="00E828C0" w:rsidRDefault="005B4AF8" w:rsidP="005B4AF8">
      <w:pPr>
        <w:spacing w:after="0"/>
      </w:pPr>
      <w:r>
        <w:t xml:space="preserve">U razdoblju 2026. - 2028. godini nisu planirani nikakvi primici od financijske imovine.  </w:t>
      </w:r>
    </w:p>
    <w:p w14:paraId="0D2F5DE2" w14:textId="77777777" w:rsidR="005B4AF8" w:rsidRDefault="005B4AF8" w:rsidP="005B4AF8">
      <w:pPr>
        <w:spacing w:after="0"/>
      </w:pPr>
    </w:p>
    <w:p w14:paraId="51FFED75" w14:textId="77777777" w:rsidR="00E828C0" w:rsidRDefault="005B4AF8" w:rsidP="005B4AF8">
      <w:pPr>
        <w:spacing w:after="0"/>
      </w:pPr>
      <w:r>
        <w:t xml:space="preserve">Ukupni rashodi se ostvaruju u potpunom dijelu iz izvora 11 Opći prihodi i primici.  </w:t>
      </w:r>
    </w:p>
    <w:p w14:paraId="2390E5E7" w14:textId="77777777" w:rsidR="005B4AF8" w:rsidRDefault="005B4AF8" w:rsidP="005B4AF8">
      <w:pPr>
        <w:spacing w:after="0"/>
      </w:pPr>
    </w:p>
    <w:p w14:paraId="51FFED77" w14:textId="280FF4B4" w:rsidR="00E828C0" w:rsidRDefault="005B4AF8" w:rsidP="005B4AF8">
      <w:pPr>
        <w:spacing w:after="0"/>
      </w:pPr>
      <w:r>
        <w:t>Značajnije je povećanje rashoda na stavci 31 u sklopu aktivnosti A874001 Administracija i upravljanje u odnosu na plan za 2025. godinu zbog povećanja osnovice za izračun plaće službenika i namještenika što je definirano Dodatkom IV. Kolektivnom ugovoru za državne službenike i namještenike („Narodne novine“, broj  4/25). Rashodi za zaposlene su se povećali još i zbog planiranog zapošljavanja ili trajnog premještaja tri državna službenika (radno mjesto referenta i dva savjetnika povjerenika ili višeg inspekto</w:t>
      </w:r>
      <w:r>
        <w:t xml:space="preserve">ra). Sukladno povećanju broja službenika povjećavaju se i ostali rashodi za zaposlene što se odnosi na jubilarne nagrade, božićnice, regres uskrsnice i ostale naknade zaposlenima prema pravima iz Kolektivnog ugovora. </w:t>
      </w:r>
    </w:p>
    <w:p w14:paraId="5A247D51" w14:textId="77777777" w:rsidR="005B4AF8" w:rsidRDefault="005B4AF8" w:rsidP="005B4AF8">
      <w:pPr>
        <w:spacing w:after="0"/>
      </w:pPr>
    </w:p>
    <w:p w14:paraId="43CDBB5A" w14:textId="331ACE88" w:rsidR="005B4AF8" w:rsidRDefault="005B4AF8" w:rsidP="005B4AF8">
      <w:pPr>
        <w:spacing w:after="0"/>
      </w:pPr>
      <w:r>
        <w:t>Na stavci rashoda 32 Materijalni rashodi također u sklopu aktivnosti A874001, došlo je do povećanja iz razloga što su za prethodno radoblje sredstva planirana sukladno tada važećim cijenama kao i u granicama određenih limita. Obzirom da je dio pružatelja usluga (računalnih, intelektualnih itd.) povisio cijene svojih usluga zbog inflacije ili većeg obujma posla, došlo je i do razlike na rashodima za usluge. Uz najavu ukidanja subvencije za energente, povećanja se očekuju i kod drugih pružatelja usluga (elekt</w:t>
      </w:r>
      <w:r>
        <w:t xml:space="preserve">rična energija, plin, pošta i dr.).  </w:t>
      </w:r>
    </w:p>
    <w:p w14:paraId="7D9157A5" w14:textId="77777777" w:rsidR="005B4AF8" w:rsidRDefault="005B4AF8" w:rsidP="005B4AF8">
      <w:pPr>
        <w:spacing w:after="0"/>
      </w:pPr>
    </w:p>
    <w:p w14:paraId="51FFED7A" w14:textId="77777777" w:rsidR="00E828C0" w:rsidRDefault="005B4AF8" w:rsidP="005B4AF8">
      <w:pPr>
        <w:spacing w:after="0"/>
      </w:pPr>
      <w:r>
        <w:t>Tijekom 2026. godine planira se održavanje 24 edukativna događanja za službenike,  rukovodeće državne službenike i čelnike o pravu na pristup informacijama, savjetovanjima s javnošću i ponovnoj uporabi (radionice, predavanja), te 4 edukativna događanja za korisnike (radionice i webinari). Planira se održavanje 1 javnog događanja te kontinuirana objava vijesti radi informiranja i promicanja prava na pristup informacijama. Tijekom 2026. godine planira se i godišnje savjetovanje službenika za informiranje, a š</w:t>
      </w:r>
      <w:r>
        <w:t xml:space="preserve">to je plan i za 2027., kao i za 2028. godinu. Sve ove aktivnosti utječu na povećanje materijalnih troškova, posebice stavke rashoda za službena putovanja. </w:t>
      </w:r>
    </w:p>
    <w:p w14:paraId="022FBD62" w14:textId="77777777" w:rsidR="005B4AF8" w:rsidRDefault="005B4AF8" w:rsidP="005B4AF8">
      <w:pPr>
        <w:spacing w:after="0"/>
      </w:pPr>
    </w:p>
    <w:p w14:paraId="51FFED7B" w14:textId="77777777" w:rsidR="00E828C0" w:rsidRDefault="005B4AF8" w:rsidP="005B4AF8">
      <w:pPr>
        <w:spacing w:after="0"/>
      </w:pPr>
      <w:r>
        <w:t xml:space="preserve">Ostali troškovi na stavci 32 zadani su prostorom, opsegom rada i brojem zaposlenih (sitni inventar, ostale naknade troškova zaposlenima, zakupnine najamnine itd.) kako za 2026. godinu tako i za 2027. i 2028. godinu.   </w:t>
      </w:r>
    </w:p>
    <w:p w14:paraId="51FFED7D" w14:textId="00397FC9" w:rsidR="00E828C0" w:rsidRDefault="005B4AF8" w:rsidP="005B4AF8">
      <w:pPr>
        <w:spacing w:after="0"/>
      </w:pPr>
      <w:r>
        <w:t xml:space="preserve">U narednim godinama planira se redovno ulaganje u računalnu opremu, a 2026. i ulaganje u računalne programe što je vidljivo i na povećanim rashodima na stavci 42 Rashodi za nabavu proizvedene imovine za 2026. godinu na aktivnosti K874004 - Informatizacija.   </w:t>
      </w:r>
    </w:p>
    <w:p w14:paraId="7E8543C1" w14:textId="77777777" w:rsidR="005B4AF8" w:rsidRDefault="005B4AF8" w:rsidP="005B4AF8">
      <w:pPr>
        <w:spacing w:after="0"/>
      </w:pPr>
    </w:p>
    <w:p w14:paraId="51FFED7E" w14:textId="77777777" w:rsidR="00E828C0" w:rsidRDefault="005B4AF8" w:rsidP="005B4AF8">
      <w:pPr>
        <w:spacing w:after="0"/>
      </w:pPr>
      <w:r>
        <w:t xml:space="preserve">U razdoblju 2026. - 2028. godine nisu planirani nikakvi izdaci za financijsku imovinu i otplate zajmova.  </w:t>
      </w:r>
    </w:p>
    <w:p w14:paraId="51FFED80" w14:textId="3C19CDB6" w:rsidR="00E828C0" w:rsidRDefault="005B4AF8" w:rsidP="005B4AF8">
      <w:pPr>
        <w:spacing w:after="0"/>
      </w:pPr>
      <w:r>
        <w:t xml:space="preserve">Povjerenik za informiranje nema planirana sredstva koja bi se prenosila u iduću, 2026. godinu, niti za sada ima planirane prijenose u slijedeće 2027. i 2028. godinu.  </w:t>
      </w:r>
    </w:p>
    <w:p w14:paraId="6064AB0C" w14:textId="77777777" w:rsidR="005B4AF8" w:rsidRDefault="005B4AF8" w:rsidP="005B4AF8">
      <w:pPr>
        <w:spacing w:after="0"/>
      </w:pPr>
    </w:p>
    <w:p w14:paraId="51FFED81" w14:textId="77777777" w:rsidR="00E828C0" w:rsidRDefault="005B4AF8" w:rsidP="005B4AF8">
      <w:pPr>
        <w:spacing w:after="0"/>
      </w:pPr>
      <w:r>
        <w:t xml:space="preserve">Nedospjele obveze sastoje se od plaće za 12. mjesec 2024. g. odnosno 6. mjesec 2025.  godine i materijalne troškove koji nisu dospjeli na naplatu - računi dobavljača, a koji će biti plaćeni u idućem mjesecu tj. idućem proračunskom razdoblju.  </w:t>
      </w:r>
    </w:p>
    <w:p w14:paraId="33E39539" w14:textId="77777777" w:rsidR="005B4AF8" w:rsidRDefault="005B4AF8" w:rsidP="005B4AF8">
      <w:pPr>
        <w:spacing w:after="0"/>
      </w:pPr>
    </w:p>
    <w:p w14:paraId="51FFED82" w14:textId="77777777" w:rsidR="00E828C0" w:rsidRDefault="005B4AF8" w:rsidP="005B4AF8">
      <w:pPr>
        <w:spacing w:after="0"/>
      </w:pPr>
      <w:r>
        <w:lastRenderedPageBreak/>
        <w:t>Stanje obveza na dan 31. prosinca 2024. iznosi 75.424,01 EUR, a stanje obveza na dan 30. lipnja 2025. iznosi 74.415,60 EUR.</w:t>
      </w:r>
    </w:p>
    <w:sectPr w:rsidR="00E828C0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ED85" w14:textId="77777777" w:rsidR="007A7E45" w:rsidRDefault="007A7E45" w:rsidP="00F352E6">
      <w:r>
        <w:separator/>
      </w:r>
    </w:p>
  </w:endnote>
  <w:endnote w:type="continuationSeparator" w:id="0">
    <w:p w14:paraId="51FFED86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ED88" w14:textId="77777777" w:rsidR="005B4AF8" w:rsidRPr="00D769ED" w:rsidRDefault="005B4AF8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D83" w14:textId="77777777" w:rsidR="007A7E45" w:rsidRDefault="007A7E45" w:rsidP="00F352E6">
      <w:r>
        <w:separator/>
      </w:r>
    </w:p>
  </w:footnote>
  <w:footnote w:type="continuationSeparator" w:id="0">
    <w:p w14:paraId="51FFED84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ED87" w14:textId="77777777" w:rsidR="005B4AF8" w:rsidRDefault="005B4AF8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4AF8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05D9C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828C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FFED6A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Andrijana Ćelap</cp:lastModifiedBy>
  <cp:revision>15</cp:revision>
  <dcterms:created xsi:type="dcterms:W3CDTF">2016-10-28T08:23:00Z</dcterms:created>
  <dcterms:modified xsi:type="dcterms:W3CDTF">2025-12-15T14:17:00Z</dcterms:modified>
</cp:coreProperties>
</file>